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8A5C"/>
        </w:rPr>
        <w:t>Cofounder Agreement — Legal &amp; Research</w:t>
      </w:r>
    </w:p>
    <w:p>
      <w:r>
        <w:rPr>
          <w:b/>
        </w:rPr>
        <w:t>BuddyUp Ltd.</w:t>
      </w:r>
      <w:r>
        <w:t xml:space="preserve"> — Founding Team Heads of Terms (pre-shareholders' agreement)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Candidate</w:t>
            </w:r>
          </w:p>
        </w:tc>
        <w:tc>
          <w:tcPr>
            <w:tcW w:type="dxa" w:w="4824"/>
          </w:tcPr>
          <w:p>
            <w:r/>
            <w:r>
              <w:t>[Full legal name], ID/Passport No. [●]</w:t>
            </w:r>
          </w:p>
        </w:tc>
      </w:tr>
      <w:tr>
        <w:tc>
          <w:tcPr>
            <w:tcW w:type="dxa" w:w="4824"/>
          </w:tcPr>
          <w:p>
            <w:r/>
            <w:r>
              <w:t>Role</w:t>
            </w:r>
          </w:p>
        </w:tc>
        <w:tc>
          <w:tcPr>
            <w:tcW w:type="dxa" w:w="4824"/>
          </w:tcPr>
          <w:p>
            <w:r/>
            <w:r>
              <w:t>Cofounder — Legal, Compliance &amp; Research</w:t>
            </w:r>
          </w:p>
        </w:tc>
      </w:tr>
      <w:tr>
        <w:tc>
          <w:tcPr>
            <w:tcW w:type="dxa" w:w="4824"/>
          </w:tcPr>
          <w:p>
            <w:r/>
            <w:r>
              <w:t>Proposed equity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19%</w:t>
            </w:r>
            <w:r>
              <w:t xml:space="preserve"> of fully-diluted share capital at grant, subject to the vesting terms in Annex A</w:t>
            </w:r>
          </w:p>
        </w:tc>
      </w:tr>
      <w:tr>
        <w:tc>
          <w:tcPr>
            <w:tcW w:type="dxa" w:w="4824"/>
          </w:tcPr>
          <w:p>
            <w:r/>
            <w:r>
              <w:t>Vesting</w:t>
            </w:r>
          </w:p>
        </w:tc>
        <w:tc>
          <w:tcPr>
            <w:tcW w:type="dxa" w:w="4824"/>
          </w:tcPr>
          <w:p>
            <w:r/>
            <w:r>
              <w:t>4 years monthly, 1-year cliff (Annex A)</w:t>
            </w:r>
          </w:p>
        </w:tc>
      </w:tr>
      <w:tr>
        <w:tc>
          <w:tcPr>
            <w:tcW w:type="dxa" w:w="4824"/>
          </w:tcPr>
          <w:p>
            <w:r/>
            <w:r>
              <w:t>Start date</w:t>
            </w:r>
          </w:p>
        </w:tc>
        <w:tc>
          <w:tcPr>
            <w:tcW w:type="dxa" w:w="4824"/>
          </w:tcPr>
          <w:p>
            <w:r/>
            <w:r>
              <w:t>[●]</w:t>
            </w:r>
          </w:p>
        </w:tc>
      </w:tr>
      <w:tr>
        <w:tc>
          <w:tcPr>
            <w:tcW w:type="dxa" w:w="4824"/>
          </w:tcPr>
          <w:p>
            <w:r/>
            <w:r>
              <w:t>Reporting line</w:t>
            </w:r>
          </w:p>
        </w:tc>
        <w:tc>
          <w:tcPr>
            <w:tcW w:type="dxa" w:w="4824"/>
          </w:tcPr>
          <w:p>
            <w:r/>
            <w:r>
              <w:t>CEO / Board of BuddyUp Ltd.</w:t>
            </w:r>
          </w:p>
        </w:tc>
      </w:tr>
    </w:tbl>
    <w:p/>
    <w:p>
      <w:pPr>
        <w:spacing w:after="160"/>
        <w:ind w:left="360"/>
      </w:pPr>
      <w:r>
        <w:rPr>
          <w:b/>
          <w:i/>
          <w:color w:val="444444"/>
        </w:rPr>
        <w:t>Status:</w:t>
      </w:r>
      <w:r>
        <w:rPr>
          <w:i/>
          <w:color w:val="444444"/>
        </w:rPr>
        <w:t xml:space="preserve"> This is an invitation to join the founding team and a summary of proposed terms. It is not a shareholders' agreement, not an employment contract, and not legal advice. It becomes binding only when superseded by the executed Founders' Shareholders' Agreement (Kenyan law) that all founders will sign together.</w:t>
      </w:r>
    </w:p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Founding team &amp; ownership</w:t>
      </w:r>
    </w:p>
    <w:p>
      <w:r>
        <w:t>The founding team holds 97% of BuddyUp Ltd. at incorporation, split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Seat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Holder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Equity</w:t>
            </w:r>
          </w:p>
        </w:tc>
      </w:tr>
      <w:tr>
        <w:tc>
          <w:tcPr>
            <w:tcW w:type="dxa" w:w="3216"/>
          </w:tcPr>
          <w:p>
            <w:r/>
            <w:r>
              <w:t>Cofounder &amp; CEO — Engineering</w:t>
            </w:r>
          </w:p>
        </w:tc>
        <w:tc>
          <w:tcPr>
            <w:tcW w:type="dxa" w:w="3216"/>
          </w:tcPr>
          <w:p>
            <w:r/>
            <w:r>
              <w:t>Peter Mbugua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21%</w:t>
            </w:r>
          </w:p>
        </w:tc>
      </w:tr>
      <w:tr>
        <w:tc>
          <w:tcPr>
            <w:tcW w:type="dxa" w:w="3216"/>
          </w:tcPr>
          <w:p>
            <w:r/>
            <w:r>
              <w:t>Cofounder — Legal, Compliance &amp; Research</w:t>
            </w:r>
          </w:p>
        </w:tc>
        <w:tc>
          <w:tcPr>
            <w:tcW w:type="dxa" w:w="3216"/>
          </w:tcPr>
          <w:p>
            <w:r/>
            <w:r>
              <w:rPr>
                <w:i/>
              </w:rPr>
              <w:t>(this offer — [Full legal name])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Cofounder — Marketing, Sales &amp; Partnerships</w:t>
            </w:r>
          </w:p>
        </w:tc>
        <w:tc>
          <w:tcPr>
            <w:tcW w:type="dxa" w:w="3216"/>
          </w:tcPr>
          <w:p>
            <w:r/>
            <w:r>
              <w:t>[●]</w:t>
            </w:r>
          </w:p>
        </w:tc>
        <w:tc>
          <w:tcPr>
            <w:tcW w:type="dxa" w:w="3216"/>
          </w:tcPr>
          <w:p>
            <w:r/>
            <w: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Cofounder — Security Engineering &amp; Trust</w:t>
            </w:r>
          </w:p>
        </w:tc>
        <w:tc>
          <w:tcPr>
            <w:tcW w:type="dxa" w:w="3216"/>
          </w:tcPr>
          <w:p>
            <w:r/>
            <w:r>
              <w:t>[●]</w:t>
            </w:r>
          </w:p>
        </w:tc>
        <w:tc>
          <w:tcPr>
            <w:tcW w:type="dxa" w:w="3216"/>
          </w:tcPr>
          <w:p>
            <w:r/>
            <w: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Cofounder — Finance, Strategy &amp; Controller</w:t>
            </w:r>
          </w:p>
        </w:tc>
        <w:tc>
          <w:tcPr>
            <w:tcW w:type="dxa" w:w="3216"/>
          </w:tcPr>
          <w:p>
            <w:r/>
            <w:r>
              <w:t>[●]</w:t>
            </w:r>
          </w:p>
        </w:tc>
        <w:tc>
          <w:tcPr>
            <w:tcW w:type="dxa" w:w="3216"/>
          </w:tcPr>
          <w:p>
            <w:r/>
            <w:r>
              <w:t>19%</w:t>
            </w:r>
          </w:p>
        </w:tc>
      </w:tr>
      <w:tr>
        <w:tc>
          <w:tcPr>
            <w:tcW w:type="dxa" w:w="3216"/>
          </w:tcPr>
          <w:p>
            <w:r/>
            <w:r>
              <w:t>Unallocated reserve (future hires / option pool)</w:t>
            </w:r>
          </w:p>
        </w:tc>
        <w:tc>
          <w:tcPr>
            <w:tcW w:type="dxa" w:w="3216"/>
          </w:tcPr>
          <w:p>
            <w:r/>
            <w:r>
              <w:t>held for unanimous founder decision</w:t>
            </w:r>
          </w:p>
        </w:tc>
        <w:tc>
          <w:tcPr>
            <w:tcW w:type="dxa" w:w="3216"/>
          </w:tcPr>
          <w:p>
            <w:r/>
            <w:r>
              <w:t>3%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/>
            <w:r>
              <w:rPr>
                <w:b/>
              </w:rPr>
              <w:t>100%</w:t>
            </w:r>
          </w:p>
        </w:tc>
      </w:tr>
    </w:tbl>
    <w:p/>
    <w:p>
      <w:r>
        <w:t>All founder equity vests on identical terms (Annex A). No seat carries special</w:t>
      </w:r>
    </w:p>
    <w:p>
      <w:r>
        <w:t>voting or economic rights beyond the shareholders' agreement.</w:t>
      </w:r>
    </w:p>
    <w:p>
      <w:pPr>
        <w:pStyle w:val="Heading2"/>
      </w:pPr>
      <w:r>
        <w:rPr>
          <w:color w:val="1A1A1A"/>
        </w:rPr>
        <w:t>1. Why this seat exists</w:t>
      </w:r>
    </w:p>
    <w:p>
      <w:r>
        <w:t>BuddyUp operates a fitness platform where the product lines themselves are regulated:</w:t>
      </w:r>
    </w:p>
    <w:p>
      <w:r>
        <w:t>general wellness nutrition vs. Medical Nutrition Therapy (MNT), influencer gifting</w:t>
      </w:r>
    </w:p>
    <w:p>
      <w:r>
        <w:t>disclosure under the Kenya Consumer Protection Act, PPB rules on supplement claims,</w:t>
      </w:r>
    </w:p>
    <w:p>
      <w:r>
        <w:t>age-gating for mature content, data protection under the Kenya Data Protection Act</w:t>
      </w:r>
    </w:p>
    <w:p>
      <w:r>
        <w:t>(2019), and payment flows that must never look like customer funds or stored value.</w:t>
      </w:r>
    </w:p>
    <w:p>
      <w:r>
        <w:t xml:space="preserve">We have done the first research pass (see </w:t>
      </w:r>
      <w:r>
        <w:rPr>
          <w:i/>
        </w:rPr>
        <w:t>BuddyUp Regulated Business Model 2026</w:t>
      </w:r>
      <w:r>
        <w:t>).</w:t>
      </w:r>
    </w:p>
    <w:p>
      <w:r>
        <w:t>We need a cofounder whose job is to **turn that research into enforceable product</w:t>
      </w:r>
    </w:p>
    <w:p>
      <w:r>
        <w:t>decisions** — before regulators, app stores or payment providers force the issue.</w:t>
      </w:r>
    </w:p>
    <w:p>
      <w:pPr>
        <w:pStyle w:val="Heading2"/>
      </w:pPr>
      <w:r>
        <w:rPr>
          <w:color w:val="1A1A1A"/>
        </w:rPr>
        <w:t>2. Mandate</w:t>
      </w:r>
    </w:p>
    <w:p>
      <w:r>
        <w:t>Own everything that keeps BuddyUp lawful, auditable and defensible in Kenya first,</w:t>
      </w:r>
    </w:p>
    <w:p>
      <w:r>
        <w:t>with an eye to East African Community and global expansion:</w:t>
      </w:r>
    </w:p>
    <w:p>
      <w:pPr>
        <w:pStyle w:val="ListNumber"/>
      </w:pPr>
      <w:r>
        <w:rPr>
          <w:b/>
        </w:rPr>
        <w:t>Regulatory framework</w:t>
      </w:r>
    </w:p>
    <w:p>
      <w:pPr>
        <w:pStyle w:val="ListBullet2"/>
      </w:pPr>
      <w:r>
        <w:t>Maintain and enforce the wellness-vs-MNT boundary across coaches, meal plans,</w:t>
      </w:r>
    </w:p>
    <w:p>
      <w:r>
        <w:t>programme copy, AI features and marketing.</w:t>
      </w:r>
    </w:p>
    <w:p>
      <w:pPr>
        <w:pStyle w:val="ListBullet2"/>
      </w:pPr>
      <w:r>
        <w:t>Own the prohibited-wording list, disclaimer templates, scope-of-practice rules</w:t>
      </w:r>
    </w:p>
    <w:p>
      <w:r>
        <w:t>and escalation SLAs for health-adjacent content.</w:t>
      </w:r>
    </w:p>
    <w:p>
      <w:pPr>
        <w:pStyle w:val="ListBullet2"/>
      </w:pPr>
      <w:r>
        <w:t>Run the influencer/gifting disclosure regime: material-connection disclosure</w:t>
      </w:r>
    </w:p>
    <w:p>
      <w:r>
        <w:t>standards, audit trails, creator onboarding attestations.</w:t>
      </w:r>
    </w:p>
    <w:p>
      <w:pPr>
        <w:pStyle w:val="ListNumber"/>
      </w:pPr>
      <w:r>
        <w:rPr>
          <w:b/>
        </w:rPr>
        <w:t>Data protection</w:t>
      </w:r>
    </w:p>
    <w:p>
      <w:pPr>
        <w:pStyle w:val="ListBullet2"/>
      </w:pPr>
      <w:r>
        <w:t>Register BuddyUp Ltd. with the ODPC; own DPIAs for messaging, live video,</w:t>
      </w:r>
    </w:p>
    <w:p>
      <w:r>
        <w:t>verification documents, location sharing and AI analysis.</w:t>
      </w:r>
    </w:p>
    <w:p>
      <w:pPr>
        <w:pStyle w:val="ListBullet2"/>
      </w:pPr>
      <w:r>
        <w:t>Own data-subject request handling, retention schedules and breach-notification</w:t>
      </w:r>
    </w:p>
    <w:p>
      <w:r>
        <w:t>runbooks (jointly with the Security cofounder).</w:t>
      </w:r>
    </w:p>
    <w:p>
      <w:pPr>
        <w:pStyle w:val="ListNumber"/>
      </w:pPr>
      <w:r>
        <w:rPr>
          <w:b/>
        </w:rPr>
        <w:t>Commercial law</w:t>
      </w:r>
    </w:p>
    <w:p>
      <w:pPr>
        <w:pStyle w:val="ListBullet2"/>
      </w:pPr>
      <w:r>
        <w:t>Draft/review partner SaaS agreements, coach booking terms, marketplace seller</w:t>
      </w:r>
    </w:p>
    <w:p>
      <w:r>
        <w:t>terms, Plus membership T&amp;Cs, privacy policy and acceptable-use policy.</w:t>
      </w:r>
    </w:p>
    <w:p>
      <w:pPr>
        <w:pStyle w:val="ListBullet2"/>
      </w:pPr>
      <w:r>
        <w:t>Manage the refund/dispute framework with the Finance cofounder so money movement</w:t>
      </w:r>
    </w:p>
    <w:p>
      <w:r>
        <w:t>is always authorised and documented.</w:t>
      </w:r>
    </w:p>
    <w:p>
      <w:pPr>
        <w:pStyle w:val="ListNumber"/>
      </w:pPr>
      <w:r>
        <w:rPr>
          <w:b/>
        </w:rPr>
        <w:t>Research</w:t>
      </w:r>
    </w:p>
    <w:p>
      <w:pPr>
        <w:pStyle w:val="ListBullet2"/>
      </w:pPr>
      <w:r>
        <w:t>Continuously track CAK, ODPC, PPB, CBK and Consumer Protection developments;</w:t>
      </w:r>
    </w:p>
    <w:p>
      <w:r>
        <w:t>brief the founding team monthly in writing.</w:t>
      </w:r>
    </w:p>
    <w:p>
      <w:pPr>
        <w:pStyle w:val="ListBullet2"/>
      </w:pPr>
      <w:r>
        <w:t>Own competitor/jurisdiction research memos that feed strategy decisions.</w:t>
      </w:r>
    </w:p>
    <w:p>
      <w:pPr>
        <w:pStyle w:val="Heading2"/>
      </w:pPr>
      <w:r>
        <w:rPr>
          <w:color w:val="1A1A1A"/>
        </w:rPr>
        <w:t>3. Decision rights</w:t>
      </w:r>
    </w:p>
    <w:p>
      <w:pPr>
        <w:pStyle w:val="ListBullet"/>
      </w:pPr>
      <w:r>
        <w:rPr>
          <w:b/>
        </w:rPr>
        <w:t>Veto (with reasons, in writing):</w:t>
      </w:r>
      <w:r>
        <w:t xml:space="preserve"> anything that creates unlicensed regulated</w:t>
      </w:r>
    </w:p>
    <w:p>
      <w:r>
        <w:t>activity (MNT drift, stored-value artifacts, unlicensed payments custody).</w:t>
      </w:r>
    </w:p>
    <w:p>
      <w:pPr>
        <w:pStyle w:val="ListBullet"/>
      </w:pPr>
      <w:r>
        <w:rPr>
          <w:b/>
        </w:rPr>
        <w:t>Approves:</w:t>
      </w:r>
      <w:r>
        <w:t xml:space="preserve"> user-facing legal texts, disclosure formats, verification criteria,</w:t>
      </w:r>
    </w:p>
    <w:p>
      <w:r>
        <w:t>moderation policy baselines.</w:t>
      </w:r>
    </w:p>
    <w:p>
      <w:pPr>
        <w:pStyle w:val="ListBullet"/>
      </w:pPr>
      <w:r>
        <w:rPr>
          <w:b/>
        </w:rPr>
        <w:t>Recommends to board:</w:t>
      </w:r>
      <w:r>
        <w:t xml:space="preserve"> jurisdiction expansion, insurance, external counsel spend.</w:t>
      </w:r>
    </w:p>
    <w:p>
      <w:r>
        <w:t>You are expected to operate pragmatically: your success metric is a platform that ships</w:t>
      </w:r>
    </w:p>
    <w:p>
      <w:r>
        <w:t xml:space="preserve">fast </w:t>
      </w:r>
      <w:r>
        <w:rPr>
          <w:i/>
        </w:rPr>
        <w:t>and</w:t>
      </w:r>
      <w:r>
        <w:t xml:space="preserve"> survives scrutiny — not paperwork for its own sake.</w:t>
      </w:r>
    </w:p>
    <w:p>
      <w:pPr>
        <w:pStyle w:val="Heading2"/>
      </w:pPr>
      <w:r>
        <w:rPr>
          <w:color w:val="1A1A1A"/>
        </w:rPr>
        <w:t>4. Commitment</w:t>
      </w:r>
    </w:p>
    <w:p>
      <w:pPr>
        <w:pStyle w:val="ListBullet"/>
      </w:pPr>
      <w:r>
        <w:t>Full-time from the start date; this is a build-the-company role, not advisory.</w:t>
      </w:r>
    </w:p>
    <w:p>
      <w:pPr>
        <w:pStyle w:val="ListBullet"/>
      </w:pPr>
      <w:r>
        <w:rPr>
          <w:b/>
        </w:rPr>
        <w:t>Foundations period (first 90 days):</w:t>
      </w:r>
      <w:r>
        <w:t xml:space="preserve"> mutual trial. Either side may part ways</w:t>
      </w:r>
    </w:p>
    <w:p>
      <w:r>
        <w:t>before day 90 with no vested equity and no ongoing obligations beyond confidentiality.</w:t>
      </w:r>
    </w:p>
    <w:p>
      <w:pPr>
        <w:pStyle w:val="ListBullet"/>
      </w:pPr>
      <w:r>
        <w:t>Directorship of BuddyUp Ltd. expected once the shareholders' agreement is signed.</w:t>
      </w:r>
    </w:p>
    <w:p>
      <w:pPr>
        <w:pStyle w:val="Heading2"/>
      </w:pPr>
      <w:r>
        <w:rPr>
          <w:color w:val="1A1A1A"/>
        </w:rPr>
        <w:t>5. Equity — summary</w:t>
      </w:r>
    </w:p>
    <w:p>
      <w:r>
        <w:t xml:space="preserve">Full mechanics in </w:t>
      </w:r>
      <w:r>
        <w:rPr>
          <w:b/>
        </w:rPr>
        <w:t>Annex A</w:t>
      </w:r>
      <w:r>
        <w:t>; headline terms:</w:t>
      </w:r>
    </w:p>
    <w:p>
      <w:pPr>
        <w:pStyle w:val="ListBullet"/>
      </w:pPr>
      <w:r>
        <w:t xml:space="preserve">Grant: </w:t>
      </w:r>
      <w:r>
        <w:rPr>
          <w:b/>
        </w:rPr>
        <w:t>19%</w:t>
      </w:r>
      <w:r>
        <w:t xml:space="preserve"> fully-diluted at grant.</w:t>
      </w:r>
    </w:p>
    <w:p>
      <w:pPr>
        <w:pStyle w:val="ListBullet"/>
      </w:pPr>
      <w:r>
        <w:t>4-year vesting, 1-year cliff, monthly thereafter; leaver provisions apply</w:t>
      </w:r>
    </w:p>
    <w:p>
      <w:r>
        <w:t>(unvested reverts; vested treatment per good/bad leaver definitions).</w:t>
      </w:r>
    </w:p>
    <w:p>
      <w:pPr>
        <w:pStyle w:val="ListBullet"/>
      </w:pPr>
      <w:r>
        <w:t>Standard dilution in future rounds; no anti-dilution for founders.</w:t>
      </w:r>
    </w:p>
    <w:p>
      <w:pPr>
        <w:pStyle w:val="ListBullet"/>
      </w:pPr>
      <w:r>
        <w:t>Equity is subject to you assigning all work-related IP to the company (clause 7)</w:t>
      </w:r>
    </w:p>
    <w:p>
      <w:r>
        <w:t>and signing the shareholders' agreement.</w:t>
      </w:r>
    </w:p>
    <w:p>
      <w:pPr>
        <w:pStyle w:val="Heading2"/>
      </w:pPr>
      <w:r>
        <w:rPr>
          <w:color w:val="1A1A1A"/>
        </w:rPr>
        <w:t>6. First 90 days — success looks like</w:t>
      </w:r>
    </w:p>
    <w:p>
      <w:pPr>
        <w:pStyle w:val="ListNumber"/>
      </w:pPr>
      <w:r>
        <w:t>ODPC registration filed; DPA compliance gap-list signed off by the team.</w:t>
      </w:r>
    </w:p>
    <w:p>
      <w:pPr>
        <w:pStyle w:val="ListNumber"/>
      </w:pPr>
      <w:r>
        <w:t>Wellness-vs-MNT content rules implemented in the actual product copy flow</w:t>
      </w:r>
    </w:p>
    <w:p>
      <w:r>
        <w:t>(working sessions with engineering, not a memo).</w:t>
      </w:r>
    </w:p>
    <w:p>
      <w:pPr>
        <w:pStyle w:val="ListNumber"/>
      </w:pPr>
      <w:r>
        <w:t>Gifting/disclosure policy shipped to the first cohort of creators.</w:t>
      </w:r>
    </w:p>
    <w:p>
      <w:pPr>
        <w:pStyle w:val="ListNumber"/>
      </w:pPr>
      <w:r>
        <w:t>Partner agreement template v1 in use by the Marketing &amp; Sales cofounder's</w:t>
      </w:r>
    </w:p>
    <w:p>
      <w:r>
        <w:t>first design partners.</w:t>
      </w:r>
    </w:p>
    <w:p>
      <w:pPr>
        <w:pStyle w:val="ListNumber"/>
      </w:pPr>
      <w:r>
        <w:t>Monthly regulatory brief #1 delivered.</w:t>
      </w:r>
    </w:p>
    <w:p>
      <w:pPr>
        <w:pStyle w:val="Heading2"/>
      </w:pPr>
      <w:r>
        <w:rPr>
          <w:color w:val="1A1A1A"/>
        </w:rPr>
        <w:t>7. IP, confidentiality &amp; conflicts</w:t>
      </w:r>
    </w:p>
    <w:p>
      <w:pPr>
        <w:pStyle w:val="ListBullet"/>
      </w:pPr>
      <w:r>
        <w:t>You assign to BuddyUp Ltd. all right, title and interest in work product created</w:t>
      </w:r>
    </w:p>
    <w:p>
      <w:r>
        <w:t>in the course of the engagement, effective from the start date.</w:t>
      </w:r>
    </w:p>
    <w:p>
      <w:pPr>
        <w:pStyle w:val="ListBullet"/>
      </w:pPr>
      <w:r>
        <w:t>All company information is confidential indefinitely; this obligation begins now,</w:t>
      </w:r>
    </w:p>
    <w:p>
      <w:r>
        <w:t>including pre-signature discussions.</w:t>
      </w:r>
    </w:p>
    <w:p>
      <w:pPr>
        <w:pStyle w:val="ListBullet"/>
      </w:pPr>
      <w:r>
        <w:t>Any existing commitments, outside roles or conflicts must be declared in writing</w:t>
      </w:r>
    </w:p>
    <w:p>
      <w:r>
        <w:t>before signature.</w:t>
      </w:r>
    </w:p>
    <w:p>
      <w:pPr>
        <w:pStyle w:val="Heading2"/>
      </w:pPr>
      <w:r>
        <w:rPr>
          <w:color w:val="1A1A1A"/>
        </w:rPr>
        <w:t>8. Conditions precedent</w:t>
      </w:r>
    </w:p>
    <w:p>
      <w:r>
        <w:t>Signature of these heads of terms starts the relationship on trust; the following must</w:t>
      </w:r>
    </w:p>
    <w:p>
      <w:r>
        <w:t>complete within 60 days:</w:t>
      </w:r>
    </w:p>
    <w:p>
      <w:pPr>
        <w:pStyle w:val="ListNumber"/>
      </w:pPr>
      <w:r>
        <w:t>Executed Founders' Shareholders' Agreement (Kenyan advocate drafted).</w:t>
      </w:r>
    </w:p>
    <w:p>
      <w:pPr>
        <w:pStyle w:val="ListNumber"/>
      </w:pPr>
      <w:r>
        <w:t>Board appointment paperwork filed with the Registrar of Companies.</w:t>
      </w:r>
    </w:p>
    <w:p>
      <w:pPr>
        <w:pStyle w:val="ListNumber"/>
      </w:pPr>
      <w:r>
        <w:t>Declaration of conflicts + right-to-work confirmation.</w:t>
      </w:r>
    </w:p>
    <w:p>
      <w:pPr>
        <w:pStyle w:val="Heading2"/>
      </w:pPr>
      <w:r>
        <w:rPr>
          <w:color w:val="1A1A1A"/>
        </w:rPr>
        <w:t>Signatures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 BuddyUp Ltd.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Candidate</w:t>
            </w:r>
          </w:p>
        </w:tc>
      </w:tr>
      <w:tr>
        <w:tc>
          <w:tcPr>
            <w:tcW w:type="dxa" w:w="4824"/>
          </w:tcPr>
          <w:p>
            <w:r/>
            <w:r>
              <w:t>Name: Peter Mbugua</w:t>
            </w:r>
          </w:p>
        </w:tc>
        <w:tc>
          <w:tcPr>
            <w:tcW w:type="dxa" w:w="4824"/>
          </w:tcPr>
          <w:p>
            <w:r/>
            <w:r>
              <w:t>Name: [Full legal name]</w:t>
            </w:r>
          </w:p>
        </w:tc>
      </w:tr>
      <w:tr>
        <w:tc>
          <w:tcPr>
            <w:tcW w:type="dxa" w:w="4824"/>
          </w:tcPr>
          <w:p>
            <w:r/>
            <w:r>
              <w:t>Title: Cofounder &amp; CEO</w:t>
            </w:r>
          </w:p>
        </w:tc>
        <w:tc>
          <w:tcPr>
            <w:tcW w:type="dxa" w:w="4824"/>
          </w:tcPr>
          <w:p>
            <w:r/>
            <w:r>
              <w:t>ID/Passport: [●]</w:t>
            </w:r>
          </w:p>
        </w:tc>
      </w:tr>
      <w:tr>
        <w:tc>
          <w:tcPr>
            <w:tcW w:type="dxa" w:w="4824"/>
          </w:tcPr>
          <w:p>
            <w:r/>
            <w:r>
              <w:t>Signature: ________________ Date: ______</w:t>
            </w:r>
          </w:p>
        </w:tc>
        <w:tc>
          <w:tcPr>
            <w:tcW w:type="dxa" w:w="4824"/>
          </w:tcPr>
          <w:p>
            <w:r/>
            <w:r>
              <w:t>Signature: ________________ Date: ______</w:t>
            </w:r>
          </w:p>
        </w:tc>
      </w:tr>
    </w:tbl>
    <w:p/>
    <w:p>
      <w:pPr>
        <w:spacing w:before="80"/>
        <w:pBdr>
          <w:bottom w:val="single" w:sz="6" w:color="BBBBBB"/>
        </w:pBdr>
      </w:pPr>
    </w:p>
    <w:p>
      <w:pPr>
        <w:pStyle w:val="Heading2"/>
      </w:pPr>
      <w:r>
        <w:rPr>
          <w:color w:val="1A1A1A"/>
        </w:rPr>
        <w:t>Annex A — Vesting schedule (applies to all founder grants)</w:t>
      </w:r>
    </w:p>
    <w:p>
      <w:pPr>
        <w:pStyle w:val="ListNumber"/>
      </w:pPr>
      <w:r>
        <w:rPr>
          <w:b/>
        </w:rPr>
        <w:t>Grant:</w:t>
      </w:r>
      <w:r>
        <w:t xml:space="preserve"> 19% of the fully-diluted capital of BuddyUp Ltd. as at the start</w:t>
      </w:r>
    </w:p>
    <w:p>
      <w:r>
        <w:t>date, recorded in the share register.</w:t>
      </w:r>
    </w:p>
    <w:p>
      <w:pPr>
        <w:pStyle w:val="ListNumber"/>
      </w:pPr>
      <w:r>
        <w:rPr>
          <w:b/>
        </w:rPr>
        <w:t>Cliff:</w:t>
      </w:r>
      <w:r>
        <w:t xml:space="preserve"> no shares vest before the 12-month anniversary of the start date.</w:t>
      </w:r>
    </w:p>
    <w:p>
      <w:r>
        <w:t>On passing the cliff, 25% vests retroactively; the remainder vests monthly</w:t>
      </w:r>
    </w:p>
    <w:p>
      <w:r>
        <w:t>over the following 36 months.</w:t>
      </w:r>
    </w:p>
    <w:p>
      <w:pPr>
        <w:pStyle w:val="ListNumber"/>
      </w:pPr>
      <w:r>
        <w:rPr>
          <w:b/>
        </w:rPr>
        <w:t>Leavers:</w:t>
      </w:r>
    </w:p>
    <w:p>
      <w:pPr>
        <w:pStyle w:val="ListBullet2"/>
      </w:pPr>
      <w:r>
        <w:rPr>
          <w:i/>
        </w:rPr>
        <w:t>Good leaver</w:t>
      </w:r>
      <w:r>
        <w:t xml:space="preserve"> (illness, mutual agreement, role eliminated): vested shares retained;</w:t>
      </w:r>
    </w:p>
    <w:p>
      <w:r>
        <w:t>unvested cancelled or partly accelerated at board discretion.</w:t>
      </w:r>
    </w:p>
    <w:p>
      <w:pPr>
        <w:pStyle w:val="ListBullet2"/>
      </w:pPr>
      <w:r>
        <w:rPr>
          <w:i/>
        </w:rPr>
        <w:t>Bad leaver</w:t>
      </w:r>
      <w:r>
        <w:t xml:space="preserve"> (gross misconduct, material breach, resignation without good reason</w:t>
      </w:r>
    </w:p>
    <w:p>
      <w:r>
        <w:t>within the first 2 years): unvested shares cancel; vested shares may be bought back</w:t>
      </w:r>
    </w:p>
    <w:p>
      <w:r>
        <w:t>at nominal or fair value per the shareholders' agreement.</w:t>
      </w:r>
    </w:p>
    <w:p>
      <w:pPr>
        <w:pStyle w:val="ListNumber"/>
      </w:pPr>
      <w:r>
        <w:rPr>
          <w:b/>
        </w:rPr>
        <w:t>Acceleration:</w:t>
      </w:r>
      <w:r>
        <w:t xml:space="preserve"> single-trigger acceleration is not offered; double-trigger</w:t>
      </w:r>
    </w:p>
    <w:p>
      <w:r>
        <w:t>(change of control + termination without cause) accelerates 50% of unvested shares.</w:t>
      </w:r>
    </w:p>
    <w:p>
      <w:pPr>
        <w:pStyle w:val="ListNumber"/>
      </w:pPr>
      <w:r>
        <w:rPr>
          <w:b/>
        </w:rPr>
        <w:t>Dilution:</w:t>
      </w:r>
      <w:r>
        <w:t xml:space="preserve"> future investment rounds dilute all holders pro rata. Founders may</w:t>
      </w:r>
    </w:p>
    <w:p>
      <w:r>
        <w:t>vote to create an option pool from founder holdings only by unanimous consent.</w:t>
      </w:r>
    </w:p>
    <w:p>
      <w:pPr>
        <w:pStyle w:val="ListNumber"/>
      </w:pPr>
      <w:r>
        <w:rPr>
          <w:b/>
        </w:rPr>
        <w:t>Lock-in:</w:t>
      </w:r>
      <w:r>
        <w:t xml:space="preserve"> founders may not transfer shares other than per the shareholders'</w:t>
      </w:r>
    </w:p>
    <w:p>
      <w:r>
        <w:t>agreement (pre-emption rights apply).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