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8A5C"/>
        </w:rPr>
        <w:t>Cofounder Agreement — Marketing &amp; Sales</w:t>
      </w:r>
    </w:p>
    <w:p>
      <w:r>
        <w:rPr>
          <w:b/>
        </w:rPr>
        <w:t>BuddyUp Ltd.</w:t>
      </w:r>
      <w:r>
        <w:t xml:space="preserve"> — Founding Team Heads of Terms (pre-shareholders' agreement)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Candidate</w:t>
            </w:r>
          </w:p>
        </w:tc>
        <w:tc>
          <w:tcPr>
            <w:tcW w:type="dxa" w:w="4824"/>
          </w:tcPr>
          <w:p>
            <w:r/>
            <w:r>
              <w:t>[Full legal name], ID/Passport No. [●]</w:t>
            </w:r>
          </w:p>
        </w:tc>
      </w:tr>
      <w:tr>
        <w:tc>
          <w:tcPr>
            <w:tcW w:type="dxa" w:w="4824"/>
          </w:tcPr>
          <w:p>
            <w:r/>
            <w:r>
              <w:t>Role</w:t>
            </w:r>
          </w:p>
        </w:tc>
        <w:tc>
          <w:tcPr>
            <w:tcW w:type="dxa" w:w="4824"/>
          </w:tcPr>
          <w:p>
            <w:r/>
            <w:r>
              <w:t>Cofounder — Marketing, Sales &amp; Partnerships</w:t>
            </w:r>
          </w:p>
        </w:tc>
      </w:tr>
      <w:tr>
        <w:tc>
          <w:tcPr>
            <w:tcW w:type="dxa" w:w="4824"/>
          </w:tcPr>
          <w:p>
            <w:r/>
            <w:r>
              <w:t>Proposed equity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19%</w:t>
            </w:r>
            <w:r>
              <w:t xml:space="preserve"> of fully-diluted share capital at grant, subject to the vesting terms in Annex A</w:t>
            </w:r>
          </w:p>
        </w:tc>
      </w:tr>
      <w:tr>
        <w:tc>
          <w:tcPr>
            <w:tcW w:type="dxa" w:w="4824"/>
          </w:tcPr>
          <w:p>
            <w:r/>
            <w:r>
              <w:t>Vesting</w:t>
            </w:r>
          </w:p>
        </w:tc>
        <w:tc>
          <w:tcPr>
            <w:tcW w:type="dxa" w:w="4824"/>
          </w:tcPr>
          <w:p>
            <w:r/>
            <w:r>
              <w:t>4 years monthly, 1-year cliff (Annex A)</w:t>
            </w:r>
          </w:p>
        </w:tc>
      </w:tr>
      <w:tr>
        <w:tc>
          <w:tcPr>
            <w:tcW w:type="dxa" w:w="4824"/>
          </w:tcPr>
          <w:p>
            <w:r/>
            <w:r>
              <w:t>Start date</w:t>
            </w:r>
          </w:p>
        </w:tc>
        <w:tc>
          <w:tcPr>
            <w:tcW w:type="dxa" w:w="4824"/>
          </w:tcPr>
          <w:p>
            <w:r/>
            <w:r>
              <w:t>[●]</w:t>
            </w:r>
          </w:p>
        </w:tc>
      </w:tr>
      <w:tr>
        <w:tc>
          <w:tcPr>
            <w:tcW w:type="dxa" w:w="4824"/>
          </w:tcPr>
          <w:p>
            <w:r/>
            <w:r>
              <w:t>Reporting line</w:t>
            </w:r>
          </w:p>
        </w:tc>
        <w:tc>
          <w:tcPr>
            <w:tcW w:type="dxa" w:w="4824"/>
          </w:tcPr>
          <w:p>
            <w:r/>
            <w:r>
              <w:t>CEO / Board of BuddyUp Ltd.</w:t>
            </w:r>
          </w:p>
        </w:tc>
      </w:tr>
    </w:tbl>
    <w:p/>
    <w:p>
      <w:pPr>
        <w:spacing w:after="160"/>
        <w:ind w:left="360"/>
      </w:pPr>
      <w:r>
        <w:rPr>
          <w:b/>
          <w:i/>
          <w:color w:val="444444"/>
        </w:rPr>
        <w:t>Status:</w:t>
      </w:r>
      <w:r>
        <w:rPr>
          <w:i/>
          <w:color w:val="444444"/>
        </w:rPr>
        <w:t xml:space="preserve"> This is an invitation to join the founding team and a summary of proposed terms. It is not a shareholders' agreement, not an employment contract, and not legal advice. It becomes binding only when superseded by the executed Founders' Shareholders' Agreement (Kenyan law) that all founders will sign together.</w:t>
      </w:r>
    </w:p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Founding team &amp; ownership</w:t>
      </w:r>
    </w:p>
    <w:p>
      <w:r>
        <w:t>The founding team holds 97% of BuddyUp Ltd. at incorporation, split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Seat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Holder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Equity</w:t>
            </w:r>
          </w:p>
        </w:tc>
      </w:tr>
      <w:tr>
        <w:tc>
          <w:tcPr>
            <w:tcW w:type="dxa" w:w="3216"/>
          </w:tcPr>
          <w:p>
            <w:r/>
            <w:r>
              <w:t>Cofounder &amp; CEO — Engineering</w:t>
            </w:r>
          </w:p>
        </w:tc>
        <w:tc>
          <w:tcPr>
            <w:tcW w:type="dxa" w:w="3216"/>
          </w:tcPr>
          <w:p>
            <w:r/>
            <w:r>
              <w:t>Peter Mbugua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21%</w:t>
            </w:r>
          </w:p>
        </w:tc>
      </w:tr>
      <w:tr>
        <w:tc>
          <w:tcPr>
            <w:tcW w:type="dxa" w:w="3216"/>
          </w:tcPr>
          <w:p>
            <w:r/>
            <w:r>
              <w:t>Cofounder — Marketing, Sales &amp; Partnerships</w:t>
            </w:r>
          </w:p>
        </w:tc>
        <w:tc>
          <w:tcPr>
            <w:tcW w:type="dxa" w:w="3216"/>
          </w:tcPr>
          <w:p>
            <w:r/>
            <w:r>
              <w:rPr>
                <w:i/>
              </w:rPr>
              <w:t>(this offer — [Full legal name])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Cofounder — Security Engineering &amp; Trust</w:t>
            </w:r>
          </w:p>
        </w:tc>
        <w:tc>
          <w:tcPr>
            <w:tcW w:type="dxa" w:w="3216"/>
          </w:tcPr>
          <w:p>
            <w:r/>
            <w:r>
              <w:t>[●]</w:t>
            </w:r>
          </w:p>
        </w:tc>
        <w:tc>
          <w:tcPr>
            <w:tcW w:type="dxa" w:w="3216"/>
          </w:tcPr>
          <w:p>
            <w:r/>
            <w: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Cofounder — Finance, Strategy &amp; Controller</w:t>
            </w:r>
          </w:p>
        </w:tc>
        <w:tc>
          <w:tcPr>
            <w:tcW w:type="dxa" w:w="3216"/>
          </w:tcPr>
          <w:p>
            <w:r/>
            <w:r>
              <w:t>[●]</w:t>
            </w:r>
          </w:p>
        </w:tc>
        <w:tc>
          <w:tcPr>
            <w:tcW w:type="dxa" w:w="3216"/>
          </w:tcPr>
          <w:p>
            <w:r/>
            <w: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Unallocated reserve (future hires / option pool)</w:t>
            </w:r>
          </w:p>
        </w:tc>
        <w:tc>
          <w:tcPr>
            <w:tcW w:type="dxa" w:w="3216"/>
          </w:tcPr>
          <w:p>
            <w:r/>
            <w:r>
              <w:t>held for unanimous founder decision</w:t>
            </w:r>
          </w:p>
        </w:tc>
        <w:tc>
          <w:tcPr>
            <w:tcW w:type="dxa" w:w="3216"/>
          </w:tcPr>
          <w:p>
            <w:r/>
            <w:r>
              <w:t>3%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  <w:r>
              <w:rPr>
                <w:b/>
              </w:rPr>
              <w:t>100%</w:t>
            </w:r>
          </w:p>
        </w:tc>
      </w:tr>
    </w:tbl>
    <w:p/>
    <w:p>
      <w:r>
        <w:t>All founder equity vests on identical terms (Annex A). No seat carries special</w:t>
      </w:r>
    </w:p>
    <w:p>
      <w:r>
        <w:t>voting or economic rights beyond the shareholders' agreement.</w:t>
      </w:r>
    </w:p>
    <w:p>
      <w:pPr>
        <w:pStyle w:val="Heading2"/>
      </w:pPr>
      <w:r>
        <w:rPr>
          <w:color w:val="1A1A1A"/>
        </w:rPr>
        <w:t>1. Why this seat exists</w:t>
      </w:r>
    </w:p>
    <w:p>
      <w:r>
        <w:t>The platform is built: web + Flutter apps, communities, buddy matching, coach bookings,</w:t>
      </w:r>
    </w:p>
    <w:p>
      <w:r>
        <w:t>marketplace, M-PESA/card payments, moderation and verification flows. What BuddyUp does</w:t>
      </w:r>
    </w:p>
    <w:p>
      <w:r>
        <w:t>not have yet is demand — paying gyms, studios and coaches in Nairobi, and activated</w:t>
      </w:r>
    </w:p>
    <w:p>
      <w:r>
        <w:t>members inside their communities.</w:t>
      </w:r>
    </w:p>
    <w:p>
      <w:r>
        <w:t>Our model is partner-led density: a gym community supplies a real-world cluster, which</w:t>
      </w:r>
    </w:p>
    <w:p>
      <w:r>
        <w:t>solves cold-start better than any ad spend. The funded plan commits to recruiting</w:t>
      </w:r>
    </w:p>
    <w:p>
      <w:r>
        <w:rPr>
          <w:b/>
        </w:rPr>
        <w:t>10 design partners and converting 30 paying partners within 18 months</w:t>
      </w:r>
      <w:r>
        <w:t>, plus member</w:t>
      </w:r>
    </w:p>
    <w:p>
      <w:r>
        <w:t>activation measured on participation — not downloads.</w:t>
      </w:r>
    </w:p>
    <w:p>
      <w:pPr>
        <w:pStyle w:val="Heading2"/>
      </w:pPr>
      <w:r>
        <w:rPr>
          <w:color w:val="1A1A1A"/>
        </w:rPr>
        <w:t>2. Mandate</w:t>
      </w:r>
    </w:p>
    <w:p>
      <w:r>
        <w:t>Own the entire revenue engine:</w:t>
      </w:r>
    </w:p>
    <w:p>
      <w:pPr>
        <w:pStyle w:val="ListNumber"/>
      </w:pPr>
      <w:r>
        <w:rPr>
          <w:b/>
        </w:rPr>
        <w:t>Design partners (first 90 days)</w:t>
      </w:r>
    </w:p>
    <w:p>
      <w:pPr>
        <w:pStyle w:val="ListBullet2"/>
      </w:pPr>
      <w:r>
        <w:t>Recruit and onboard the first 10 gyms/studios/coaches as free design partners.</w:t>
      </w:r>
    </w:p>
    <w:p>
      <w:pPr>
        <w:pStyle w:val="ListBullet2"/>
      </w:pPr>
      <w:r>
        <w:t>Run structured onboarding so each partner launches a branded community with at</w:t>
      </w:r>
    </w:p>
    <w:p>
      <w:r>
        <w:t>least one scheduled activity per week within two weeks of signup.</w:t>
      </w:r>
    </w:p>
    <w:p>
      <w:pPr>
        <w:pStyle w:val="ListNumber"/>
      </w:pPr>
      <w:r>
        <w:rPr>
          <w:b/>
        </w:rPr>
        <w:t>Paying partners</w:t>
      </w:r>
    </w:p>
    <w:p>
      <w:pPr>
        <w:pStyle w:val="ListBullet2"/>
      </w:pPr>
      <w:r>
        <w:t>Convert design partners to paid Partner SaaS plans; own pricing feedback loops</w:t>
      </w:r>
    </w:p>
    <w:p>
      <w:r>
        <w:t>with the Finance cofounder.</w:t>
      </w:r>
    </w:p>
    <w:p>
      <w:pPr>
        <w:pStyle w:val="ListBullet2"/>
      </w:pPr>
      <w:r>
        <w:t>Build and run the sales playbook: outreach, demos, objections, close paperwork</w:t>
      </w:r>
    </w:p>
    <w:p>
      <w:r>
        <w:t>(with the Legal cofounder), handoff to partner success.</w:t>
      </w:r>
    </w:p>
    <w:p>
      <w:pPr>
        <w:pStyle w:val="ListNumber"/>
      </w:pPr>
      <w:r>
        <w:rPr>
          <w:b/>
        </w:rPr>
        <w:t>Member activation</w:t>
      </w:r>
    </w:p>
    <w:p>
      <w:pPr>
        <w:pStyle w:val="ListBullet2"/>
      </w:pPr>
      <w:r>
        <w:t>Own referral, ambassador and partner-launch campaigns; report on *activated</w:t>
      </w:r>
    </w:p>
    <w:p>
      <w:r>
        <w:t>members* (joined ≥1 planned activity with a Bud), never vanity metrics.</w:t>
      </w:r>
    </w:p>
    <w:p>
      <w:pPr>
        <w:pStyle w:val="ListNumber"/>
      </w:pPr>
      <w:r>
        <w:rPr>
          <w:b/>
        </w:rPr>
        <w:t>Brand &amp; content</w:t>
      </w:r>
    </w:p>
    <w:p>
      <w:pPr>
        <w:pStyle w:val="ListBullet2"/>
      </w:pPr>
      <w:r>
        <w:t>Own positioning, website messaging, social presence and local-community marketing.</w:t>
      </w:r>
    </w:p>
    <w:p>
      <w:pPr>
        <w:pStyle w:val="ListBullet2"/>
      </w:pPr>
      <w:r>
        <w:t>Enforce gifting/disclosure rules from the Legal framework in every campaign —</w:t>
      </w:r>
    </w:p>
    <w:p>
      <w:r>
        <w:t>no undisclosed material connections, ever.</w:t>
      </w:r>
    </w:p>
    <w:p>
      <w:pPr>
        <w:pStyle w:val="ListNumber"/>
      </w:pPr>
      <w:r>
        <w:rPr>
          <w:b/>
        </w:rPr>
        <w:t>Voice of market</w:t>
      </w:r>
    </w:p>
    <w:p>
      <w:pPr>
        <w:pStyle w:val="ListBullet2"/>
      </w:pPr>
      <w:r>
        <w:t>Monthly written market brief to the founding team: what partners and members</w:t>
      </w:r>
    </w:p>
    <w:p>
      <w:r>
        <w:t>actually say, what they refuse to pay for, what competitors (Strava, ClassPass,</w:t>
      </w:r>
    </w:p>
    <w:p>
      <w:r>
        <w:t>Trainerize, WhatsApp groups) are doing locally.</w:t>
      </w:r>
    </w:p>
    <w:p>
      <w:pPr>
        <w:pStyle w:val="Heading2"/>
      </w:pPr>
      <w:r>
        <w:rPr>
          <w:color w:val="1A1A1A"/>
        </w:rPr>
        <w:t>3. Decision rights</w:t>
      </w:r>
    </w:p>
    <w:p>
      <w:pPr>
        <w:pStyle w:val="ListBullet"/>
      </w:pPr>
      <w:r>
        <w:rPr>
          <w:b/>
        </w:rPr>
        <w:t>Owns:</w:t>
      </w:r>
      <w:r>
        <w:t xml:space="preserve"> sales pipeline, partner pricing experiments within board-approved bounds,</w:t>
      </w:r>
    </w:p>
    <w:p>
      <w:r>
        <w:t>campaign budgets within the approved plan, brand voice.</w:t>
      </w:r>
    </w:p>
    <w:p>
      <w:pPr>
        <w:pStyle w:val="ListBullet"/>
      </w:pPr>
      <w:r>
        <w:rPr>
          <w:b/>
        </w:rPr>
        <w:t>Joint sign-off (with Finance):</w:t>
      </w:r>
      <w:r>
        <w:t xml:space="preserve"> non-standard discounting, annual contract terms.</w:t>
      </w:r>
    </w:p>
    <w:p>
      <w:pPr>
        <w:pStyle w:val="ListBullet"/>
      </w:pPr>
      <w:r>
        <w:rPr>
          <w:b/>
        </w:rPr>
        <w:t>Joint sign-off (with Legal):</w:t>
      </w:r>
      <w:r>
        <w:t xml:space="preserve"> any public claim touching health outcomes,</w:t>
      </w:r>
    </w:p>
    <w:p>
      <w:r>
        <w:t>testimonials or before/after imagery.</w:t>
      </w:r>
    </w:p>
    <w:p>
      <w:pPr>
        <w:pStyle w:val="Heading2"/>
      </w:pPr>
      <w:r>
        <w:rPr>
          <w:color w:val="1A1A1A"/>
        </w:rPr>
        <w:t>4. Commitment</w:t>
      </w:r>
    </w:p>
    <w:p>
      <w:pPr>
        <w:pStyle w:val="ListBullet"/>
      </w:pPr>
      <w:r>
        <w:t>Full-time from the start date; founder-level ownership of a number:</w:t>
      </w:r>
    </w:p>
    <w:p>
      <w:r>
        <w:rPr>
          <w:b/>
        </w:rPr>
        <w:t>paying partners and activated members</w:t>
      </w:r>
      <w:r>
        <w:t>.</w:t>
      </w:r>
    </w:p>
    <w:p>
      <w:pPr>
        <w:pStyle w:val="ListBullet"/>
      </w:pPr>
      <w:r>
        <w:rPr>
          <w:b/>
        </w:rPr>
        <w:t>Foundations period (first 90 days):</w:t>
      </w:r>
      <w:r>
        <w:t xml:space="preserve"> mutual trial as set out in Annex A.</w:t>
      </w:r>
    </w:p>
    <w:p>
      <w:pPr>
        <w:pStyle w:val="ListBullet"/>
      </w:pPr>
      <w:r>
        <w:t>Directorship expected once the shareholders' agreement is signed.</w:t>
      </w:r>
    </w:p>
    <w:p>
      <w:pPr>
        <w:pStyle w:val="Heading2"/>
      </w:pPr>
      <w:r>
        <w:rPr>
          <w:color w:val="1A1A1A"/>
        </w:rPr>
        <w:t>5. Equity — summary</w:t>
      </w:r>
    </w:p>
    <w:p>
      <w:r>
        <w:t xml:space="preserve">Grant of </w:t>
      </w:r>
      <w:r>
        <w:rPr>
          <w:b/>
        </w:rPr>
        <w:t>19%</w:t>
      </w:r>
      <w:r>
        <w:t xml:space="preserve"> fully-diluted at grant; vesting and leaver terms per Annex A.</w:t>
      </w:r>
    </w:p>
    <w:p>
      <w:r>
        <w:t>Equity subject to IP assignment (clause 7) and execution of the shareholders'</w:t>
      </w:r>
    </w:p>
    <w:p>
      <w:r>
        <w:t>agreement.</w:t>
      </w:r>
    </w:p>
    <w:p>
      <w:pPr>
        <w:pStyle w:val="Heading2"/>
      </w:pPr>
      <w:r>
        <w:rPr>
          <w:color w:val="1A1A1A"/>
        </w:rPr>
        <w:t>6. First 90 days — success looks like</w:t>
      </w:r>
    </w:p>
    <w:p>
      <w:pPr>
        <w:pStyle w:val="ListNumber"/>
      </w:pPr>
      <w:r>
        <w:t>10 signed design partners live on the platform, each with an active weekly activity.</w:t>
      </w:r>
    </w:p>
    <w:p>
      <w:pPr>
        <w:pStyle w:val="ListNumber"/>
      </w:pPr>
      <w:r>
        <w:t>First 3 conversion conversations opened (not closed — opened).</w:t>
      </w:r>
    </w:p>
    <w:p>
      <w:pPr>
        <w:pStyle w:val="ListNumber"/>
      </w:pPr>
      <w:r>
        <w:t>Referral loop v1 running inside at least 3 partner communities.</w:t>
      </w:r>
    </w:p>
    <w:p>
      <w:pPr>
        <w:pStyle w:val="ListNumber"/>
      </w:pPr>
      <w:r>
        <w:t>Sales playbook v1 documented well enough that a new hire could run demo #11.</w:t>
      </w:r>
    </w:p>
    <w:p>
      <w:pPr>
        <w:pStyle w:val="ListNumber"/>
      </w:pPr>
      <w:r>
        <w:t>Monthly market brief #1 delivered.</w:t>
      </w:r>
    </w:p>
    <w:p>
      <w:r>
        <w:t>If after 90 days fewer than 5 design partners are live, we take that seriously as a</w:t>
      </w:r>
    </w:p>
    <w:p>
      <w:r>
        <w:t>signal — about the market, the product or the fit — and address it together honestly.</w:t>
      </w:r>
    </w:p>
    <w:p>
      <w:pPr>
        <w:pStyle w:val="Heading2"/>
      </w:pPr>
      <w:r>
        <w:rPr>
          <w:color w:val="1A1A1A"/>
        </w:rPr>
        <w:t>7. IP, confidentiality &amp; conflicts</w:t>
      </w:r>
    </w:p>
    <w:p>
      <w:pPr>
        <w:pStyle w:val="ListBullet"/>
      </w:pPr>
      <w:r>
        <w:t>All campaigns, lists, playbooks, creative and collateral created for BuddyUp belong</w:t>
      </w:r>
    </w:p>
    <w:p>
      <w:r>
        <w:t>to BuddyUp Ltd. from creation.</w:t>
      </w:r>
    </w:p>
    <w:p>
      <w:pPr>
        <w:pStyle w:val="ListBullet"/>
      </w:pPr>
      <w:r>
        <w:t>Confidentiality applies indefinitely and starts now, including pre-signature talks.</w:t>
      </w:r>
    </w:p>
    <w:p>
      <w:pPr>
        <w:pStyle w:val="ListBullet"/>
      </w:pPr>
      <w:r>
        <w:t>Existing side engagements must be declared; competing fitness-platform involvement</w:t>
      </w:r>
    </w:p>
    <w:p>
      <w:r>
        <w:t>during the engagement requires board consent.</w:t>
      </w:r>
    </w:p>
    <w:p>
      <w:pPr>
        <w:pStyle w:val="Heading2"/>
      </w:pPr>
      <w:r>
        <w:rPr>
          <w:color w:val="1A1A1A"/>
        </w:rPr>
        <w:t>8. Conditions precedent</w:t>
      </w:r>
    </w:p>
    <w:p>
      <w:pPr>
        <w:pStyle w:val="ListNumber"/>
      </w:pPr>
      <w:r>
        <w:t>Executed Founders' Shareholders' Agreement (Kenyan advocate drafted).</w:t>
      </w:r>
    </w:p>
    <w:p>
      <w:pPr>
        <w:pStyle w:val="ListNumber"/>
      </w:pPr>
      <w:r>
        <w:t>Board appointment paperwork filed.</w:t>
      </w:r>
    </w:p>
    <w:p>
      <w:pPr>
        <w:pStyle w:val="ListNumber"/>
      </w:pPr>
      <w:r>
        <w:t>Declaration of conflicts.</w:t>
      </w:r>
    </w:p>
    <w:p>
      <w:pPr>
        <w:pStyle w:val="Heading2"/>
      </w:pPr>
      <w:r>
        <w:rPr>
          <w:color w:val="1A1A1A"/>
        </w:rPr>
        <w:t>Signatures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 BuddyUp Ltd.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Candidate</w:t>
            </w:r>
          </w:p>
        </w:tc>
      </w:tr>
      <w:tr>
        <w:tc>
          <w:tcPr>
            <w:tcW w:type="dxa" w:w="4824"/>
          </w:tcPr>
          <w:p>
            <w:r/>
            <w:r>
              <w:t>Name: Peter Mbugua</w:t>
            </w:r>
          </w:p>
        </w:tc>
        <w:tc>
          <w:tcPr>
            <w:tcW w:type="dxa" w:w="4824"/>
          </w:tcPr>
          <w:p>
            <w:r/>
            <w:r>
              <w:t>Name: [Full legal name]</w:t>
            </w:r>
          </w:p>
        </w:tc>
      </w:tr>
      <w:tr>
        <w:tc>
          <w:tcPr>
            <w:tcW w:type="dxa" w:w="4824"/>
          </w:tcPr>
          <w:p>
            <w:r/>
            <w:r>
              <w:t>Title: Cofounder &amp; CEO</w:t>
            </w:r>
          </w:p>
        </w:tc>
        <w:tc>
          <w:tcPr>
            <w:tcW w:type="dxa" w:w="4824"/>
          </w:tcPr>
          <w:p>
            <w:r/>
            <w:r>
              <w:t>ID/Passport: [●]</w:t>
            </w:r>
          </w:p>
        </w:tc>
      </w:tr>
      <w:tr>
        <w:tc>
          <w:tcPr>
            <w:tcW w:type="dxa" w:w="4824"/>
          </w:tcPr>
          <w:p>
            <w:r/>
            <w:r>
              <w:t>Signature: ________________ Date: ______</w:t>
            </w:r>
          </w:p>
        </w:tc>
        <w:tc>
          <w:tcPr>
            <w:tcW w:type="dxa" w:w="4824"/>
          </w:tcPr>
          <w:p>
            <w:r/>
            <w:r>
              <w:t>Signature: ________________ Date: ______</w:t>
            </w:r>
          </w:p>
        </w:tc>
      </w:tr>
    </w:tbl>
    <w:p/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Annex A — Vesting schedule</w:t>
      </w:r>
    </w:p>
    <w:p>
      <w:r>
        <w:rPr>
          <w:i/>
        </w:rPr>
        <w:t>(Identical to the annex in every founder agreement; reproduced here for completeness.)</w:t>
      </w:r>
    </w:p>
    <w:p>
      <w:pPr>
        <w:pStyle w:val="ListNumber"/>
      </w:pPr>
      <w:r>
        <w:t>Grant of 19% of the fully-diluted capital of BuddyUp Ltd. as at the start date,</w:t>
      </w:r>
    </w:p>
    <w:p>
      <w:r>
        <w:t>recorded in the share register.</w:t>
      </w:r>
    </w:p>
    <w:p>
      <w:pPr>
        <w:pStyle w:val="ListNumber"/>
      </w:pPr>
      <w:r>
        <w:t>12-month cliff (25% retroactive), then monthly vesting over 36 months.</w:t>
      </w:r>
    </w:p>
    <w:p>
      <w:pPr>
        <w:pStyle w:val="ListNumber"/>
      </w:pPr>
      <w:r>
        <w:t>Good leaver / bad leaver provisions per the shareholders' agreement;</w:t>
      </w:r>
    </w:p>
    <w:p>
      <w:r>
        <w:t>unvested shares cancel on departure.</w:t>
      </w:r>
    </w:p>
    <w:p>
      <w:pPr>
        <w:pStyle w:val="ListNumber"/>
      </w:pPr>
      <w:r>
        <w:t>No single-trigger acceleration; double-trigger = 50% acceleration of unvested shares.</w:t>
      </w:r>
    </w:p>
    <w:p>
      <w:pPr>
        <w:pStyle w:val="ListNumber"/>
      </w:pPr>
      <w:r>
        <w:t>Pro-rata dilution in future rounds; option-pool changes require unanimous founder consent.</w:t>
      </w:r>
    </w:p>
    <w:p>
      <w:pPr>
        <w:pStyle w:val="ListNumber"/>
      </w:pPr>
      <w:r>
        <w:t>Founder share transfers restricted by pre-emption rights in the shareholders' agreement.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