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8A5C"/>
        </w:rPr>
        <w:t>Cofounder Agreement — Security</w:t>
      </w:r>
    </w:p>
    <w:p>
      <w:r>
        <w:rPr>
          <w:b/>
        </w:rPr>
        <w:t>BuddyUp Ltd.</w:t>
      </w:r>
      <w:r>
        <w:t xml:space="preserve"> — Founding Team Heads of Terms (pre-shareholders' agreement)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</w:p>
        </w:tc>
      </w:tr>
      <w:tr>
        <w:tc>
          <w:tcPr>
            <w:tcW w:type="dxa" w:w="4824"/>
          </w:tcPr>
          <w:p>
            <w:r/>
            <w:r>
              <w:t>Candidate</w:t>
            </w:r>
          </w:p>
        </w:tc>
        <w:tc>
          <w:tcPr>
            <w:tcW w:type="dxa" w:w="4824"/>
          </w:tcPr>
          <w:p>
            <w:r/>
            <w:r>
              <w:t>[Full legal name], ID/Passport No. [●]</w:t>
            </w:r>
          </w:p>
        </w:tc>
      </w:tr>
      <w:tr>
        <w:tc>
          <w:tcPr>
            <w:tcW w:type="dxa" w:w="4824"/>
          </w:tcPr>
          <w:p>
            <w:r/>
            <w:r>
              <w:t>Role</w:t>
            </w:r>
          </w:p>
        </w:tc>
        <w:tc>
          <w:tcPr>
            <w:tcW w:type="dxa" w:w="4824"/>
          </w:tcPr>
          <w:p>
            <w:r/>
            <w:r>
              <w:t>Cofounder — Security Engineering &amp; Trust</w:t>
            </w:r>
          </w:p>
        </w:tc>
      </w:tr>
      <w:tr>
        <w:tc>
          <w:tcPr>
            <w:tcW w:type="dxa" w:w="4824"/>
          </w:tcPr>
          <w:p>
            <w:r/>
            <w:r>
              <w:t>Proposed equity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19%</w:t>
            </w:r>
            <w:r>
              <w:t xml:space="preserve"> of fully-diluted share capital at grant, subject to the vesting terms in Annex A</w:t>
            </w:r>
          </w:p>
        </w:tc>
      </w:tr>
      <w:tr>
        <w:tc>
          <w:tcPr>
            <w:tcW w:type="dxa" w:w="4824"/>
          </w:tcPr>
          <w:p>
            <w:r/>
            <w:r>
              <w:t>Vesting</w:t>
            </w:r>
          </w:p>
        </w:tc>
        <w:tc>
          <w:tcPr>
            <w:tcW w:type="dxa" w:w="4824"/>
          </w:tcPr>
          <w:p>
            <w:r/>
            <w:r>
              <w:t>4 years monthly, 1-year cliff (Annex A)</w:t>
            </w:r>
          </w:p>
        </w:tc>
      </w:tr>
      <w:tr>
        <w:tc>
          <w:tcPr>
            <w:tcW w:type="dxa" w:w="4824"/>
          </w:tcPr>
          <w:p>
            <w:r/>
            <w:r>
              <w:t>Start date</w:t>
            </w:r>
          </w:p>
        </w:tc>
        <w:tc>
          <w:tcPr>
            <w:tcW w:type="dxa" w:w="4824"/>
          </w:tcPr>
          <w:p>
            <w:r/>
            <w:r>
              <w:t>[●]</w:t>
            </w:r>
          </w:p>
        </w:tc>
      </w:tr>
      <w:tr>
        <w:tc>
          <w:tcPr>
            <w:tcW w:type="dxa" w:w="4824"/>
          </w:tcPr>
          <w:p>
            <w:r/>
            <w:r>
              <w:t>Reporting line</w:t>
            </w:r>
          </w:p>
        </w:tc>
        <w:tc>
          <w:tcPr>
            <w:tcW w:type="dxa" w:w="4824"/>
          </w:tcPr>
          <w:p>
            <w:r/>
            <w:r>
              <w:t>CEO / Board of BuddyUp Ltd.</w:t>
            </w:r>
          </w:p>
        </w:tc>
      </w:tr>
    </w:tbl>
    <w:p/>
    <w:p>
      <w:pPr>
        <w:spacing w:after="160"/>
        <w:ind w:left="360"/>
      </w:pPr>
      <w:r>
        <w:rPr>
          <w:b/>
          <w:i/>
          <w:color w:val="444444"/>
        </w:rPr>
        <w:t>Status:</w:t>
      </w:r>
      <w:r>
        <w:rPr>
          <w:i/>
          <w:color w:val="444444"/>
        </w:rPr>
        <w:t xml:space="preserve"> This is an invitation to join the founding team and a summary of proposed terms. It is not a shareholders' agreement, not an employment contract, and not legal advice. It becomes binding only when superseded by the executed Founders' Shareholders' Agreement (Kenyan law) that all founders will sign together.</w:t>
      </w:r>
    </w:p>
    <w:p>
      <w:pPr>
        <w:spacing w:before="80"/>
        <w:pBdr>
          <w:bottom w:val="single" w:sz="6" w:color="BBBBBB"/>
        </w:pBdr>
      </w:pPr>
    </w:p>
    <w:p>
      <w:pPr>
        <w:pStyle w:val="Heading2"/>
      </w:pPr>
      <w:r>
        <w:rPr>
          <w:color w:val="1A1A1A"/>
        </w:rPr>
        <w:t>Founding team &amp; ownership</w:t>
      </w:r>
    </w:p>
    <w:p>
      <w:r>
        <w:t>The founding team holds 97% of BuddyUp Ltd. at incorporation, split as follows: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Seat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Holder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Equity</w:t>
            </w:r>
          </w:p>
        </w:tc>
      </w:tr>
      <w:tr>
        <w:tc>
          <w:tcPr>
            <w:tcW w:type="dxa" w:w="3216"/>
          </w:tcPr>
          <w:p>
            <w:r/>
            <w:r>
              <w:t>Cofounder &amp; CEO — Engineering</w:t>
            </w:r>
          </w:p>
        </w:tc>
        <w:tc>
          <w:tcPr>
            <w:tcW w:type="dxa" w:w="3216"/>
          </w:tcPr>
          <w:p>
            <w:r/>
            <w:r>
              <w:t>Peter Mbugua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21%</w:t>
            </w:r>
          </w:p>
        </w:tc>
      </w:tr>
      <w:tr>
        <w:tc>
          <w:tcPr>
            <w:tcW w:type="dxa" w:w="3216"/>
          </w:tcPr>
          <w:p>
            <w:r/>
            <w:r>
              <w:t>Cofounder — Security Engineering &amp; Trust</w:t>
            </w:r>
          </w:p>
        </w:tc>
        <w:tc>
          <w:tcPr>
            <w:tcW w:type="dxa" w:w="3216"/>
          </w:tcPr>
          <w:p>
            <w:r/>
            <w:r>
              <w:rPr>
                <w:i/>
              </w:rPr>
              <w:t>(this offer — [Full legal name])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19%</w:t>
            </w:r>
          </w:p>
        </w:tc>
      </w:tr>
      <w:tr>
        <w:tc>
          <w:tcPr>
            <w:tcW w:type="dxa" w:w="3216"/>
          </w:tcPr>
          <w:p>
            <w:r/>
            <w:r>
              <w:t>Cofounder — Marketing, Sales &amp; Partnerships</w:t>
            </w:r>
          </w:p>
        </w:tc>
        <w:tc>
          <w:tcPr>
            <w:tcW w:type="dxa" w:w="3216"/>
          </w:tcPr>
          <w:p>
            <w:r/>
            <w:r>
              <w:t>[●]</w:t>
            </w:r>
          </w:p>
        </w:tc>
        <w:tc>
          <w:tcPr>
            <w:tcW w:type="dxa" w:w="3216"/>
          </w:tcPr>
          <w:p>
            <w:r/>
            <w:r>
              <w:t>19%</w:t>
            </w:r>
          </w:p>
        </w:tc>
      </w:tr>
      <w:tr>
        <w:tc>
          <w:tcPr>
            <w:tcW w:type="dxa" w:w="3216"/>
          </w:tcPr>
          <w:p>
            <w:r/>
            <w:r>
              <w:t>Cofounder — Finance, Strategy &amp; Controller</w:t>
            </w:r>
          </w:p>
        </w:tc>
        <w:tc>
          <w:tcPr>
            <w:tcW w:type="dxa" w:w="3216"/>
          </w:tcPr>
          <w:p>
            <w:r/>
            <w:r>
              <w:t>[●]</w:t>
            </w:r>
          </w:p>
        </w:tc>
        <w:tc>
          <w:tcPr>
            <w:tcW w:type="dxa" w:w="3216"/>
          </w:tcPr>
          <w:p>
            <w:r/>
            <w:r>
              <w:t>19%</w:t>
            </w:r>
          </w:p>
        </w:tc>
      </w:tr>
      <w:tr>
        <w:tc>
          <w:tcPr>
            <w:tcW w:type="dxa" w:w="3216"/>
          </w:tcPr>
          <w:p>
            <w:r/>
            <w:r>
              <w:t>Unallocated reserve (future hires / option pool)</w:t>
            </w:r>
          </w:p>
        </w:tc>
        <w:tc>
          <w:tcPr>
            <w:tcW w:type="dxa" w:w="3216"/>
          </w:tcPr>
          <w:p>
            <w:r/>
            <w:r>
              <w:t>held for unanimous founder decision</w:t>
            </w:r>
          </w:p>
        </w:tc>
        <w:tc>
          <w:tcPr>
            <w:tcW w:type="dxa" w:w="3216"/>
          </w:tcPr>
          <w:p>
            <w:r/>
            <w:r>
              <w:t>3%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3216"/>
          </w:tcPr>
          <w:p>
            <w:r/>
          </w:p>
        </w:tc>
        <w:tc>
          <w:tcPr>
            <w:tcW w:type="dxa" w:w="3216"/>
          </w:tcPr>
          <w:p>
            <w:r/>
            <w:r>
              <w:rPr>
                <w:b/>
              </w:rPr>
              <w:t>100%</w:t>
            </w:r>
          </w:p>
        </w:tc>
      </w:tr>
    </w:tbl>
    <w:p/>
    <w:p>
      <w:r>
        <w:t>All founder equity vests on identical terms (Annex A). No seat carries special</w:t>
      </w:r>
    </w:p>
    <w:p>
      <w:r>
        <w:t>voting or economic rights beyond the shareholders' agreement.</w:t>
      </w:r>
    </w:p>
    <w:p>
      <w:pPr>
        <w:pStyle w:val="Heading2"/>
      </w:pPr>
      <w:r>
        <w:rPr>
          <w:color w:val="1A1A1A"/>
        </w:rPr>
        <w:t>1. Why this seat exists</w:t>
      </w:r>
    </w:p>
    <w:p>
      <w:r>
        <w:t>BuddyUp's differentiator is trust: age controls, identity verification, mutual</w:t>
      </w:r>
    </w:p>
    <w:p>
      <w:r>
        <w:t>messaging, payment integrity, moderation. Trust that gets broken once — a leaked</w:t>
      </w:r>
    </w:p>
    <w:p>
      <w:r>
        <w:t>verification document, a drained wallet flow, a hijacked live stream — ends the</w:t>
      </w:r>
    </w:p>
    <w:p>
      <w:r>
        <w:t>company in this market.</w:t>
      </w:r>
    </w:p>
    <w:p>
      <w:r>
        <w:t>The stack is real and live: Django/DRF + Postgres + Redis/Celery behind nginx,</w:t>
      </w:r>
    </w:p>
    <w:p>
      <w:r>
        <w:t>Flutter + React clients, self-hosted LiveKit media with TURN, Flutterwave/M-PESA</w:t>
      </w:r>
    </w:p>
    <w:p>
      <w:r>
        <w:t>payment rails, JWT auth with TOTP, WebAuthn passkeys, recovery codes, device sessions,</w:t>
      </w:r>
    </w:p>
    <w:p>
      <w:r>
        <w:t>rate-limited WebSocket consumers, Cloudinary storage with validated uploads.</w:t>
      </w:r>
    </w:p>
    <w:p>
      <w:r>
        <w:t>Security here is not a checklist to add later; it is a system to operate daily.</w:t>
      </w:r>
    </w:p>
    <w:p>
      <w:pPr>
        <w:pStyle w:val="Heading2"/>
      </w:pPr>
      <w:r>
        <w:rPr>
          <w:color w:val="1A1A1A"/>
        </w:rPr>
        <w:t>2. Mandate</w:t>
      </w:r>
    </w:p>
    <w:p>
      <w:r>
        <w:t>Own security end-to-end — as an engineer who ships, not a policy author:</w:t>
      </w:r>
    </w:p>
    <w:p>
      <w:pPr>
        <w:pStyle w:val="ListNumber"/>
      </w:pPr>
      <w:r>
        <w:rPr>
          <w:b/>
        </w:rPr>
        <w:t>Application &amp; platform security</w:t>
      </w:r>
    </w:p>
    <w:p>
      <w:pPr>
        <w:pStyle w:val="ListBullet2"/>
      </w:pPr>
      <w:r>
        <w:t>Own the threat model for every feature before launch (STRIDE-level thinking on</w:t>
      </w:r>
    </w:p>
    <w:p>
      <w:r>
        <w:t>messaging, calls, marketplace, wallets, verification documents).</w:t>
      </w:r>
    </w:p>
    <w:p>
      <w:pPr>
        <w:pStyle w:val="ListBullet2"/>
      </w:pPr>
      <w:r>
        <w:t>Enforce secure defaults in CI: lint gates, dependency scanning, secret hygiene,</w:t>
      </w:r>
    </w:p>
    <w:p>
      <w:r>
        <w:t>migration review.</w:t>
      </w:r>
    </w:p>
    <w:p>
      <w:pPr>
        <w:pStyle w:val="ListBullet2"/>
      </w:pPr>
      <w:r>
        <w:t>Run the hardening backlog: rate limits, object-level authorization audits,</w:t>
      </w:r>
    </w:p>
    <w:p>
      <w:r>
        <w:t>upload validation, webhook signature verification (Flutterwave et al.), session</w:t>
      </w:r>
    </w:p>
    <w:p>
      <w:r>
        <w:t>lifecycle, admin surface exposure.</w:t>
      </w:r>
    </w:p>
    <w:p>
      <w:pPr>
        <w:pStyle w:val="ListNumber"/>
      </w:pPr>
      <w:r>
        <w:rPr>
          <w:b/>
        </w:rPr>
        <w:t>Payments &amp; fraud</w:t>
      </w:r>
    </w:p>
    <w:p>
      <w:pPr>
        <w:pStyle w:val="ListBullet2"/>
      </w:pPr>
      <w:r>
        <w:t>Co-own reconciliation integrity with the Finance cofounder; webhook replay/</w:t>
      </w:r>
    </w:p>
    <w:p>
      <w:r>
        <w:t>tampering resistance; anti-double-credit locks; refund-abuse controls.</w:t>
      </w:r>
    </w:p>
    <w:p>
      <w:pPr>
        <w:pStyle w:val="ListBullet2"/>
      </w:pPr>
      <w:r>
        <w:t>Define fraud rules for artifact economy abuse without turning artifacts into</w:t>
      </w:r>
    </w:p>
    <w:p>
      <w:r>
        <w:t>regulated stored value.</w:t>
      </w:r>
    </w:p>
    <w:p>
      <w:pPr>
        <w:pStyle w:val="ListNumber"/>
      </w:pPr>
      <w:r>
        <w:rPr>
          <w:b/>
        </w:rPr>
        <w:t>Data protection engineering</w:t>
      </w:r>
    </w:p>
    <w:p>
      <w:pPr>
        <w:pStyle w:val="ListBullet2"/>
      </w:pPr>
      <w:r>
        <w:t>Jointly own breach detection/notification runbooks with the Legal cofounder;</w:t>
      </w:r>
    </w:p>
    <w:p>
      <w:r>
        <w:t>encryption at rest/in transit posture; verification-document handling</w:t>
      </w:r>
    </w:p>
    <w:p>
      <w:r>
        <w:t>(shortest-lived access, audit logs).</w:t>
      </w:r>
    </w:p>
    <w:p>
      <w:pPr>
        <w:pStyle w:val="ListNumber"/>
      </w:pPr>
      <w:r>
        <w:rPr>
          <w:b/>
        </w:rPr>
        <w:t>Incident response</w:t>
      </w:r>
    </w:p>
    <w:p>
      <w:pPr>
        <w:pStyle w:val="ListBullet2"/>
      </w:pPr>
      <w:r>
        <w:t>Write and rehearse the IR plan (who calls whom in the first hour); lead the</w:t>
      </w:r>
    </w:p>
    <w:p>
      <w:r>
        <w:t>on-call rotation; publish post-mortems internally without blame.</w:t>
      </w:r>
    </w:p>
    <w:p>
      <w:pPr>
        <w:pStyle w:val="ListNumber"/>
      </w:pPr>
      <w:r>
        <w:rPr>
          <w:b/>
        </w:rPr>
        <w:t>Assurance</w:t>
      </w:r>
    </w:p>
    <w:p>
      <w:pPr>
        <w:pStyle w:val="ListBullet2"/>
      </w:pPr>
      <w:r>
        <w:t>Quarterly internal review + annual third-party assessment when revenue allows.</w:t>
      </w:r>
    </w:p>
    <w:p>
      <w:pPr>
        <w:pStyle w:val="ListBullet2"/>
      </w:pPr>
      <w:r>
        <w:t>Maintain the security section of partner/due-diligence documentation for sales</w:t>
      </w:r>
    </w:p>
    <w:p>
      <w:r>
        <w:t>and fundraising.</w:t>
      </w:r>
    </w:p>
    <w:p>
      <w:pPr>
        <w:pStyle w:val="Heading2"/>
      </w:pPr>
      <w:r>
        <w:rPr>
          <w:color w:val="1A1A1A"/>
        </w:rPr>
        <w:t>3. Decision rights</w:t>
      </w:r>
    </w:p>
    <w:p>
      <w:pPr>
        <w:pStyle w:val="ListBullet"/>
      </w:pPr>
      <w:r>
        <w:rPr>
          <w:b/>
        </w:rPr>
        <w:t>Veto (with written reasons):</w:t>
      </w:r>
      <w:r>
        <w:t xml:space="preserve"> any launch that processes payments, verification</w:t>
      </w:r>
    </w:p>
    <w:p>
      <w:r>
        <w:t>documents or minors' data without meeting the agreed security baseline.</w:t>
      </w:r>
    </w:p>
    <w:p>
      <w:pPr>
        <w:pStyle w:val="ListBullet"/>
      </w:pPr>
      <w:r>
        <w:rPr>
          <w:b/>
        </w:rPr>
        <w:t>Owns:</w:t>
      </w:r>
      <w:r>
        <w:t xml:space="preserve"> security tooling budget within plan, incident declarations,</w:t>
      </w:r>
    </w:p>
    <w:p>
      <w:r>
        <w:t>emergency mitigation actions (including taking a feature offline), secrets policy.</w:t>
      </w:r>
    </w:p>
    <w:p>
      <w:pPr>
        <w:pStyle w:val="ListBullet"/>
      </w:pPr>
      <w:r>
        <w:rPr>
          <w:b/>
        </w:rPr>
        <w:t>Joint sign-off:</w:t>
      </w:r>
      <w:r>
        <w:t xml:space="preserve"> new third-party processors handling user data (with Legal),</w:t>
      </w:r>
    </w:p>
    <w:p>
      <w:r>
        <w:t>production infrastructure changes affecting data residency.</w:t>
      </w:r>
    </w:p>
    <w:p>
      <w:r>
        <w:t>You will be measured on shipped protections and incident outcomes — never on</w:t>
      </w:r>
    </w:p>
    <w:p>
      <w:r>
        <w:t>bureaucracy. The veto exists so you can say "not yet" and be thanked for it.</w:t>
      </w:r>
    </w:p>
    <w:p>
      <w:pPr>
        <w:pStyle w:val="Heading2"/>
      </w:pPr>
      <w:r>
        <w:rPr>
          <w:color w:val="1A1A1A"/>
        </w:rPr>
        <w:t>4. Commitment</w:t>
      </w:r>
    </w:p>
    <w:p>
      <w:pPr>
        <w:pStyle w:val="ListBullet"/>
      </w:pPr>
      <w:r>
        <w:t>Full-time from the start date; you build alongside the founding engineers and carry</w:t>
      </w:r>
    </w:p>
    <w:p>
      <w:r>
        <w:t>a pager from day one.</w:t>
      </w:r>
    </w:p>
    <w:p>
      <w:pPr>
        <w:pStyle w:val="ListBullet"/>
      </w:pPr>
      <w:r>
        <w:rPr>
          <w:b/>
        </w:rPr>
        <w:t>Foundations period (first 90 days):</w:t>
      </w:r>
      <w:r>
        <w:t xml:space="preserve"> mutual trial per Annex A.</w:t>
      </w:r>
    </w:p>
    <w:p>
      <w:pPr>
        <w:pStyle w:val="ListBullet"/>
      </w:pPr>
      <w:r>
        <w:t>Directorship expected once the shareholders' agreement is signed.</w:t>
      </w:r>
    </w:p>
    <w:p>
      <w:pPr>
        <w:pStyle w:val="Heading2"/>
      </w:pPr>
      <w:r>
        <w:rPr>
          <w:color w:val="1A1A1A"/>
        </w:rPr>
        <w:t>5. Equity — summary</w:t>
      </w:r>
    </w:p>
    <w:p>
      <w:r>
        <w:t xml:space="preserve">Grant of </w:t>
      </w:r>
      <w:r>
        <w:rPr>
          <w:b/>
        </w:rPr>
        <w:t>19%</w:t>
      </w:r>
      <w:r>
        <w:t xml:space="preserve"> fully-diluted at grant; vesting and leaver terms per Annex A.</w:t>
      </w:r>
    </w:p>
    <w:p>
      <w:r>
        <w:t>Equity subject to IP assignment (clause 7) and execution of the shareholders'</w:t>
      </w:r>
    </w:p>
    <w:p>
      <w:r>
        <w:t>agreement.</w:t>
      </w:r>
    </w:p>
    <w:p>
      <w:pPr>
        <w:pStyle w:val="Heading2"/>
      </w:pPr>
      <w:r>
        <w:rPr>
          <w:color w:val="1A1A1A"/>
        </w:rPr>
        <w:t>6. First 90 days — success looks like</w:t>
      </w:r>
    </w:p>
    <w:p>
      <w:pPr>
        <w:pStyle w:val="ListNumber"/>
      </w:pPr>
      <w:r>
        <w:t>Threat model v2 documented for messaging/calls, marketplace+wallet, and</w:t>
      </w:r>
    </w:p>
    <w:p>
      <w:r>
        <w:t>verification flows — with top-10 risks triaged into the backlog.</w:t>
      </w:r>
    </w:p>
    <w:p>
      <w:pPr>
        <w:pStyle w:val="ListNumber"/>
      </w:pPr>
      <w:r>
        <w:t>CI security gates live: dependency scanning, secret scanning, ruff/eslint</w:t>
      </w:r>
    </w:p>
    <w:p>
      <w:r>
        <w:t>security profiles blocking merges.</w:t>
      </w:r>
    </w:p>
    <w:p>
      <w:pPr>
        <w:pStyle w:val="ListNumber"/>
      </w:pPr>
      <w:r>
        <w:t>Incident response plan v1 written and tabletop-exercised once with the founders.</w:t>
      </w:r>
    </w:p>
    <w:p>
      <w:pPr>
        <w:pStyle w:val="ListNumber"/>
      </w:pPr>
      <w:r>
        <w:t>External attack-surface review completed (nginx/TLS headers, LiveKit/TURN</w:t>
      </w:r>
    </w:p>
    <w:p>
      <w:r>
        <w:t>exposure, admin routes, webhook endpoints); findings fixed or scheduled.</w:t>
      </w:r>
    </w:p>
    <w:p>
      <w:pPr>
        <w:pStyle w:val="ListNumber"/>
      </w:pPr>
      <w:r>
        <w:t>Security one-pager published for partner due-diligence use.</w:t>
      </w:r>
    </w:p>
    <w:p>
      <w:pPr>
        <w:pStyle w:val="Heading2"/>
      </w:pPr>
      <w:r>
        <w:rPr>
          <w:color w:val="1A1A1A"/>
        </w:rPr>
        <w:t>7. IP, confidentiality &amp; conflicts</w:t>
      </w:r>
    </w:p>
    <w:p>
      <w:pPr>
        <w:pStyle w:val="ListBullet"/>
      </w:pPr>
      <w:r>
        <w:t>All security tooling, runbooks, configurations and fixes belong to BuddyUp Ltd.</w:t>
      </w:r>
    </w:p>
    <w:p>
      <w:r>
        <w:t>from creation.</w:t>
      </w:r>
    </w:p>
    <w:p>
      <w:pPr>
        <w:pStyle w:val="ListBullet"/>
      </w:pPr>
      <w:r>
        <w:t>Confidentiality is indefinite and starts now; disclosure of company security</w:t>
      </w:r>
    </w:p>
    <w:p>
      <w:r>
        <w:t>posture to third parties requires CEO co-approval except under legal compulsion.</w:t>
      </w:r>
    </w:p>
    <w:p>
      <w:pPr>
        <w:pStyle w:val="ListBullet"/>
      </w:pPr>
      <w:r>
        <w:t>Prior commitments and bug-bounty side activity must be declared; testing systems</w:t>
      </w:r>
    </w:p>
    <w:p>
      <w:r>
        <w:t>outside BuddyUp scope during the engagement requires board consent.</w:t>
      </w:r>
    </w:p>
    <w:p>
      <w:pPr>
        <w:pStyle w:val="Heading2"/>
      </w:pPr>
      <w:r>
        <w:rPr>
          <w:color w:val="1A1A1A"/>
        </w:rPr>
        <w:t>8. Conditions precedent</w:t>
      </w:r>
    </w:p>
    <w:p>
      <w:pPr>
        <w:pStyle w:val="ListNumber"/>
      </w:pPr>
      <w:r>
        <w:t>Executed Founders' Shareholders' Agreement (Kenyan advocate drafted).</w:t>
      </w:r>
    </w:p>
    <w:p>
      <w:pPr>
        <w:pStyle w:val="ListNumber"/>
      </w:pPr>
      <w:r>
        <w:t>Board appointment paperwork filed.</w:t>
      </w:r>
    </w:p>
    <w:p>
      <w:pPr>
        <w:pStyle w:val="ListNumber"/>
      </w:pPr>
      <w:r>
        <w:t>Declaration of conflicts; background check consent (standard for the role).</w:t>
      </w:r>
    </w:p>
    <w:p>
      <w:pPr>
        <w:pStyle w:val="Heading2"/>
      </w:pPr>
      <w:r>
        <w:rPr>
          <w:color w:val="1A1A1A"/>
        </w:rPr>
        <w:t>Signatures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For BuddyUp Ltd.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Candidate</w:t>
            </w:r>
          </w:p>
        </w:tc>
      </w:tr>
      <w:tr>
        <w:tc>
          <w:tcPr>
            <w:tcW w:type="dxa" w:w="4824"/>
          </w:tcPr>
          <w:p>
            <w:r/>
            <w:r>
              <w:t>Name: Peter Mbugua</w:t>
            </w:r>
          </w:p>
        </w:tc>
        <w:tc>
          <w:tcPr>
            <w:tcW w:type="dxa" w:w="4824"/>
          </w:tcPr>
          <w:p>
            <w:r/>
            <w:r>
              <w:t>Name: [Full legal name]</w:t>
            </w:r>
          </w:p>
        </w:tc>
      </w:tr>
      <w:tr>
        <w:tc>
          <w:tcPr>
            <w:tcW w:type="dxa" w:w="4824"/>
          </w:tcPr>
          <w:p>
            <w:r/>
            <w:r>
              <w:t>Title: Cofounder &amp; CEO</w:t>
            </w:r>
          </w:p>
        </w:tc>
        <w:tc>
          <w:tcPr>
            <w:tcW w:type="dxa" w:w="4824"/>
          </w:tcPr>
          <w:p>
            <w:r/>
            <w:r>
              <w:t>ID/Passport: [●]</w:t>
            </w:r>
          </w:p>
        </w:tc>
      </w:tr>
      <w:tr>
        <w:tc>
          <w:tcPr>
            <w:tcW w:type="dxa" w:w="4824"/>
          </w:tcPr>
          <w:p>
            <w:r/>
            <w:r>
              <w:t>Signature: ________________ Date: ______</w:t>
            </w:r>
          </w:p>
        </w:tc>
        <w:tc>
          <w:tcPr>
            <w:tcW w:type="dxa" w:w="4824"/>
          </w:tcPr>
          <w:p>
            <w:r/>
            <w:r>
              <w:t>Signature: ________________ Date: ______</w:t>
            </w:r>
          </w:p>
        </w:tc>
      </w:tr>
    </w:tbl>
    <w:p/>
    <w:p>
      <w:pPr>
        <w:spacing w:before="80"/>
        <w:pBdr>
          <w:bottom w:val="single" w:sz="6" w:color="BBBBBB"/>
        </w:pBdr>
      </w:pPr>
    </w:p>
    <w:p>
      <w:pPr>
        <w:pStyle w:val="Heading2"/>
      </w:pPr>
      <w:r>
        <w:rPr>
          <w:color w:val="1A1A1A"/>
        </w:rPr>
        <w:t>Annex A — Vesting schedule</w:t>
      </w:r>
    </w:p>
    <w:p>
      <w:r>
        <w:rPr>
          <w:i/>
        </w:rPr>
        <w:t>(Identical across all founder agreements.)</w:t>
      </w:r>
    </w:p>
    <w:p>
      <w:pPr>
        <w:pStyle w:val="ListNumber"/>
      </w:pPr>
      <w:r>
        <w:t>Grant of 19% of the fully-diluted capital of BuddyUp Ltd. as at the start date,</w:t>
      </w:r>
    </w:p>
    <w:p>
      <w:r>
        <w:t>recorded in the share register.</w:t>
      </w:r>
    </w:p>
    <w:p>
      <w:pPr>
        <w:pStyle w:val="ListNumber"/>
      </w:pPr>
      <w:r>
        <w:t>12-month cliff (25% retroactive), then monthly vesting over 36 months.</w:t>
      </w:r>
    </w:p>
    <w:p>
      <w:pPr>
        <w:pStyle w:val="ListNumber"/>
      </w:pPr>
      <w:r>
        <w:t>Good leaver / bad leaver provisions per the shareholders' agreement;</w:t>
      </w:r>
    </w:p>
    <w:p>
      <w:r>
        <w:t>unvested shares cancel on departure.</w:t>
      </w:r>
    </w:p>
    <w:p>
      <w:pPr>
        <w:pStyle w:val="ListNumber"/>
      </w:pPr>
      <w:r>
        <w:t>No single-trigger acceleration; double-trigger = 50% acceleration of unvested shares.</w:t>
      </w:r>
    </w:p>
    <w:p>
      <w:pPr>
        <w:pStyle w:val="ListNumber"/>
      </w:pPr>
      <w:r>
        <w:t>Pro-rata dilution in future rounds; option-pool changes require unanimous founder consent.</w:t>
      </w:r>
    </w:p>
    <w:p>
      <w:pPr>
        <w:pStyle w:val="ListNumber"/>
      </w:pPr>
      <w:r>
        <w:t>Founder share transfers restricted by pre-emption rights in the shareholders' agreement.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