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color w:val="007F61"/>
          <w:sz w:val="40"/>
          <w:szCs w:val="40"/>
        </w:rPr>
        <w:t xml:space="preserve">Bud (BuddyUp) — Seed Funding Pitch</w:t>
      </w:r>
    </w:p>
    <w:p>
      <w:pPr>
        <w:pStyle w:val="Heading1"/>
      </w:pPr>
      <w:r>
        <w:rPr>
          <w:b/>
          <w:color w:val="007F61"/>
          <w:sz w:val="28"/>
          <w:szCs w:val="28"/>
        </w:rPr>
        <w:t xml:space="preserve">The opportunity</w:t>
      </w:r>
    </w:p>
    <w:p>
      <w:pPr/>
      <w:r>
        <w:rPr/>
        <w:t xml:space="preserve">Bud makes fitness participation social and local. Most people do not need another workout video; they need a training partner, a welcoming community and a credible path to a coach. Bud combines mutual Bud connections, gym/studio communities, coach bookings, group sessions and local payments into one participation platform.</w:t>
      </w:r>
    </w:p>
    <w:p>
      <w:pPr/>
      <w:r>
        <w:rPr/>
        <w:t xml:space="preserve">The initial market is Kenya, starting with concentrated Nairobi partner communities. This is a mobile-native market: Kenya’s Communications Authority reported 83.5% smartphone penetration by June 2025, while Safaricom reported KSh 38.29 trillion in M-PESA transaction value in FY2025. These figures support distribution and payment readiness; they do not replace customer validation. CA Kenya (https://www.ca.go.ke/mobile-internet-and-tech-services-surge-kenya-digital-shift-accelerates) · Safaricom FY2025 (https://www.safaricom.co.ke/images/Downloads/FY25-Press-ReleaseMay-9-2025.pdf)</w:t>
      </w:r>
    </w:p>
    <w:p>
      <w:pPr>
        <w:pStyle w:val="Heading1"/>
      </w:pPr>
      <w:r>
        <w:rPr>
          <w:b/>
          <w:color w:val="007F61"/>
          <w:sz w:val="28"/>
          <w:szCs w:val="28"/>
        </w:rPr>
        <w:t xml:space="preserve">Product and wedge</w:t>
      </w:r>
    </w:p>
    <w:p>
      <w:pPr/>
      <w:r>
        <w:rPr/>
        <w:t xml:space="preserve">Bud’s core product loop is: join a community → connect with two Buds → plan/book an activity → attend → encourage and repeat.</w:t>
      </w:r>
    </w:p>
    <w:p>
      <w:pPr/>
      <w:r>
        <w:rPr/>
        <w:t xml:space="preserve">The first commercial customers are gyms, studios and coaches. They obtain a branded community, scheduled events, client/member communication, booking, programme delivery and a route to measurable retention. Members receive free accountability and discovery; revenue follows through partner SaaS, completed-booking/programme commissions and a clear Plus membership.</w:t>
      </w:r>
    </w:p>
    <w:p>
      <w:pPr/>
      <w:r>
        <w:rPr/>
        <w:t xml:space="preserve">The underlying system already includes web and Flutter clients, secure accounts, buddy connections, communities, real-time messaging, live infrastructure, coach/gym flows, a marketplace, payments integrations, moderation and AI services. The funded plan narrows this breadth into a safe, supportable launch.</w:t>
      </w:r>
    </w:p>
    <w:p>
      <w:pPr>
        <w:pStyle w:val="Heading1"/>
      </w:pPr>
      <w:r>
        <w:rPr>
          <w:b/>
          <w:color w:val="007F61"/>
          <w:sz w:val="28"/>
          <w:szCs w:val="28"/>
        </w:rPr>
        <w:t xml:space="preserve">Why Bud can win</w:t>
      </w:r>
    </w:p>
    <w:p>
      <w:pPr>
        <w:ind w:left="720" w:hanging="360"/>
      </w:pPr>
      <w:r>
        <w:rPr/>
        <w:t xml:space="preserve">• Accountability, not passive content: mutual connections and planned activity are the primary product action.</w:t>
      </w:r>
    </w:p>
    <w:p>
      <w:pPr>
        <w:ind w:left="720" w:hanging="360"/>
      </w:pPr>
      <w:r>
        <w:rPr/>
        <w:t xml:space="preserve">• Partner-led density: a gym or coach community supplies a real-world cluster, reducing the cold-start problem.</w:t>
      </w:r>
    </w:p>
    <w:p>
      <w:pPr>
        <w:ind w:left="720" w:hanging="360"/>
      </w:pPr>
      <w:r>
        <w:rPr/>
        <w:t xml:space="preserve">• Kenya-native commerce: M-PESA/card collection and local partner support are built into the launch model.</w:t>
      </w:r>
    </w:p>
    <w:p>
      <w:pPr>
        <w:ind w:left="720" w:hanging="360"/>
      </w:pPr>
      <w:r>
        <w:rPr/>
        <w:t xml:space="preserve">• Trust as product infrastructure: age controls, verification, mutual messaging, moderation and clear payout/dispute operations are essential differentiators.</w:t>
      </w:r>
    </w:p>
    <w:p>
      <w:pPr>
        <w:ind w:left="720" w:hanging="360"/>
      </w:pPr>
      <w:r>
        <w:rPr/>
        <w:t xml:space="preserve">• A compounding service ladder: participation data and trusted relationships support Coach Pro, Gym Growth, Plus, workplace wellness and curated benefits without needing to sell sensitive data.</w:t>
      </w:r>
    </w:p>
    <w:p>
      <w:pPr/>
      <w:r>
        <w:rPr/>
        <w:t xml:space="preserve">Global alternatives prove parts of the market but leave space for the integrated local model: Strava leads fitness tracking and community, ClassPass leads transactional class discovery, Trainerize supports coach operations, while WhatsApp/Instagram remain the local informal coordination layer. Bud is not trying to replace all of them; it owns the accountability-and-partner community workflow.</w:t>
      </w:r>
    </w:p>
    <w:p>
      <w:pPr>
        <w:pStyle w:val="Heading1"/>
      </w:pPr>
      <w:r>
        <w:rPr>
          <w:b/>
          <w:color w:val="007F61"/>
          <w:sz w:val="28"/>
          <w:szCs w:val="28"/>
        </w:rPr>
        <w:t xml:space="preserve">The raise</w:t>
      </w:r>
    </w:p>
    <w:p>
      <w:pPr/>
      <w:r>
        <w:rPr/>
        <w:t xml:space="preserve">Seeking KSh 50 million seed funding (approximately US$385,000 at a planning rate of KSh 130/US$, for discussion only) for an 18-month runway. This is a milestone-sized raise: enough to validate the Nairobi model, convert partner pilots, operate safely and establish a repeatable cluster before a larger scale round. It is intentionally below a growth-at-all-costs raise.</w:t>
      </w:r>
    </w:p>
    <w:p>
      <w:pPr>
        <w:pStyle w:val="Heading2"/>
      </w:pPr>
      <w:r>
        <w:rPr>
          <w:b/>
          <w:color w:val="304C43"/>
          <w:sz w:val="22"/>
          <w:szCs w:val="22"/>
        </w:rPr>
        <w:t xml:space="preserve">Validated use of funds</w:t>
      </w:r>
    </w:p>
    <w:tbl>
      <w:tblPr>
        <w:tblW w:w="0" w:type="auto"/>
        <w:tblBorders>
          <w:top w:val="single" w:sz="4" w:color="A8BFB6"/>
          <w:left w:val="single" w:sz="4" w:color="A8BFB6"/>
          <w:bottom w:val="single" w:sz="4" w:color="A8BFB6"/>
          <w:right w:val="single" w:sz="4" w:color="A8BFB6"/>
          <w:insideH w:val="single" w:sz="4" w:color="A8BFB6"/>
          <w:insideV w:val="single" w:sz="4" w:color="A8BFB6"/>
        </w:tblBorders>
      </w:tblPr>
      <w:tr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Use</w:t>
            </w:r>
          </w:p>
        </w:tc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KSh m</w:t>
            </w:r>
          </w:p>
        </w:tc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Validation / deliverable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Product, engineering and security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16.0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32%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Core reliability, payment flows, partner tools, privacy/security testing and low-data performance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Partner success, sales and community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10.0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20%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Recruit/onboard 10 design partners, convert 30 paying partners, activate local cohorts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Growth and member activation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7.0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14%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Referral, ambassador and partner-launch campaigns measured on activated members, not downloads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Cloud, live video, tooling and support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5.0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10%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Production hosting, recording/storage limits, messaging, monitoring and customer support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Trust, safety, legal and compliance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4.5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9%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Kenya privacy/DPIA work, payments/legal review, verification, moderation and policy operations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Payment operations and refund reserve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3.0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6%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Reconciliation setup, dispute/refund buffer and controlled partner settlement—not customer funds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Working-capital contingency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4.5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9%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FX/vendor variance and six-to-eight-week contingency; board-controlled release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50.0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100%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18-month funded plan</w:t>
            </w:r>
          </w:p>
        </w:tc>
      </w:tr>
    </w:tbl>
    <w:p>
      <w:pPr/>
      <w:r>
        <w:rPr/>
        <w:t xml:space="preserve">The amount is validated from a bottom-up runway rather than a headline valuation. The operating plan requires roughly KSh 41m for the first 24 months before contingency under the conservative financial model. This KSh 50m seed is an 18-month execution allocation with contingency, because early engineering, partner onboarding and compliance are front-loaded. Management should refresh the cash forecast monthly; unused contingency stays uncommitted.</w:t>
      </w:r>
    </w:p>
    <w:p>
      <w:pPr>
        <w:pStyle w:val="Heading2"/>
      </w:pPr>
      <w:r>
        <w:rPr>
          <w:b/>
          <w:color w:val="304C43"/>
          <w:sz w:val="22"/>
          <w:szCs w:val="22"/>
        </w:rPr>
        <w:t xml:space="preserve">Monthly spend and release controls</w:t>
      </w:r>
    </w:p>
    <w:p>
      <w:pPr/>
      <w:r>
        <w:rPr/>
        <w:t xml:space="preserve">Average planned burn is KSh 2.5m/month (KSh 45m operating deployment across 18 months), with KSh 5m held as contingency/refund reserve. Spend is phased:</w:t>
      </w:r>
    </w:p>
    <w:tbl>
      <w:tblPr>
        <w:tblW w:w="0" w:type="auto"/>
        <w:tblBorders>
          <w:top w:val="single" w:sz="4" w:color="A8BFB6"/>
          <w:left w:val="single" w:sz="4" w:color="A8BFB6"/>
          <w:bottom w:val="single" w:sz="4" w:color="A8BFB6"/>
          <w:right w:val="single" w:sz="4" w:color="A8BFB6"/>
          <w:insideH w:val="single" w:sz="4" w:color="A8BFB6"/>
          <w:insideV w:val="single" w:sz="4" w:color="A8BFB6"/>
        </w:tblBorders>
      </w:tblPr>
      <w:tr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Period</w:t>
            </w:r>
          </w:p>
        </w:tc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KSh m</w:t>
            </w:r>
          </w:p>
        </w:tc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Spend focus</w:t>
            </w:r>
          </w:p>
        </w:tc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Release condition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Months 1–3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9.0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Compliance, production hardening, design-partner setup, initial team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Payment/legal go-live checklist and 10 partners signed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Months 4–9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18.0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Partner conversion, booking/programmes, support, measured local growth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≥35% 14-day activation and ≥25% partner member MAU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Months 10–18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18.0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Repeatable cluster, Plus pilots, retention analytics, second-city preparation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30 paying partners, 60% pilot conversion and credible 90-day retention data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Reserved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5.0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Refunds, risk and contingency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Board/founder approval against documented need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50.0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color w:val="304C43"/>
          <w:sz w:val="22"/>
          <w:szCs w:val="22"/>
        </w:rPr>
        <w:t xml:space="preserve">Team funded</w:t>
      </w:r>
    </w:p>
    <w:p>
      <w:pPr/>
      <w:r>
        <w:rPr/>
        <w:t xml:space="preserve">The plan funds a lean 6–8 FTE core, supplemented by specialist contractors: product/engineering (3–4), partner success/sales (2), community/growth (1), and fractional legal, finance, security and clinical/compliance support. Founder compensation and executive hiring must remain within the team allocation; no material senior-hire expansion occurs before partner conversion evidence.</w:t>
      </w:r>
    </w:p>
    <w:p>
      <w:pPr>
        <w:pStyle w:val="Heading1"/>
      </w:pPr>
      <w:r>
        <w:rPr>
          <w:b/>
          <w:color w:val="007F61"/>
          <w:sz w:val="28"/>
          <w:szCs w:val="28"/>
        </w:rPr>
        <w:t xml:space="preserve">Milestones the capital buys</w:t>
      </w:r>
    </w:p>
    <w:tbl>
      <w:tblPr>
        <w:tblW w:w="0" w:type="auto"/>
        <w:tblBorders>
          <w:top w:val="single" w:sz="4" w:color="A8BFB6"/>
          <w:left w:val="single" w:sz="4" w:color="A8BFB6"/>
          <w:bottom w:val="single" w:sz="4" w:color="A8BFB6"/>
          <w:right w:val="single" w:sz="4" w:color="A8BFB6"/>
          <w:insideH w:val="single" w:sz="4" w:color="A8BFB6"/>
          <w:insideV w:val="single" w:sz="4" w:color="A8BFB6"/>
        </w:tblBorders>
      </w:tblPr>
      <w:tr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By month</w:t>
            </w:r>
          </w:p>
        </w:tc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w="2400" w:type="dxa"/>
            <w:shd w:fill="007F61"/>
          </w:tcPr>
          <w:p>
            <w:pPr/>
            <w:r>
              <w:rPr>
                <w:b/>
                <w:color w:val="FFFFFF"/>
                <w:sz w:val="16"/>
                <w:szCs w:val="16"/>
              </w:rPr>
              <w:t xml:space="preserve">Evidence investors should inspect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10 Nairobi design partners live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Partner agreements, safety playbook, payment reconciliation and activated cohorts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Core loop validated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≥35% 14-day activation; first paid coach/gym conversions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Partner product market signal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≥25% active partner members; ≥60% pilot partner conversion target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Repeatable unit economics emerging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Channel CAC, 90-day cohort retention and contribution-margin dashboard</w:t>
            </w:r>
          </w:p>
        </w:tc>
      </w:tr>
      <w:tr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Fundable scale decision</w:t>
            </w:r>
          </w:p>
        </w:tc>
        <w:tc>
          <w:tcPr>
            <w:tcW w:w="2400" w:type="dxa"/>
          </w:tcPr>
          <w:p>
            <w:pPr/>
            <w:r>
              <w:rPr>
                <w:sz w:val="16"/>
                <w:szCs w:val="16"/>
              </w:rPr>
              <w:t xml:space="preserve">30 paying partners, validated package pricing, controlled safety/payment operations and a city expansion dossier</w:t>
            </w:r>
          </w:p>
        </w:tc>
      </w:tr>
    </w:tbl>
    <w:p>
      <w:pPr>
        <w:pStyle w:val="Heading1"/>
      </w:pPr>
      <w:r>
        <w:rPr>
          <w:b/>
          <w:color w:val="007F61"/>
          <w:sz w:val="28"/>
          <w:szCs w:val="28"/>
        </w:rPr>
        <w:t xml:space="preserve">Revenue logic</w:t>
      </w:r>
    </w:p>
    <w:p>
      <w:pPr/>
      <w:r>
        <w:rPr/>
        <w:t xml:space="preserve">Bud does not count transaction value as revenue. It earns KSh 4,000–12,000 monthly partner SaaS fees, KSh 1,500/month Coach Pro fees, a 10% commission on completed paid bookings/programmes, and eventually KSh 300/month Bud Plus subscriptions. The conservative base plan projects KSh 2.9m net revenue in year one, KSh 15.0m in year two and KSh 46.9m in year three; it does not assume break-even within three years. This is appropriate for a trust- and partner-operations-heavy marketplace, but it makes disciplined milestone funding essential.</w:t>
      </w:r>
    </w:p>
    <w:p>
      <w:pPr>
        <w:pStyle w:val="Heading1"/>
      </w:pPr>
      <w:r>
        <w:rPr>
          <w:b/>
          <w:color w:val="007F61"/>
          <w:sz w:val="28"/>
          <w:szCs w:val="28"/>
        </w:rPr>
        <w:t xml:space="preserve">Risk controls</w:t>
      </w:r>
    </w:p>
    <w:p>
      <w:pPr>
        <w:ind w:left="720" w:hanging="360"/>
      </w:pPr>
      <w:r>
        <w:rPr/>
        <w:t xml:space="preserve">• Direct KSh payment via licensed providers first; no cash-out/transferable virtual currency until specialist Kenyan advice confirms the model.</w:t>
      </w:r>
    </w:p>
    <w:p>
      <w:pPr>
        <w:ind w:left="720" w:hanging="360"/>
      </w:pPr>
      <w:r>
        <w:rPr/>
        <w:t xml:space="preserve">• Practitioner, health-data and AI features remain carefully bounded; Bud is not a medical provider.</w:t>
      </w:r>
    </w:p>
    <w:p>
      <w:pPr>
        <w:ind w:left="720" w:hanging="360"/>
      </w:pPr>
      <w:r>
        <w:rPr/>
        <w:t xml:space="preserve">• Paid growth is constrained until activated cohorts show retention and contribution margin.</w:t>
      </w:r>
    </w:p>
    <w:p>
      <w:pPr>
        <w:ind w:left="720" w:hanging="360"/>
      </w:pPr>
      <w:r>
        <w:rPr/>
        <w:t xml:space="preserve">• Customer/partner settlement money remains separate from company operating cash.</w:t>
      </w:r>
    </w:p>
    <w:p>
      <w:pPr>
        <w:ind w:left="720" w:hanging="360"/>
      </w:pPr>
      <w:r>
        <w:rPr/>
        <w:t xml:space="preserve">• Expansion occurs only with anchor partners and country-specific legal/payments review.</w:t>
      </w:r>
    </w:p>
    <w:p>
      <w:pPr>
        <w:pStyle w:val="Heading1"/>
      </w:pPr>
      <w:r>
        <w:rPr>
          <w:b/>
          <w:color w:val="007F61"/>
          <w:sz w:val="28"/>
          <w:szCs w:val="28"/>
        </w:rPr>
        <w:t xml:space="preserve">Investment proposition</w:t>
      </w:r>
    </w:p>
    <w:p>
      <w:pPr/>
      <w:r>
        <w:rPr/>
        <w:t xml:space="preserve">KSh 50m gives Bud the chance to demonstrate that local fitness accountability can be a repeatable, trusted and monetisable partner platform in Nairobi. The next round should be earned by the evidence above—not by downloads, unverified GMV or an oversized feature catalogue.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</w:docDefaults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Bud</Application>
</Properties>
</file>

<file path=docProps/core.xml><?xml version="1.0" encoding="utf-8"?>
<cp:coreProperties xmlns:cp="http://schemas.openxmlformats.org/package/2006/metadata/core-properties" xmlns:dc="http://purl.org/dc/elements/1.1/">
  <dc:title>Bud Funding Pitch 2026</dc:title>
  <dc:creator>Bud</dc:creator>
</cp:coreProperties>
</file>