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jc w:val="start"/>
        <w:rPr/>
      </w:pPr>
      <w:r>
        <w:rPr/>
        <w:t>Bud (BuddyUp) — Master Business Plan</w:t>
      </w:r>
    </w:p>
    <w:p>
      <w:pPr>
        <w:pStyle w:val="BodyText"/>
        <w:bidi w:val="0"/>
        <w:jc w:val="start"/>
        <w:rPr/>
      </w:pPr>
      <w:r>
        <w:rPr>
          <w:b/>
        </w:rPr>
        <w:t>Prepared:</w:t>
      </w:r>
      <w:r>
        <w:rPr/>
        <w:t xml:space="preserve"> 6 August 2026 </w:t>
      </w:r>
      <w:r>
        <w:rPr>
          <w:b/>
        </w:rPr>
        <w:t>Planning horizon:</w:t>
      </w:r>
      <w:r>
        <w:rPr/>
        <w:t xml:space="preserve"> Kenya (months 0–36) → Pan-Africa (years 3–5) → Global (years 5–8) </w:t>
      </w:r>
      <w:r>
        <w:rPr>
          <w:b/>
        </w:rPr>
        <w:t>Working currency:</w:t>
      </w:r>
      <w:r>
        <w:rPr/>
        <w:t xml:space="preserve"> Kenya shilling (KSh) for the Kenya horizon; USD shown where useful. Pan-African and global horizons are denominated in USD. </w:t>
      </w:r>
      <w:r>
        <w:rPr>
          <w:b/>
        </w:rPr>
        <w:t>Document status:</w:t>
      </w:r>
      <w:r>
        <w:rPr/>
        <w:t xml:space="preserve"> Consolidated operating plan and investment discussion draft—not a forecast, legal opinion, or medical claim. This document merges and expands the 2026 business plan, strategy, funding pitch and business-model strategy documents into a single authoritative reference.</w:t>
      </w:r>
    </w:p>
    <w:p>
      <w:pPr>
        <w:pStyle w:val="HorizontalLine"/>
        <w:bidi w:val="0"/>
        <w:jc w:val="start"/>
        <w:rPr/>
      </w:pPr>
      <w:r>
        <w:rPr/>
      </w:r>
    </w:p>
    <w:p>
      <w:pPr>
        <w:pStyle w:val="Heading2"/>
        <w:bidi w:val="0"/>
        <w:ind w:hanging="0" w:start="0"/>
        <w:jc w:val="start"/>
        <w:rPr/>
      </w:pPr>
      <w:r>
        <w:rPr/>
        <w:t>Table of contents</w:t>
      </w:r>
    </w:p>
    <w:p>
      <w:pPr>
        <w:pStyle w:val="BodyText"/>
        <w:numPr>
          <w:ilvl w:val="0"/>
          <w:numId w:val="2"/>
        </w:numPr>
        <w:tabs>
          <w:tab w:val="clear" w:pos="709"/>
          <w:tab w:val="left" w:pos="709" w:leader="none"/>
        </w:tabs>
        <w:bidi w:val="0"/>
        <w:ind w:hanging="283" w:start="709"/>
        <w:jc w:val="start"/>
        <w:rPr/>
      </w:pPr>
      <w:r>
        <w:rPr/>
        <w:t>Executive summary</w:t>
      </w:r>
    </w:p>
    <w:p>
      <w:pPr>
        <w:pStyle w:val="BodyText"/>
        <w:numPr>
          <w:ilvl w:val="0"/>
          <w:numId w:val="2"/>
        </w:numPr>
        <w:tabs>
          <w:tab w:val="clear" w:pos="709"/>
          <w:tab w:val="left" w:pos="709" w:leader="none"/>
        </w:tabs>
        <w:bidi w:val="0"/>
        <w:ind w:hanging="283" w:start="709"/>
        <w:jc w:val="start"/>
        <w:rPr/>
      </w:pPr>
      <w:r>
        <w:rPr/>
        <w:t>Business definition and mission</w:t>
      </w:r>
    </w:p>
    <w:p>
      <w:pPr>
        <w:pStyle w:val="BodyText"/>
        <w:numPr>
          <w:ilvl w:val="0"/>
          <w:numId w:val="2"/>
        </w:numPr>
        <w:tabs>
          <w:tab w:val="clear" w:pos="709"/>
          <w:tab w:val="left" w:pos="709" w:leader="none"/>
        </w:tabs>
        <w:bidi w:val="0"/>
        <w:ind w:hanging="283" w:start="709"/>
        <w:jc w:val="start"/>
        <w:rPr/>
      </w:pPr>
      <w:r>
        <w:rPr/>
        <w:t>Business structure</w:t>
      </w:r>
    </w:p>
    <w:p>
      <w:pPr>
        <w:pStyle w:val="BodyText"/>
        <w:numPr>
          <w:ilvl w:val="0"/>
          <w:numId w:val="2"/>
        </w:numPr>
        <w:tabs>
          <w:tab w:val="clear" w:pos="709"/>
          <w:tab w:val="left" w:pos="709" w:leader="none"/>
        </w:tabs>
        <w:bidi w:val="0"/>
        <w:ind w:hanging="283" w:start="709"/>
        <w:jc w:val="start"/>
        <w:rPr/>
      </w:pPr>
      <w:r>
        <w:rPr/>
        <w:t>Service scope: what the platform is today</w:t>
      </w:r>
    </w:p>
    <w:p>
      <w:pPr>
        <w:pStyle w:val="BodyText"/>
        <w:numPr>
          <w:ilvl w:val="0"/>
          <w:numId w:val="2"/>
        </w:numPr>
        <w:tabs>
          <w:tab w:val="clear" w:pos="709"/>
          <w:tab w:val="left" w:pos="709" w:leader="none"/>
        </w:tabs>
        <w:bidi w:val="0"/>
        <w:ind w:hanging="283" w:start="709"/>
        <w:jc w:val="start"/>
        <w:rPr/>
      </w:pPr>
      <w:r>
        <w:rPr/>
        <w:t>The services catalog (detail by domain)</w:t>
      </w:r>
    </w:p>
    <w:p>
      <w:pPr>
        <w:pStyle w:val="BodyText"/>
        <w:numPr>
          <w:ilvl w:val="0"/>
          <w:numId w:val="2"/>
        </w:numPr>
        <w:tabs>
          <w:tab w:val="clear" w:pos="709"/>
          <w:tab w:val="left" w:pos="709" w:leader="none"/>
        </w:tabs>
        <w:bidi w:val="0"/>
        <w:ind w:hanging="283" w:start="709"/>
        <w:jc w:val="start"/>
        <w:rPr/>
      </w:pPr>
      <w:r>
        <w:rPr/>
        <w:t>How the service foundation compounds into packages</w:t>
      </w:r>
    </w:p>
    <w:p>
      <w:pPr>
        <w:pStyle w:val="BodyText"/>
        <w:numPr>
          <w:ilvl w:val="0"/>
          <w:numId w:val="2"/>
        </w:numPr>
        <w:tabs>
          <w:tab w:val="clear" w:pos="709"/>
          <w:tab w:val="left" w:pos="709" w:leader="none"/>
        </w:tabs>
        <w:bidi w:val="0"/>
        <w:ind w:hanging="283" w:start="709"/>
        <w:jc w:val="start"/>
        <w:rPr/>
      </w:pPr>
      <w:r>
        <w:rPr/>
        <w:t>Market analysis: Kenya → Pan-Africa → Global</w:t>
      </w:r>
    </w:p>
    <w:p>
      <w:pPr>
        <w:pStyle w:val="BodyText"/>
        <w:numPr>
          <w:ilvl w:val="0"/>
          <w:numId w:val="2"/>
        </w:numPr>
        <w:tabs>
          <w:tab w:val="clear" w:pos="709"/>
          <w:tab w:val="left" w:pos="709" w:leader="none"/>
        </w:tabs>
        <w:bidi w:val="0"/>
        <w:ind w:hanging="283" w:start="709"/>
        <w:jc w:val="start"/>
        <w:rPr/>
      </w:pPr>
      <w:r>
        <w:rPr/>
        <w:t>Competitive audit: local, Pan-African and global</w:t>
      </w:r>
    </w:p>
    <w:p>
      <w:pPr>
        <w:pStyle w:val="BodyText"/>
        <w:numPr>
          <w:ilvl w:val="0"/>
          <w:numId w:val="2"/>
        </w:numPr>
        <w:tabs>
          <w:tab w:val="clear" w:pos="709"/>
          <w:tab w:val="left" w:pos="709" w:leader="none"/>
        </w:tabs>
        <w:bidi w:val="0"/>
        <w:ind w:hanging="283" w:start="709"/>
        <w:jc w:val="start"/>
        <w:rPr/>
      </w:pPr>
      <w:r>
        <w:rPr/>
        <w:t>Revenue model and pricing architecture</w:t>
      </w:r>
    </w:p>
    <w:p>
      <w:pPr>
        <w:pStyle w:val="BodyText"/>
        <w:numPr>
          <w:ilvl w:val="0"/>
          <w:numId w:val="2"/>
        </w:numPr>
        <w:tabs>
          <w:tab w:val="clear" w:pos="709"/>
          <w:tab w:val="left" w:pos="709" w:leader="none"/>
        </w:tabs>
        <w:bidi w:val="0"/>
        <w:ind w:hanging="283" w:start="709"/>
        <w:jc w:val="start"/>
        <w:rPr/>
      </w:pPr>
      <w:r>
        <w:rPr/>
        <w:t>Go-to-market plan</w:t>
      </w:r>
    </w:p>
    <w:p>
      <w:pPr>
        <w:pStyle w:val="BodyText"/>
        <w:numPr>
          <w:ilvl w:val="0"/>
          <w:numId w:val="2"/>
        </w:numPr>
        <w:tabs>
          <w:tab w:val="clear" w:pos="709"/>
          <w:tab w:val="left" w:pos="709" w:leader="none"/>
        </w:tabs>
        <w:bidi w:val="0"/>
        <w:ind w:hanging="283" w:start="709"/>
        <w:jc w:val="start"/>
        <w:rPr/>
      </w:pPr>
      <w:r>
        <w:rPr/>
        <w:t>Operations, trust, compliance and risk</w:t>
      </w:r>
    </w:p>
    <w:p>
      <w:pPr>
        <w:pStyle w:val="BodyText"/>
        <w:numPr>
          <w:ilvl w:val="0"/>
          <w:numId w:val="2"/>
        </w:numPr>
        <w:tabs>
          <w:tab w:val="clear" w:pos="709"/>
          <w:tab w:val="left" w:pos="709" w:leader="none"/>
        </w:tabs>
        <w:bidi w:val="0"/>
        <w:ind w:hanging="283" w:start="709"/>
        <w:jc w:val="start"/>
        <w:rPr/>
      </w:pPr>
      <w:r>
        <w:rPr/>
        <w:t>Financial plan</w:t>
      </w:r>
    </w:p>
    <w:p>
      <w:pPr>
        <w:pStyle w:val="BodyText"/>
        <w:numPr>
          <w:ilvl w:val="0"/>
          <w:numId w:val="2"/>
        </w:numPr>
        <w:tabs>
          <w:tab w:val="clear" w:pos="709"/>
          <w:tab w:val="left" w:pos="709" w:leader="none"/>
        </w:tabs>
        <w:bidi w:val="0"/>
        <w:ind w:hanging="283" w:start="709"/>
        <w:jc w:val="start"/>
        <w:rPr/>
      </w:pPr>
      <w:r>
        <w:rPr/>
        <w:t>Product, service and commercial roadmap</w:t>
      </w:r>
    </w:p>
    <w:p>
      <w:pPr>
        <w:pStyle w:val="BodyText"/>
        <w:numPr>
          <w:ilvl w:val="0"/>
          <w:numId w:val="2"/>
        </w:numPr>
        <w:tabs>
          <w:tab w:val="clear" w:pos="709"/>
          <w:tab w:val="left" w:pos="709" w:leader="none"/>
        </w:tabs>
        <w:bidi w:val="0"/>
        <w:ind w:hanging="283" w:start="709"/>
        <w:jc w:val="start"/>
        <w:rPr/>
      </w:pPr>
      <w:r>
        <w:rPr/>
        <w:t>Decisions requested and next actions</w:t>
      </w:r>
    </w:p>
    <w:p>
      <w:pPr>
        <w:pStyle w:val="BodyText"/>
        <w:numPr>
          <w:ilvl w:val="0"/>
          <w:numId w:val="2"/>
        </w:numPr>
        <w:tabs>
          <w:tab w:val="clear" w:pos="709"/>
          <w:tab w:val="left" w:pos="709" w:leader="none"/>
        </w:tabs>
        <w:bidi w:val="0"/>
        <w:ind w:hanging="283" w:start="709"/>
        <w:jc w:val="start"/>
        <w:rPr/>
      </w:pPr>
      <w:r>
        <w:rPr/>
        <w:t>Sources and methodology</w:t>
      </w:r>
    </w:p>
    <w:p>
      <w:pPr>
        <w:pStyle w:val="HorizontalLine"/>
        <w:bidi w:val="0"/>
        <w:jc w:val="start"/>
        <w:rPr/>
      </w:pPr>
      <w:r>
        <w:rPr/>
      </w:r>
    </w:p>
    <w:p>
      <w:pPr>
        <w:pStyle w:val="Heading2"/>
        <w:bidi w:val="0"/>
        <w:ind w:hanging="0" w:start="0"/>
        <w:jc w:val="start"/>
        <w:rPr/>
      </w:pPr>
      <w:r>
        <w:rPr/>
        <w:t>1. Executive summary</w:t>
      </w:r>
    </w:p>
    <w:p>
      <w:pPr>
        <w:pStyle w:val="BodyText"/>
        <w:bidi w:val="0"/>
        <w:jc w:val="start"/>
        <w:rPr/>
      </w:pPr>
      <w:r>
        <w:rPr/>
        <w:t xml:space="preserve">Bud is the short, customer-facing name for the BuddyUp mobile-first health and fitness community platform. It turns the intention to exercise into repeat behaviour through a mutual </w:t>
      </w:r>
      <w:r>
        <w:rPr>
          <w:b/>
        </w:rPr>
        <w:t>Buddy Up</w:t>
      </w:r>
      <w:r>
        <w:rPr/>
        <w:t xml:space="preserve"> relationship, gym communities, verified professionals, live/group training, booking and relevant commerce. Its defining customer promise: </w:t>
      </w:r>
      <w:r>
        <w:rPr>
          <w:i/>
        </w:rPr>
        <w:t>find someone to train with, a trusted coach to guide you, and a community that notices when you disappear.</w:t>
      </w:r>
    </w:p>
    <w:p>
      <w:pPr>
        <w:pStyle w:val="BodyText"/>
        <w:bidi w:val="0"/>
        <w:jc w:val="start"/>
        <w:rPr/>
      </w:pPr>
      <w:r>
        <w:rPr/>
        <w:t xml:space="preserve">The product is materially more capable than a concept. The codebase contains web (React) and Flutter clients, a Django/DRF platform, real-time messaging, live-video infrastructure, a marketplace, scheduling/escrow, moderation, verification, payment integrations, a wallet model and AI services. The launch is deliberately narrower than the system. The beachhead is </w:t>
      </w:r>
      <w:r>
        <w:rPr>
          <w:b/>
        </w:rPr>
        <w:t>Nairobi gym communities and independent coaches</w:t>
      </w:r>
      <w:r>
        <w:rPr/>
        <w:t>, with a consumer-led free community product and a paid partner operating layer.</w:t>
      </w:r>
    </w:p>
    <w:p>
      <w:pPr>
        <w:pStyle w:val="BodyText"/>
        <w:bidi w:val="0"/>
        <w:jc w:val="start"/>
        <w:rPr/>
      </w:pPr>
      <w:r>
        <w:rPr/>
        <w:t>The commercial offer is a three-sided network:</w:t>
      </w:r>
    </w:p>
    <w:p>
      <w:pPr>
        <w:pStyle w:val="BodyText"/>
        <w:numPr>
          <w:ilvl w:val="0"/>
          <w:numId w:val="3"/>
        </w:numPr>
        <w:tabs>
          <w:tab w:val="clear" w:pos="709"/>
          <w:tab w:val="left" w:pos="709" w:leader="none"/>
        </w:tabs>
        <w:bidi w:val="0"/>
        <w:ind w:hanging="283" w:start="709"/>
        <w:jc w:val="start"/>
        <w:rPr/>
      </w:pPr>
      <w:r>
        <w:rPr>
          <w:b/>
        </w:rPr>
        <w:t>Members</w:t>
      </w:r>
      <w:r>
        <w:rPr/>
        <w:t xml:space="preserve"> use Bud free to form accountable relationships, find nearby communities and join sessions.</w:t>
      </w:r>
    </w:p>
    <w:p>
      <w:pPr>
        <w:pStyle w:val="BodyText"/>
        <w:numPr>
          <w:ilvl w:val="0"/>
          <w:numId w:val="3"/>
        </w:numPr>
        <w:tabs>
          <w:tab w:val="clear" w:pos="709"/>
          <w:tab w:val="left" w:pos="709" w:leader="none"/>
        </w:tabs>
        <w:bidi w:val="0"/>
        <w:ind w:hanging="283" w:start="709"/>
        <w:jc w:val="start"/>
        <w:rPr/>
      </w:pPr>
      <w:r>
        <w:rPr>
          <w:b/>
        </w:rPr>
        <w:t>Gyms and coaches</w:t>
      </w:r>
      <w:r>
        <w:rPr/>
        <w:t xml:space="preserve"> use it to retain members, schedule and sell classes/programmes, and manage a community.</w:t>
      </w:r>
    </w:p>
    <w:p>
      <w:pPr>
        <w:pStyle w:val="BodyText"/>
        <w:numPr>
          <w:ilvl w:val="0"/>
          <w:numId w:val="3"/>
        </w:numPr>
        <w:tabs>
          <w:tab w:val="clear" w:pos="709"/>
          <w:tab w:val="left" w:pos="709" w:leader="none"/>
        </w:tabs>
        <w:bidi w:val="0"/>
        <w:ind w:hanging="283" w:start="709"/>
        <w:jc w:val="start"/>
        <w:rPr/>
      </w:pPr>
      <w:r>
        <w:rPr>
          <w:b/>
        </w:rPr>
        <w:t>Bud earns</w:t>
      </w:r>
      <w:r>
        <w:rPr/>
        <w:t xml:space="preserve"> recurring SaaS fees and transaction commissions only after it demonstrably improves participation and retention.</w:t>
      </w:r>
    </w:p>
    <w:p>
      <w:pPr>
        <w:pStyle w:val="BodyText"/>
        <w:bidi w:val="0"/>
        <w:jc w:val="start"/>
        <w:rPr/>
      </w:pPr>
      <w:r>
        <w:rPr/>
        <w:t>The business is structured to grow through three horizons with one compounding foundation:</w:t>
      </w:r>
    </w:p>
    <w:tbl>
      <w:tblPr>
        <w:tblW w:w="5000" w:type="pct"/>
        <w:jc w:val="start"/>
        <w:tblInd w:w="-5" w:type="dxa"/>
        <w:tblLayout w:type="fixed"/>
        <w:tblCellMar>
          <w:top w:w="55" w:type="dxa"/>
          <w:start w:w="55" w:type="dxa"/>
          <w:bottom w:w="55" w:type="dxa"/>
          <w:end w:w="55" w:type="dxa"/>
        </w:tblCellMar>
      </w:tblPr>
      <w:tblGrid>
        <w:gridCol w:w="3324"/>
        <w:gridCol w:w="3324"/>
        <w:gridCol w:w="3324"/>
      </w:tblGrid>
      <w:tr>
        <w:trPr>
          <w:tblHeader w:val="true"/>
        </w:trPr>
        <w:tc>
          <w:tcPr>
            <w:tcW w:w="3324" w:type="dxa"/>
            <w:tcBorders>
              <w:top w:val="single" w:sz="4" w:space="0" w:color="000000"/>
              <w:start w:val="single" w:sz="4" w:space="0" w:color="000000"/>
              <w:bottom w:val="single" w:sz="4" w:space="0" w:color="000000"/>
            </w:tcBorders>
          </w:tcPr>
          <w:p>
            <w:pPr>
              <w:pStyle w:val="TableHeading"/>
              <w:bidi w:val="0"/>
              <w:jc w:val="start"/>
              <w:rPr/>
            </w:pPr>
            <w:r>
              <w:rPr/>
              <w:t>Horizon</w:t>
            </w:r>
          </w:p>
        </w:tc>
        <w:tc>
          <w:tcPr>
            <w:tcW w:w="3324" w:type="dxa"/>
            <w:tcBorders>
              <w:top w:val="single" w:sz="4" w:space="0" w:color="000000"/>
              <w:start w:val="single" w:sz="4" w:space="0" w:color="000000"/>
              <w:bottom w:val="single" w:sz="4" w:space="0" w:color="000000"/>
            </w:tcBorders>
          </w:tcPr>
          <w:p>
            <w:pPr>
              <w:pStyle w:val="TableHeading"/>
              <w:bidi w:val="0"/>
              <w:jc w:val="start"/>
              <w:rPr/>
            </w:pPr>
            <w:r>
              <w:rPr/>
              <w:t>Market</w:t>
            </w:r>
          </w:p>
        </w:tc>
        <w:tc>
          <w:tcPr>
            <w:tcW w:w="3324"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Focus</w:t>
            </w:r>
          </w:p>
        </w:tc>
      </w:tr>
      <w:tr>
        <w:trPr/>
        <w:tc>
          <w:tcPr>
            <w:tcW w:w="3324" w:type="dxa"/>
            <w:tcBorders>
              <w:start w:val="single" w:sz="4" w:space="0" w:color="000000"/>
              <w:bottom w:val="single" w:sz="4" w:space="0" w:color="000000"/>
            </w:tcBorders>
          </w:tcPr>
          <w:p>
            <w:pPr>
              <w:pStyle w:val="TableContents"/>
              <w:bidi w:val="0"/>
              <w:jc w:val="start"/>
              <w:rPr/>
            </w:pPr>
            <w:r>
              <w:rPr>
                <w:b/>
              </w:rPr>
              <w:t>H1 (months 0–36)</w:t>
            </w:r>
          </w:p>
        </w:tc>
        <w:tc>
          <w:tcPr>
            <w:tcW w:w="3324" w:type="dxa"/>
            <w:tcBorders>
              <w:start w:val="single" w:sz="4" w:space="0" w:color="000000"/>
              <w:bottom w:val="single" w:sz="4" w:space="0" w:color="000000"/>
            </w:tcBorders>
          </w:tcPr>
          <w:p>
            <w:pPr>
              <w:pStyle w:val="TableContents"/>
              <w:bidi w:val="0"/>
              <w:jc w:val="start"/>
              <w:rPr/>
            </w:pPr>
            <w:r>
              <w:rPr/>
              <w:t>Kenya (Nairobi → 4+ cities)</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Prove the accountability loop, convert 10 design partners → 180+ paying partners, establish unit economics</w:t>
            </w:r>
          </w:p>
        </w:tc>
      </w:tr>
      <w:tr>
        <w:trPr/>
        <w:tc>
          <w:tcPr>
            <w:tcW w:w="3324" w:type="dxa"/>
            <w:tcBorders>
              <w:start w:val="single" w:sz="4" w:space="0" w:color="000000"/>
              <w:bottom w:val="single" w:sz="4" w:space="0" w:color="000000"/>
            </w:tcBorders>
          </w:tcPr>
          <w:p>
            <w:pPr>
              <w:pStyle w:val="TableContents"/>
              <w:bidi w:val="0"/>
              <w:jc w:val="start"/>
              <w:rPr/>
            </w:pPr>
            <w:r>
              <w:rPr>
                <w:b/>
              </w:rPr>
              <w:t>H2 (years 3–5)</w:t>
            </w:r>
          </w:p>
        </w:tc>
        <w:tc>
          <w:tcPr>
            <w:tcW w:w="3324" w:type="dxa"/>
            <w:tcBorders>
              <w:start w:val="single" w:sz="4" w:space="0" w:color="000000"/>
              <w:bottom w:val="single" w:sz="4" w:space="0" w:color="000000"/>
            </w:tcBorders>
          </w:tcPr>
          <w:p>
            <w:pPr>
              <w:pStyle w:val="TableContents"/>
              <w:bidi w:val="0"/>
              <w:jc w:val="start"/>
              <w:rPr/>
            </w:pPr>
            <w:r>
              <w:rPr/>
              <w:t>Pan-Africa (Nigeria, South Africa, Ghana + others)</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Replicate the Kenya playbook in 3–5 countries, localise payments/support/compliance per market</w:t>
            </w:r>
          </w:p>
        </w:tc>
      </w:tr>
      <w:tr>
        <w:trPr/>
        <w:tc>
          <w:tcPr>
            <w:tcW w:w="3324" w:type="dxa"/>
            <w:tcBorders>
              <w:start w:val="single" w:sz="4" w:space="0" w:color="000000"/>
              <w:bottom w:val="single" w:sz="4" w:space="0" w:color="000000"/>
            </w:tcBorders>
          </w:tcPr>
          <w:p>
            <w:pPr>
              <w:pStyle w:val="TableContents"/>
              <w:bidi w:val="0"/>
              <w:jc w:val="start"/>
              <w:rPr/>
            </w:pPr>
            <w:r>
              <w:rPr>
                <w:b/>
              </w:rPr>
              <w:t>H3 (years 5–8)</w:t>
            </w:r>
          </w:p>
        </w:tc>
        <w:tc>
          <w:tcPr>
            <w:tcW w:w="3324" w:type="dxa"/>
            <w:tcBorders>
              <w:start w:val="single" w:sz="4" w:space="0" w:color="000000"/>
              <w:bottom w:val="single" w:sz="4" w:space="0" w:color="000000"/>
            </w:tcBorders>
          </w:tcPr>
          <w:p>
            <w:pPr>
              <w:pStyle w:val="TableContents"/>
              <w:bidi w:val="0"/>
              <w:jc w:val="start"/>
              <w:rPr/>
            </w:pPr>
            <w:r>
              <w:rPr/>
              <w:t>Global</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Export the partner-community operating layer where emerging-market dynamics apply; pursue regional partnerships</w:t>
            </w:r>
          </w:p>
        </w:tc>
      </w:tr>
    </w:tbl>
    <w:p>
      <w:pPr>
        <w:pStyle w:val="BodyText"/>
        <w:bidi w:val="0"/>
        <w:jc w:val="start"/>
        <w:rPr/>
      </w:pPr>
      <w:r>
        <w:rPr/>
      </w:r>
    </w:p>
    <w:p>
      <w:pPr>
        <w:pStyle w:val="BodyText"/>
        <w:bidi w:val="0"/>
        <w:jc w:val="start"/>
        <w:rPr/>
      </w:pPr>
      <w:r>
        <w:rPr>
          <w:b/>
        </w:rPr>
        <w:t>Three decisions determine viability:</w:t>
      </w:r>
    </w:p>
    <w:p>
      <w:pPr>
        <w:pStyle w:val="BodyText"/>
        <w:numPr>
          <w:ilvl w:val="0"/>
          <w:numId w:val="4"/>
        </w:numPr>
        <w:tabs>
          <w:tab w:val="clear" w:pos="709"/>
          <w:tab w:val="left" w:pos="709" w:leader="none"/>
        </w:tabs>
        <w:bidi w:val="0"/>
        <w:ind w:hanging="283" w:start="709"/>
        <w:jc w:val="start"/>
        <w:rPr/>
      </w:pPr>
      <w:r>
        <w:rPr/>
        <w:t>Prove a weekly accountability loop before spending heavily on content or AI: new member → buddy match → scheduled session → attendance → encouragement → repeat.</w:t>
      </w:r>
    </w:p>
    <w:p>
      <w:pPr>
        <w:pStyle w:val="BodyText"/>
        <w:numPr>
          <w:ilvl w:val="0"/>
          <w:numId w:val="4"/>
        </w:numPr>
        <w:tabs>
          <w:tab w:val="clear" w:pos="709"/>
          <w:tab w:val="left" w:pos="709" w:leader="none"/>
        </w:tabs>
        <w:bidi w:val="0"/>
        <w:ind w:hanging="283" w:start="709"/>
        <w:jc w:val="start"/>
        <w:rPr/>
      </w:pPr>
      <w:r>
        <w:rPr/>
        <w:t>Treat regulated health data, professional advice and stored-value/payment flows as controlled services from day one. Do not sell "unlimited artifacts" or permit cash-like transfer/redemption until specialist Kenyan (and then per-market) payments and legal advice confirms the structure.</w:t>
      </w:r>
    </w:p>
    <w:p>
      <w:pPr>
        <w:pStyle w:val="BodyText"/>
        <w:numPr>
          <w:ilvl w:val="0"/>
          <w:numId w:val="4"/>
        </w:numPr>
        <w:tabs>
          <w:tab w:val="clear" w:pos="709"/>
          <w:tab w:val="left" w:pos="709" w:leader="none"/>
        </w:tabs>
        <w:bidi w:val="0"/>
        <w:ind w:hanging="283" w:start="709"/>
        <w:jc w:val="start"/>
        <w:rPr/>
      </w:pPr>
      <w:r>
        <w:rPr/>
        <w:t>Win concentrated communities (10–20 launch partners) before broad national acquisition. A small number of active clusters is more valuable than a large number of inactive installs.</w:t>
      </w:r>
    </w:p>
    <w:p>
      <w:pPr>
        <w:pStyle w:val="HorizontalLine"/>
        <w:bidi w:val="0"/>
        <w:jc w:val="start"/>
        <w:rPr/>
      </w:pPr>
      <w:r>
        <w:rPr/>
      </w:r>
    </w:p>
    <w:p>
      <w:pPr>
        <w:pStyle w:val="Heading2"/>
        <w:bidi w:val="0"/>
        <w:ind w:hanging="0" w:start="0"/>
        <w:jc w:val="start"/>
        <w:rPr/>
      </w:pPr>
      <w:r>
        <w:rPr/>
        <w:t>2. Business definition and mission</w:t>
      </w:r>
    </w:p>
    <w:p>
      <w:pPr>
        <w:pStyle w:val="Heading3"/>
        <w:bidi w:val="0"/>
        <w:ind w:hanging="0" w:start="0"/>
        <w:jc w:val="start"/>
        <w:rPr/>
      </w:pPr>
      <w:r>
        <w:rPr/>
        <w:t>2.1 Mission and customer problem</w:t>
      </w:r>
    </w:p>
    <w:p>
      <w:pPr>
        <w:pStyle w:val="BodyText"/>
        <w:bidi w:val="0"/>
        <w:jc w:val="start"/>
        <w:rPr/>
      </w:pPr>
      <w:r>
        <w:rPr/>
        <w:t>Bud exists to make healthy activity easier to start and harder to abandon. Fitness consumers do not lack videos, apps or information; they lack a dependable social commitment, local access and an affordable path to a qualified coach. Gym operators and coaches struggle to convert a membership or enquiry into a persistent, engaged community.</w:t>
      </w:r>
    </w:p>
    <w:p>
      <w:pPr>
        <w:pStyle w:val="BodyText"/>
        <w:bidi w:val="0"/>
        <w:jc w:val="start"/>
        <w:rPr/>
      </w:pPr>
      <w:r>
        <w:rPr/>
        <w:t xml:space="preserve">The public-health need is material: the WHO reported that nearly </w:t>
      </w:r>
      <w:r>
        <w:rPr>
          <w:b/>
        </w:rPr>
        <w:t>1.8 billion adults (31%)</w:t>
      </w:r>
      <w:r>
        <w:rPr/>
        <w:t xml:space="preserve"> did not meet recommended physical-activity levels in 2022. </w:t>
      </w:r>
      <w:hyperlink r:id="rId2">
        <w:r>
          <w:rPr>
            <w:rStyle w:val="Hyperlink"/>
          </w:rPr>
          <w:t>WHO, 2024</w:t>
        </w:r>
      </w:hyperlink>
    </w:p>
    <w:p>
      <w:pPr>
        <w:pStyle w:val="Heading3"/>
        <w:bidi w:val="0"/>
        <w:ind w:hanging="0" w:start="0"/>
        <w:jc w:val="start"/>
        <w:rPr/>
      </w:pPr>
      <w:r>
        <w:rPr/>
        <w:t>2.2 Positioning</w:t>
      </w:r>
    </w:p>
    <w:p>
      <w:pPr>
        <w:pStyle w:val="BodyText"/>
        <w:bidi w:val="0"/>
        <w:jc w:val="start"/>
        <w:rPr/>
      </w:pPr>
      <w:r>
        <w:rPr>
          <w:b/>
        </w:rPr>
        <w:t>For urban, mobile-first adults who want consistency, Bud is the fitness community and partner platform that combines mutual accountability, trusted local services and participation-led commerce.</w:t>
      </w:r>
      <w:r>
        <w:rPr/>
        <w:t xml:space="preserve"> It differs from a tracker by starting with the relationship; from a content network by driving a planned activity; and from a class aggregator by giving each gym and coach a persistent community.</w:t>
      </w:r>
    </w:p>
    <w:p>
      <w:pPr>
        <w:pStyle w:val="BodyText"/>
        <w:bidi w:val="0"/>
        <w:jc w:val="start"/>
        <w:rPr/>
      </w:pPr>
      <w:r>
        <w:rPr/>
        <w:t>Bud is not a healthcare provider, insurer, diagnostic device, medical-record system or a general social network. It facilitates discovery and access to appropriately verified professionals; advice, diagnosis, prescriptions and clinical records remain within professional and legal boundaries.</w:t>
      </w:r>
    </w:p>
    <w:p>
      <w:pPr>
        <w:pStyle w:val="Heading3"/>
        <w:bidi w:val="0"/>
        <w:ind w:hanging="0" w:start="0"/>
        <w:jc w:val="start"/>
        <w:rPr/>
      </w:pPr>
      <w:r>
        <w:rPr/>
        <w:t>2.3 Design philosophy (guiding policy)</w:t>
      </w:r>
    </w:p>
    <w:p>
      <w:pPr>
        <w:pStyle w:val="BodyText"/>
        <w:bidi w:val="0"/>
        <w:jc w:val="start"/>
        <w:rPr/>
      </w:pPr>
      <w:r>
        <w:rPr>
          <w:b/>
        </w:rPr>
        <w:t>"Make fitness social by design, not as an afterthought."</w:t>
      </w:r>
      <w:r>
        <w:rPr/>
        <w:t xml:space="preserve"> Every feature, interaction and economic mechanic is designed to create, reinforce or reward mutual accountability. The policy manifests in four principles:</w:t>
      </w:r>
    </w:p>
    <w:p>
      <w:pPr>
        <w:pStyle w:val="BodyText"/>
        <w:numPr>
          <w:ilvl w:val="0"/>
          <w:numId w:val="5"/>
        </w:numPr>
        <w:tabs>
          <w:tab w:val="clear" w:pos="709"/>
          <w:tab w:val="left" w:pos="709" w:leader="none"/>
        </w:tabs>
        <w:bidi w:val="0"/>
        <w:ind w:hanging="283" w:start="709"/>
        <w:jc w:val="start"/>
        <w:rPr/>
      </w:pPr>
      <w:r>
        <w:rPr>
          <w:b/>
        </w:rPr>
        <w:t>Mutual consent is the default social primitive</w:t>
      </w:r>
      <w:r>
        <w:rPr/>
        <w:t xml:space="preserve"> — messaging, goals and accountability require an explicit confirmed Buddy relationship; this is the opposite of one-directional follow.</w:t>
      </w:r>
    </w:p>
    <w:p>
      <w:pPr>
        <w:pStyle w:val="BodyText"/>
        <w:numPr>
          <w:ilvl w:val="0"/>
          <w:numId w:val="5"/>
        </w:numPr>
        <w:tabs>
          <w:tab w:val="clear" w:pos="709"/>
          <w:tab w:val="left" w:pos="709" w:leader="none"/>
        </w:tabs>
        <w:bidi w:val="0"/>
        <w:ind w:hanging="283" w:start="709"/>
        <w:jc w:val="start"/>
        <w:rPr/>
      </w:pPr>
      <w:r>
        <w:rPr>
          <w:b/>
        </w:rPr>
        <w:t>Doing together beats watching alone</w:t>
      </w:r>
      <w:r>
        <w:rPr/>
        <w:t xml:space="preserve"> — live sessions and planned group activity are the engagement core; passive consumption is secondary.</w:t>
      </w:r>
    </w:p>
    <w:p>
      <w:pPr>
        <w:pStyle w:val="BodyText"/>
        <w:numPr>
          <w:ilvl w:val="0"/>
          <w:numId w:val="5"/>
        </w:numPr>
        <w:tabs>
          <w:tab w:val="clear" w:pos="709"/>
          <w:tab w:val="left" w:pos="709" w:leader="none"/>
        </w:tabs>
        <w:bidi w:val="0"/>
        <w:ind w:hanging="283" w:start="709"/>
        <w:jc w:val="start"/>
        <w:rPr/>
      </w:pPr>
      <w:r>
        <w:rPr>
          <w:b/>
        </w:rPr>
        <w:t>The economy rewards participation, not just creation</w:t>
      </w:r>
      <w:r>
        <w:rPr/>
        <w:t xml:space="preserve"> — reputation, streaks and rewards accrue through consistency, not virality.</w:t>
      </w:r>
    </w:p>
    <w:p>
      <w:pPr>
        <w:pStyle w:val="BodyText"/>
        <w:numPr>
          <w:ilvl w:val="0"/>
          <w:numId w:val="5"/>
        </w:numPr>
        <w:tabs>
          <w:tab w:val="clear" w:pos="709"/>
          <w:tab w:val="left" w:pos="709" w:leader="none"/>
        </w:tabs>
        <w:bidi w:val="0"/>
        <w:ind w:hanging="283" w:start="709"/>
        <w:jc w:val="start"/>
        <w:rPr/>
      </w:pPr>
      <w:r>
        <w:rPr>
          <w:b/>
        </w:rPr>
        <w:t>Gyms are communities, not listings</w:t>
      </w:r>
      <w:r>
        <w:rPr/>
        <w:t xml:space="preserve"> — a gym on Bud is a social hub with shared goals, member feeds and collective accountability, not a venue directory.</w:t>
      </w:r>
    </w:p>
    <w:p>
      <w:pPr>
        <w:pStyle w:val="Heading3"/>
        <w:numPr>
          <w:ilvl w:val="0"/>
          <w:numId w:val="0"/>
        </w:numPr>
        <w:bidi w:val="0"/>
        <w:ind w:hanging="0" w:start="0"/>
        <w:jc w:val="start"/>
        <w:rPr/>
      </w:pPr>
      <w:r>
        <w:rPr/>
        <w:t>2.4 Strategic refusals</w:t>
      </w:r>
    </w:p>
    <w:p>
      <w:pPr>
        <w:pStyle w:val="BodyText"/>
        <w:bidi w:val="0"/>
        <w:jc w:val="start"/>
        <w:rPr/>
      </w:pPr>
      <w:r>
        <w:rPr/>
        <w:t>Bud will not:</w:t>
      </w:r>
    </w:p>
    <w:p>
      <w:pPr>
        <w:pStyle w:val="BodyText"/>
        <w:numPr>
          <w:ilvl w:val="0"/>
          <w:numId w:val="6"/>
        </w:numPr>
        <w:tabs>
          <w:tab w:val="clear" w:pos="709"/>
          <w:tab w:val="left" w:pos="709" w:leader="none"/>
        </w:tabs>
        <w:bidi w:val="0"/>
        <w:ind w:hanging="283" w:start="709"/>
        <w:jc w:val="start"/>
        <w:rPr/>
      </w:pPr>
      <w:r>
        <w:rPr/>
        <w:t>build a general-purpose social network or pay to compete on influencer content volume;</w:t>
      </w:r>
    </w:p>
    <w:p>
      <w:pPr>
        <w:pStyle w:val="BodyText"/>
        <w:numPr>
          <w:ilvl w:val="0"/>
          <w:numId w:val="6"/>
        </w:numPr>
        <w:tabs>
          <w:tab w:val="clear" w:pos="709"/>
          <w:tab w:val="left" w:pos="709" w:leader="none"/>
        </w:tabs>
        <w:bidi w:val="0"/>
        <w:ind w:hanging="283" w:start="709"/>
        <w:jc w:val="start"/>
        <w:rPr/>
      </w:pPr>
      <w:r>
        <w:rPr/>
        <w:t>make diagnosis, treatment or individual medical claims through AI;</w:t>
      </w:r>
    </w:p>
    <w:p>
      <w:pPr>
        <w:pStyle w:val="BodyText"/>
        <w:numPr>
          <w:ilvl w:val="0"/>
          <w:numId w:val="6"/>
        </w:numPr>
        <w:tabs>
          <w:tab w:val="clear" w:pos="709"/>
          <w:tab w:val="left" w:pos="709" w:leader="none"/>
        </w:tabs>
        <w:bidi w:val="0"/>
        <w:ind w:hanging="283" w:start="709"/>
        <w:jc w:val="start"/>
        <w:rPr/>
      </w:pPr>
      <w:r>
        <w:rPr/>
        <w:t>expand nationally or internationally before a city cluster has density and positive cohort economics;</w:t>
      </w:r>
    </w:p>
    <w:p>
      <w:pPr>
        <w:pStyle w:val="BodyText"/>
        <w:numPr>
          <w:ilvl w:val="0"/>
          <w:numId w:val="6"/>
        </w:numPr>
        <w:tabs>
          <w:tab w:val="clear" w:pos="709"/>
          <w:tab w:val="left" w:pos="709" w:leader="none"/>
        </w:tabs>
        <w:bidi w:val="0"/>
        <w:ind w:hanging="283" w:start="709"/>
        <w:jc w:val="start"/>
        <w:rPr/>
      </w:pPr>
      <w:r>
        <w:rPr/>
        <w:t>treat GMV, wallet deposits or registrations as revenue; or</w:t>
      </w:r>
    </w:p>
    <w:p>
      <w:pPr>
        <w:pStyle w:val="BodyText"/>
        <w:numPr>
          <w:ilvl w:val="0"/>
          <w:numId w:val="6"/>
        </w:numPr>
        <w:tabs>
          <w:tab w:val="clear" w:pos="709"/>
          <w:tab w:val="left" w:pos="709" w:leader="none"/>
        </w:tabs>
        <w:bidi w:val="0"/>
        <w:ind w:hanging="283" w:start="709"/>
        <w:jc w:val="start"/>
        <w:rPr/>
      </w:pPr>
      <w:r>
        <w:rPr/>
        <w:t>monetise member trust through targeted advertising based on sensitive data.</w:t>
      </w:r>
    </w:p>
    <w:p>
      <w:pPr>
        <w:pStyle w:val="HorizontalLine"/>
        <w:bidi w:val="0"/>
        <w:jc w:val="start"/>
        <w:rPr/>
      </w:pPr>
      <w:r>
        <w:rPr/>
      </w:r>
    </w:p>
    <w:p>
      <w:pPr>
        <w:pStyle w:val="Heading2"/>
        <w:bidi w:val="0"/>
        <w:ind w:hanging="0" w:start="0"/>
        <w:jc w:val="start"/>
        <w:rPr/>
      </w:pPr>
      <w:r>
        <w:rPr/>
        <w:t>3. Business structure</w:t>
      </w:r>
    </w:p>
    <w:p>
      <w:pPr>
        <w:pStyle w:val="Heading3"/>
        <w:bidi w:val="0"/>
        <w:ind w:hanging="0" w:start="0"/>
        <w:jc w:val="start"/>
        <w:rPr/>
      </w:pPr>
      <w:r>
        <w:rPr/>
        <w:t>3.1 Legal and operating structure</w:t>
      </w:r>
    </w:p>
    <w:p>
      <w:pPr>
        <w:pStyle w:val="BodyText"/>
        <w:bidi w:val="0"/>
        <w:jc w:val="start"/>
        <w:rPr/>
      </w:pPr>
      <w:r>
        <w:rPr/>
        <w:t xml:space="preserve">Bud operates as </w:t>
      </w:r>
      <w:r>
        <w:rPr>
          <w:b/>
        </w:rPr>
        <w:t>BuddyUp Ltd.</w:t>
      </w:r>
      <w:r>
        <w:rPr/>
        <w:t xml:space="preserve"> (platform operator) organised around five operating capabilities—not individual app screens.</w:t>
      </w:r>
    </w:p>
    <w:p>
      <w:pPr>
        <w:pStyle w:val="PreformattedText"/>
        <w:shd w:fill="E1E1E1" w:val="clear"/>
        <w:bidi w:val="0"/>
        <w:spacing w:before="0" w:after="283"/>
        <w:jc w:val="start"/>
        <w:rPr/>
      </w:pPr>
      <w:r>
        <w:rPr/>
        <w:t>BuddyUp Ltd. (platform operator)</w:t>
        <w:br/>
        <w:t>│</w:t>
        <w:br/>
        <w:t>├── Consumer community        Free social/accountability experience</w:t>
        <w:br/>
        <w:t>├── Partner platform          Gym, coach and practitioner tools</w:t>
        <w:br/>
        <w:t>├── Marketplace &amp; bookings    Intermediated transactions; controlled payouts</w:t>
        <w:br/>
        <w:t>├── Trust, safety &amp; data      Identity, moderation, consent, risk operations</w:t>
        <w:br/>
        <w:t>└── Platform &amp; intelligence   Payments, messaging, video, analytics, APIs</w:t>
      </w:r>
    </w:p>
    <w:p>
      <w:pPr>
        <w:pStyle w:val="Heading3"/>
        <w:bidi w:val="0"/>
        <w:ind w:hanging="0" w:start="0"/>
        <w:jc w:val="start"/>
        <w:rPr/>
      </w:pPr>
      <w:r>
        <w:rPr/>
        <w:t>3.2 Operating accountability</w:t>
      </w:r>
    </w:p>
    <w:tbl>
      <w:tblPr>
        <w:tblW w:w="5000" w:type="pct"/>
        <w:jc w:val="start"/>
        <w:tblInd w:w="-5" w:type="dxa"/>
        <w:tblLayout w:type="fixed"/>
        <w:tblCellMar>
          <w:top w:w="55" w:type="dxa"/>
          <w:start w:w="55" w:type="dxa"/>
          <w:bottom w:w="55" w:type="dxa"/>
          <w:end w:w="55" w:type="dxa"/>
        </w:tblCellMar>
      </w:tblPr>
      <w:tblGrid>
        <w:gridCol w:w="4986"/>
        <w:gridCol w:w="4986"/>
      </w:tblGrid>
      <w:tr>
        <w:trPr>
          <w:tblHeader w:val="true"/>
        </w:trPr>
        <w:tc>
          <w:tcPr>
            <w:tcW w:w="4986" w:type="dxa"/>
            <w:tcBorders>
              <w:top w:val="single" w:sz="4" w:space="0" w:color="000000"/>
              <w:start w:val="single" w:sz="4" w:space="0" w:color="000000"/>
              <w:bottom w:val="single" w:sz="4" w:space="0" w:color="000000"/>
            </w:tcBorders>
          </w:tcPr>
          <w:p>
            <w:pPr>
              <w:pStyle w:val="TableHeading"/>
              <w:bidi w:val="0"/>
              <w:jc w:val="start"/>
              <w:rPr/>
            </w:pPr>
            <w:r>
              <w:rPr/>
              <w:t>Function</w:t>
            </w:r>
          </w:p>
        </w:tc>
        <w:tc>
          <w:tcPr>
            <w:tcW w:w="4986"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Launch accountability</w:t>
            </w:r>
          </w:p>
        </w:tc>
      </w:tr>
      <w:tr>
        <w:trPr/>
        <w:tc>
          <w:tcPr>
            <w:tcW w:w="4986" w:type="dxa"/>
            <w:tcBorders>
              <w:start w:val="single" w:sz="4" w:space="0" w:color="000000"/>
              <w:bottom w:val="single" w:sz="4" w:space="0" w:color="000000"/>
            </w:tcBorders>
          </w:tcPr>
          <w:p>
            <w:pPr>
              <w:pStyle w:val="TableContents"/>
              <w:bidi w:val="0"/>
              <w:jc w:val="start"/>
              <w:rPr/>
            </w:pPr>
            <w:r>
              <w:rPr/>
              <w:t>Product/engineering</w:t>
            </w:r>
          </w:p>
        </w:tc>
        <w:tc>
          <w:tcPr>
            <w:tcW w:w="4986" w:type="dxa"/>
            <w:tcBorders>
              <w:start w:val="single" w:sz="4" w:space="0" w:color="000000"/>
              <w:bottom w:val="single" w:sz="4" w:space="0" w:color="000000"/>
              <w:end w:val="single" w:sz="4" w:space="0" w:color="000000"/>
            </w:tcBorders>
          </w:tcPr>
          <w:p>
            <w:pPr>
              <w:pStyle w:val="TableContents"/>
              <w:bidi w:val="0"/>
              <w:jc w:val="start"/>
              <w:rPr/>
            </w:pPr>
            <w:r>
              <w:rPr/>
              <w:t>Reliability, performance on common Android devices, privacy-by-design, release quality</w:t>
            </w:r>
          </w:p>
        </w:tc>
      </w:tr>
      <w:tr>
        <w:trPr/>
        <w:tc>
          <w:tcPr>
            <w:tcW w:w="4986" w:type="dxa"/>
            <w:tcBorders>
              <w:start w:val="single" w:sz="4" w:space="0" w:color="000000"/>
              <w:bottom w:val="single" w:sz="4" w:space="0" w:color="000000"/>
            </w:tcBorders>
          </w:tcPr>
          <w:p>
            <w:pPr>
              <w:pStyle w:val="TableContents"/>
              <w:bidi w:val="0"/>
              <w:jc w:val="start"/>
              <w:rPr/>
            </w:pPr>
            <w:r>
              <w:rPr/>
              <w:t>Partner success</w:t>
            </w:r>
          </w:p>
        </w:tc>
        <w:tc>
          <w:tcPr>
            <w:tcW w:w="4986" w:type="dxa"/>
            <w:tcBorders>
              <w:start w:val="single" w:sz="4" w:space="0" w:color="000000"/>
              <w:bottom w:val="single" w:sz="4" w:space="0" w:color="000000"/>
              <w:end w:val="single" w:sz="4" w:space="0" w:color="000000"/>
            </w:tcBorders>
          </w:tcPr>
          <w:p>
            <w:pPr>
              <w:pStyle w:val="TableContents"/>
              <w:bidi w:val="0"/>
              <w:jc w:val="start"/>
              <w:rPr/>
            </w:pPr>
            <w:r>
              <w:rPr/>
              <w:t>Vetting, onboarding, training, supply quality, partner adoption and renewal</w:t>
            </w:r>
          </w:p>
        </w:tc>
      </w:tr>
      <w:tr>
        <w:trPr/>
        <w:tc>
          <w:tcPr>
            <w:tcW w:w="4986" w:type="dxa"/>
            <w:tcBorders>
              <w:start w:val="single" w:sz="4" w:space="0" w:color="000000"/>
              <w:bottom w:val="single" w:sz="4" w:space="0" w:color="000000"/>
            </w:tcBorders>
          </w:tcPr>
          <w:p>
            <w:pPr>
              <w:pStyle w:val="TableContents"/>
              <w:bidi w:val="0"/>
              <w:jc w:val="start"/>
              <w:rPr/>
            </w:pPr>
            <w:r>
              <w:rPr/>
              <w:t>Trust &amp; safety</w:t>
            </w:r>
          </w:p>
        </w:tc>
        <w:tc>
          <w:tcPr>
            <w:tcW w:w="4986" w:type="dxa"/>
            <w:tcBorders>
              <w:start w:val="single" w:sz="4" w:space="0" w:color="000000"/>
              <w:bottom w:val="single" w:sz="4" w:space="0" w:color="000000"/>
              <w:end w:val="single" w:sz="4" w:space="0" w:color="000000"/>
            </w:tcBorders>
          </w:tcPr>
          <w:p>
            <w:pPr>
              <w:pStyle w:val="TableContents"/>
              <w:bidi w:val="0"/>
              <w:jc w:val="start"/>
              <w:rPr/>
            </w:pPr>
            <w:r>
              <w:rPr/>
              <w:t>Age assurance, verification, moderation, incidents, complaints and appeals</w:t>
            </w:r>
          </w:p>
        </w:tc>
      </w:tr>
      <w:tr>
        <w:trPr/>
        <w:tc>
          <w:tcPr>
            <w:tcW w:w="4986" w:type="dxa"/>
            <w:tcBorders>
              <w:start w:val="single" w:sz="4" w:space="0" w:color="000000"/>
              <w:bottom w:val="single" w:sz="4" w:space="0" w:color="000000"/>
            </w:tcBorders>
          </w:tcPr>
          <w:p>
            <w:pPr>
              <w:pStyle w:val="TableContents"/>
              <w:bidi w:val="0"/>
              <w:jc w:val="start"/>
              <w:rPr/>
            </w:pPr>
            <w:r>
              <w:rPr/>
              <w:t>Finance/operations</w:t>
            </w:r>
          </w:p>
        </w:tc>
        <w:tc>
          <w:tcPr>
            <w:tcW w:w="4986" w:type="dxa"/>
            <w:tcBorders>
              <w:start w:val="single" w:sz="4" w:space="0" w:color="000000"/>
              <w:bottom w:val="single" w:sz="4" w:space="0" w:color="000000"/>
              <w:end w:val="single" w:sz="4" w:space="0" w:color="000000"/>
            </w:tcBorders>
          </w:tcPr>
          <w:p>
            <w:pPr>
              <w:pStyle w:val="TableContents"/>
              <w:bidi w:val="0"/>
              <w:jc w:val="start"/>
              <w:rPr/>
            </w:pPr>
            <w:r>
              <w:rPr/>
              <w:t>Payment reconciliation, refunds, payouts, tax records and dispute controls</w:t>
            </w:r>
          </w:p>
        </w:tc>
      </w:tr>
      <w:tr>
        <w:trPr/>
        <w:tc>
          <w:tcPr>
            <w:tcW w:w="4986" w:type="dxa"/>
            <w:tcBorders>
              <w:start w:val="single" w:sz="4" w:space="0" w:color="000000"/>
              <w:bottom w:val="single" w:sz="4" w:space="0" w:color="000000"/>
            </w:tcBorders>
          </w:tcPr>
          <w:p>
            <w:pPr>
              <w:pStyle w:val="TableContents"/>
              <w:bidi w:val="0"/>
              <w:jc w:val="start"/>
              <w:rPr/>
            </w:pPr>
            <w:r>
              <w:rPr/>
              <w:t>Growth/community</w:t>
            </w:r>
          </w:p>
        </w:tc>
        <w:tc>
          <w:tcPr>
            <w:tcW w:w="4986" w:type="dxa"/>
            <w:tcBorders>
              <w:start w:val="single" w:sz="4" w:space="0" w:color="000000"/>
              <w:bottom w:val="single" w:sz="4" w:space="0" w:color="000000"/>
              <w:end w:val="single" w:sz="4" w:space="0" w:color="000000"/>
            </w:tcBorders>
          </w:tcPr>
          <w:p>
            <w:pPr>
              <w:pStyle w:val="TableContents"/>
              <w:bidi w:val="0"/>
              <w:jc w:val="start"/>
              <w:rPr/>
            </w:pPr>
            <w:r>
              <w:rPr/>
              <w:t>Cluster activation, ambassadors, programming and lifecycle messaging</w:t>
            </w:r>
          </w:p>
        </w:tc>
      </w:tr>
    </w:tbl>
    <w:p>
      <w:pPr>
        <w:pStyle w:val="BodyText"/>
        <w:bidi w:val="0"/>
        <w:jc w:val="start"/>
        <w:rPr/>
      </w:pPr>
      <w:r>
        <w:rPr/>
      </w:r>
    </w:p>
    <w:p>
      <w:pPr>
        <w:pStyle w:val="Heading3"/>
        <w:bidi w:val="0"/>
        <w:ind w:hanging="0" w:start="0"/>
        <w:jc w:val="start"/>
        <w:rPr/>
      </w:pPr>
      <w:r>
        <w:rPr/>
        <w:t>3.3 Structure by geography</w:t>
      </w:r>
    </w:p>
    <w:p>
      <w:pPr>
        <w:pStyle w:val="BodyText"/>
        <w:bidi w:val="0"/>
        <w:jc w:val="start"/>
        <w:rPr/>
      </w:pPr>
      <w:r>
        <w:rPr/>
        <w:t>Each new country operates as a locally incorporated entity or subsidiary under BuddyUp Ltd., because payments, tax, data protection and consumer law are country-specific. The Pan-African and global structure is:</w:t>
      </w:r>
    </w:p>
    <w:p>
      <w:pPr>
        <w:pStyle w:val="PreformattedText"/>
        <w:shd w:fill="E1E1E1" w:val="clear"/>
        <w:bidi w:val="0"/>
        <w:spacing w:before="0" w:after="283"/>
        <w:jc w:val="start"/>
        <w:rPr/>
      </w:pPr>
      <w:r>
        <w:rPr/>
        <w:t>BuddyUp Ltd. (Group / platform technology owner)</w:t>
        <w:br/>
        <w:t>├── BuddyUp Kenya Ltd.     (H1 beachhead)</w:t>
        <w:br/>
        <w:t>├── BuddyUp Nigeria Ltd.   (H2, subject to country review)</w:t>
        <w:br/>
        <w:t>├── BuddyUp South Africa Ltd. (H2, subject to country review)</w:t>
        <w:br/>
        <w:t>├── BuddyUp Ghana Ltd.     (H2, subject to country review)</w:t>
        <w:br/>
        <w:t>└── (future markets, H3)</w:t>
      </w:r>
    </w:p>
    <w:p>
      <w:pPr>
        <w:pStyle w:val="BodyText"/>
        <w:bidi w:val="0"/>
        <w:jc w:val="start"/>
        <w:rPr/>
      </w:pPr>
      <w:r>
        <w:rPr/>
        <w:t>The group owns the shared platform, brand, AI and data-model IP; each country entity owns local supply, compliance, payments and operations. Expansion into a country is gated on: five+ anchor partners committed, local legal/payments/data review complete, and proven contribution margin in the primary cluster.</w:t>
      </w:r>
    </w:p>
    <w:p>
      <w:pPr>
        <w:pStyle w:val="HorizontalLine"/>
        <w:bidi w:val="0"/>
        <w:jc w:val="start"/>
        <w:rPr/>
      </w:pPr>
      <w:r>
        <w:rPr/>
      </w:r>
    </w:p>
    <w:p>
      <w:pPr>
        <w:pStyle w:val="Heading2"/>
        <w:bidi w:val="0"/>
        <w:ind w:hanging="0" w:start="0"/>
        <w:jc w:val="start"/>
        <w:rPr/>
      </w:pPr>
      <w:r>
        <w:rPr/>
        <w:t>4. Service scope: what the platform is today</w:t>
      </w:r>
    </w:p>
    <w:p>
      <w:pPr>
        <w:pStyle w:val="Heading3"/>
        <w:bidi w:val="0"/>
        <w:ind w:hanging="0" w:start="0"/>
        <w:jc w:val="start"/>
        <w:rPr/>
      </w:pPr>
      <w:r>
        <w:rPr/>
        <w:t>4.1 System architecture</w:t>
      </w:r>
    </w:p>
    <w:p>
      <w:pPr>
        <w:pStyle w:val="BodyText"/>
        <w:bidi w:val="0"/>
        <w:jc w:val="start"/>
        <w:rPr/>
      </w:pPr>
      <w:r>
        <w:rPr/>
        <w:t>Repository review shows a React/PWA and Flutter front end supported by Django 5/DRF, PostgreSQL, Redis, Celery and ASGI/WebSockets, with self-hosted LiveKit (production live media), recording and object storage, plus payment, messaging and notification integrations. Thirteen Django application domains are present.</w:t>
      </w:r>
    </w:p>
    <w:tbl>
      <w:tblPr>
        <w:tblW w:w="5000" w:type="pct"/>
        <w:jc w:val="start"/>
        <w:tblInd w:w="-5" w:type="dxa"/>
        <w:tblLayout w:type="fixed"/>
        <w:tblCellMar>
          <w:top w:w="55" w:type="dxa"/>
          <w:start w:w="55" w:type="dxa"/>
          <w:bottom w:w="55" w:type="dxa"/>
          <w:end w:w="55" w:type="dxa"/>
        </w:tblCellMar>
      </w:tblPr>
      <w:tblGrid>
        <w:gridCol w:w="2493"/>
        <w:gridCol w:w="2493"/>
        <w:gridCol w:w="2493"/>
        <w:gridCol w:w="2493"/>
      </w:tblGrid>
      <w:tr>
        <w:trPr>
          <w:tblHeader w:val="true"/>
        </w:trPr>
        <w:tc>
          <w:tcPr>
            <w:tcW w:w="2493" w:type="dxa"/>
            <w:tcBorders>
              <w:top w:val="single" w:sz="4" w:space="0" w:color="000000"/>
              <w:start w:val="single" w:sz="4" w:space="0" w:color="000000"/>
              <w:bottom w:val="single" w:sz="4" w:space="0" w:color="000000"/>
            </w:tcBorders>
          </w:tcPr>
          <w:p>
            <w:pPr>
              <w:pStyle w:val="TableHeading"/>
              <w:bidi w:val="0"/>
              <w:jc w:val="start"/>
              <w:rPr/>
            </w:pPr>
            <w:r>
              <w:rPr/>
              <w:t>Service domain</w:t>
            </w:r>
          </w:p>
        </w:tc>
        <w:tc>
          <w:tcPr>
            <w:tcW w:w="2493" w:type="dxa"/>
            <w:tcBorders>
              <w:top w:val="single" w:sz="4" w:space="0" w:color="000000"/>
              <w:start w:val="single" w:sz="4" w:space="0" w:color="000000"/>
              <w:bottom w:val="single" w:sz="4" w:space="0" w:color="000000"/>
            </w:tcBorders>
          </w:tcPr>
          <w:p>
            <w:pPr>
              <w:pStyle w:val="TableHeading"/>
              <w:bidi w:val="0"/>
              <w:jc w:val="start"/>
              <w:rPr/>
            </w:pPr>
            <w:r>
              <w:rPr/>
              <w:t>Existing scope</w:t>
            </w:r>
          </w:p>
        </w:tc>
        <w:tc>
          <w:tcPr>
            <w:tcW w:w="2493" w:type="dxa"/>
            <w:tcBorders>
              <w:top w:val="single" w:sz="4" w:space="0" w:color="000000"/>
              <w:start w:val="single" w:sz="4" w:space="0" w:color="000000"/>
              <w:bottom w:val="single" w:sz="4" w:space="0" w:color="000000"/>
            </w:tcBorders>
          </w:tcPr>
          <w:p>
            <w:pPr>
              <w:pStyle w:val="TableHeading"/>
              <w:bidi w:val="0"/>
              <w:jc w:val="start"/>
              <w:rPr/>
            </w:pPr>
            <w:r>
              <w:rPr/>
              <w:t>Commercial role</w:t>
            </w:r>
          </w:p>
        </w:tc>
        <w:tc>
          <w:tcPr>
            <w:tcW w:w="249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Launch disposition</w:t>
            </w:r>
          </w:p>
        </w:tc>
      </w:tr>
      <w:tr>
        <w:trPr/>
        <w:tc>
          <w:tcPr>
            <w:tcW w:w="2493" w:type="dxa"/>
            <w:tcBorders>
              <w:start w:val="single" w:sz="4" w:space="0" w:color="000000"/>
              <w:bottom w:val="single" w:sz="4" w:space="0" w:color="000000"/>
            </w:tcBorders>
          </w:tcPr>
          <w:p>
            <w:pPr>
              <w:pStyle w:val="TableContents"/>
              <w:bidi w:val="0"/>
              <w:jc w:val="start"/>
              <w:rPr/>
            </w:pPr>
            <w:r>
              <w:rPr/>
              <w:t>Identity and profiles</w:t>
            </w:r>
          </w:p>
        </w:tc>
        <w:tc>
          <w:tcPr>
            <w:tcW w:w="2493" w:type="dxa"/>
            <w:tcBorders>
              <w:start w:val="single" w:sz="4" w:space="0" w:color="000000"/>
              <w:bottom w:val="single" w:sz="4" w:space="0" w:color="000000"/>
            </w:tcBorders>
          </w:tcPr>
          <w:p>
            <w:pPr>
              <w:pStyle w:val="TableContents"/>
              <w:bidi w:val="0"/>
              <w:jc w:val="start"/>
              <w:rPr/>
            </w:pPr>
            <w:r>
              <w:rPr/>
              <w:t>Age gate, OTP, sessions, roles, privacy, public profiles, verification states</w:t>
            </w:r>
          </w:p>
        </w:tc>
        <w:tc>
          <w:tcPr>
            <w:tcW w:w="2493" w:type="dxa"/>
            <w:tcBorders>
              <w:start w:val="single" w:sz="4" w:space="0" w:color="000000"/>
              <w:bottom w:val="single" w:sz="4" w:space="0" w:color="000000"/>
            </w:tcBorders>
          </w:tcPr>
          <w:p>
            <w:pPr>
              <w:pStyle w:val="TableContents"/>
              <w:bidi w:val="0"/>
              <w:jc w:val="start"/>
              <w:rPr/>
            </w:pPr>
            <w:r>
              <w:rPr/>
              <w:t>Trust foundation</w:t>
            </w:r>
          </w:p>
        </w:tc>
        <w:tc>
          <w:tcPr>
            <w:tcW w:w="2493" w:type="dxa"/>
            <w:tcBorders>
              <w:start w:val="single" w:sz="4" w:space="0" w:color="000000"/>
              <w:bottom w:val="single" w:sz="4" w:space="0" w:color="000000"/>
              <w:end w:val="single" w:sz="4" w:space="0" w:color="000000"/>
            </w:tcBorders>
          </w:tcPr>
          <w:p>
            <w:pPr>
              <w:pStyle w:val="TableContents"/>
              <w:bidi w:val="0"/>
              <w:jc w:val="start"/>
              <w:rPr/>
            </w:pPr>
            <w:r>
              <w:rPr/>
              <w:t>Launch core</w:t>
            </w:r>
          </w:p>
        </w:tc>
      </w:tr>
      <w:tr>
        <w:trPr/>
        <w:tc>
          <w:tcPr>
            <w:tcW w:w="2493" w:type="dxa"/>
            <w:tcBorders>
              <w:start w:val="single" w:sz="4" w:space="0" w:color="000000"/>
              <w:bottom w:val="single" w:sz="4" w:space="0" w:color="000000"/>
            </w:tcBorders>
          </w:tcPr>
          <w:p>
            <w:pPr>
              <w:pStyle w:val="TableContents"/>
              <w:bidi w:val="0"/>
              <w:jc w:val="start"/>
              <w:rPr/>
            </w:pPr>
            <w:r>
              <w:rPr/>
              <w:t>Buddy accountability</w:t>
            </w:r>
          </w:p>
        </w:tc>
        <w:tc>
          <w:tcPr>
            <w:tcW w:w="2493" w:type="dxa"/>
            <w:tcBorders>
              <w:start w:val="single" w:sz="4" w:space="0" w:color="000000"/>
              <w:bottom w:val="single" w:sz="4" w:space="0" w:color="000000"/>
            </w:tcBorders>
          </w:tcPr>
          <w:p>
            <w:pPr>
              <w:pStyle w:val="TableContents"/>
              <w:bidi w:val="0"/>
              <w:jc w:val="start"/>
              <w:rPr/>
            </w:pPr>
            <w:r>
              <w:rPr/>
              <w:t>Mutual buddy requests, shared goals/streaks, pings, DMs</w:t>
            </w:r>
          </w:p>
        </w:tc>
        <w:tc>
          <w:tcPr>
            <w:tcW w:w="2493" w:type="dxa"/>
            <w:tcBorders>
              <w:start w:val="single" w:sz="4" w:space="0" w:color="000000"/>
              <w:bottom w:val="single" w:sz="4" w:space="0" w:color="000000"/>
            </w:tcBorders>
          </w:tcPr>
          <w:p>
            <w:pPr>
              <w:pStyle w:val="TableContents"/>
              <w:bidi w:val="0"/>
              <w:jc w:val="start"/>
              <w:rPr/>
            </w:pPr>
            <w:r>
              <w:rPr/>
              <w:t>Primary retention loop</w:t>
            </w:r>
          </w:p>
        </w:tc>
        <w:tc>
          <w:tcPr>
            <w:tcW w:w="2493" w:type="dxa"/>
            <w:tcBorders>
              <w:start w:val="single" w:sz="4" w:space="0" w:color="000000"/>
              <w:bottom w:val="single" w:sz="4" w:space="0" w:color="000000"/>
              <w:end w:val="single" w:sz="4" w:space="0" w:color="000000"/>
            </w:tcBorders>
          </w:tcPr>
          <w:p>
            <w:pPr>
              <w:pStyle w:val="TableContents"/>
              <w:bidi w:val="0"/>
              <w:jc w:val="start"/>
              <w:rPr/>
            </w:pPr>
            <w:r>
              <w:rPr/>
              <w:t>Launch core</w:t>
            </w:r>
          </w:p>
        </w:tc>
      </w:tr>
      <w:tr>
        <w:trPr/>
        <w:tc>
          <w:tcPr>
            <w:tcW w:w="2493" w:type="dxa"/>
            <w:tcBorders>
              <w:start w:val="single" w:sz="4" w:space="0" w:color="000000"/>
              <w:bottom w:val="single" w:sz="4" w:space="0" w:color="000000"/>
            </w:tcBorders>
          </w:tcPr>
          <w:p>
            <w:pPr>
              <w:pStyle w:val="TableContents"/>
              <w:bidi w:val="0"/>
              <w:jc w:val="start"/>
              <w:rPr/>
            </w:pPr>
            <w:r>
              <w:rPr/>
              <w:t>Community and feed</w:t>
            </w:r>
          </w:p>
        </w:tc>
        <w:tc>
          <w:tcPr>
            <w:tcW w:w="2493" w:type="dxa"/>
            <w:tcBorders>
              <w:start w:val="single" w:sz="4" w:space="0" w:color="000000"/>
              <w:bottom w:val="single" w:sz="4" w:space="0" w:color="000000"/>
            </w:tcBorders>
          </w:tcPr>
          <w:p>
            <w:pPr>
              <w:pStyle w:val="TableContents"/>
              <w:bidi w:val="0"/>
              <w:jc w:val="start"/>
              <w:rPr/>
            </w:pPr>
            <w:r>
              <w:rPr/>
              <w:t>Fitness posts, reactions, local/discovery feeds, group features</w:t>
            </w:r>
          </w:p>
        </w:tc>
        <w:tc>
          <w:tcPr>
            <w:tcW w:w="2493" w:type="dxa"/>
            <w:tcBorders>
              <w:start w:val="single" w:sz="4" w:space="0" w:color="000000"/>
              <w:bottom w:val="single" w:sz="4" w:space="0" w:color="000000"/>
            </w:tcBorders>
          </w:tcPr>
          <w:p>
            <w:pPr>
              <w:pStyle w:val="TableContents"/>
              <w:bidi w:val="0"/>
              <w:jc w:val="start"/>
              <w:rPr/>
            </w:pPr>
            <w:r>
              <w:rPr/>
              <w:t>Member engagement and creator supply</w:t>
            </w:r>
          </w:p>
        </w:tc>
        <w:tc>
          <w:tcPr>
            <w:tcW w:w="2493" w:type="dxa"/>
            <w:tcBorders>
              <w:start w:val="single" w:sz="4" w:space="0" w:color="000000"/>
              <w:bottom w:val="single" w:sz="4" w:space="0" w:color="000000"/>
              <w:end w:val="single" w:sz="4" w:space="0" w:color="000000"/>
            </w:tcBorders>
          </w:tcPr>
          <w:p>
            <w:pPr>
              <w:pStyle w:val="TableContents"/>
              <w:bidi w:val="0"/>
              <w:jc w:val="start"/>
              <w:rPr/>
            </w:pPr>
            <w:r>
              <w:rPr/>
              <w:t>Launch core, tightly moderated</w:t>
            </w:r>
          </w:p>
        </w:tc>
      </w:tr>
      <w:tr>
        <w:trPr/>
        <w:tc>
          <w:tcPr>
            <w:tcW w:w="2493" w:type="dxa"/>
            <w:tcBorders>
              <w:start w:val="single" w:sz="4" w:space="0" w:color="000000"/>
              <w:bottom w:val="single" w:sz="4" w:space="0" w:color="000000"/>
            </w:tcBorders>
          </w:tcPr>
          <w:p>
            <w:pPr>
              <w:pStyle w:val="TableContents"/>
              <w:bidi w:val="0"/>
              <w:jc w:val="start"/>
              <w:rPr/>
            </w:pPr>
            <w:r>
              <w:rPr/>
              <w:t>Gyms</w:t>
            </w:r>
          </w:p>
        </w:tc>
        <w:tc>
          <w:tcPr>
            <w:tcW w:w="2493" w:type="dxa"/>
            <w:tcBorders>
              <w:start w:val="single" w:sz="4" w:space="0" w:color="000000"/>
              <w:bottom w:val="single" w:sz="4" w:space="0" w:color="000000"/>
            </w:tcBorders>
          </w:tcPr>
          <w:p>
            <w:pPr>
              <w:pStyle w:val="TableContents"/>
              <w:bidi w:val="0"/>
              <w:jc w:val="start"/>
              <w:rPr/>
            </w:pPr>
            <w:r>
              <w:rPr/>
              <w:t>Community pages, roles, member management, schedules, subscriptions, analytics concepts</w:t>
            </w:r>
          </w:p>
        </w:tc>
        <w:tc>
          <w:tcPr>
            <w:tcW w:w="2493" w:type="dxa"/>
            <w:tcBorders>
              <w:start w:val="single" w:sz="4" w:space="0" w:color="000000"/>
              <w:bottom w:val="single" w:sz="4" w:space="0" w:color="000000"/>
            </w:tcBorders>
          </w:tcPr>
          <w:p>
            <w:pPr>
              <w:pStyle w:val="TableContents"/>
              <w:bidi w:val="0"/>
              <w:jc w:val="start"/>
              <w:rPr/>
            </w:pPr>
            <w:r>
              <w:rPr/>
              <w:t>B2B2C distribution and retention</w:t>
            </w:r>
          </w:p>
        </w:tc>
        <w:tc>
          <w:tcPr>
            <w:tcW w:w="2493" w:type="dxa"/>
            <w:tcBorders>
              <w:start w:val="single" w:sz="4" w:space="0" w:color="000000"/>
              <w:bottom w:val="single" w:sz="4" w:space="0" w:color="000000"/>
              <w:end w:val="single" w:sz="4" w:space="0" w:color="000000"/>
            </w:tcBorders>
          </w:tcPr>
          <w:p>
            <w:pPr>
              <w:pStyle w:val="TableContents"/>
              <w:bidi w:val="0"/>
              <w:jc w:val="start"/>
              <w:rPr/>
            </w:pPr>
            <w:r>
              <w:rPr/>
              <w:t>Launch core for selected partners</w:t>
            </w:r>
          </w:p>
        </w:tc>
      </w:tr>
      <w:tr>
        <w:trPr/>
        <w:tc>
          <w:tcPr>
            <w:tcW w:w="2493" w:type="dxa"/>
            <w:tcBorders>
              <w:start w:val="single" w:sz="4" w:space="0" w:color="000000"/>
              <w:bottom w:val="single" w:sz="4" w:space="0" w:color="000000"/>
            </w:tcBorders>
          </w:tcPr>
          <w:p>
            <w:pPr>
              <w:pStyle w:val="TableContents"/>
              <w:bidi w:val="0"/>
              <w:jc w:val="start"/>
              <w:rPr/>
            </w:pPr>
            <w:r>
              <w:rPr/>
              <w:t>Coaches and practitioners</w:t>
            </w:r>
          </w:p>
        </w:tc>
        <w:tc>
          <w:tcPr>
            <w:tcW w:w="2493" w:type="dxa"/>
            <w:tcBorders>
              <w:start w:val="single" w:sz="4" w:space="0" w:color="000000"/>
              <w:bottom w:val="single" w:sz="4" w:space="0" w:color="000000"/>
            </w:tcBorders>
          </w:tcPr>
          <w:p>
            <w:pPr>
              <w:pStyle w:val="TableContents"/>
              <w:bidi w:val="0"/>
              <w:jc w:val="start"/>
              <w:rPr/>
            </w:pPr>
            <w:r>
              <w:rPr/>
              <w:t>Profiles, availability, booking, programmes, reviews, consultation workflow</w:t>
            </w:r>
          </w:p>
        </w:tc>
        <w:tc>
          <w:tcPr>
            <w:tcW w:w="2493" w:type="dxa"/>
            <w:tcBorders>
              <w:start w:val="single" w:sz="4" w:space="0" w:color="000000"/>
              <w:bottom w:val="single" w:sz="4" w:space="0" w:color="000000"/>
            </w:tcBorders>
          </w:tcPr>
          <w:p>
            <w:pPr>
              <w:pStyle w:val="TableContents"/>
              <w:bidi w:val="0"/>
              <w:jc w:val="start"/>
              <w:rPr/>
            </w:pPr>
            <w:r>
              <w:rPr/>
              <w:t>High-value supply and transaction revenue</w:t>
            </w:r>
          </w:p>
        </w:tc>
        <w:tc>
          <w:tcPr>
            <w:tcW w:w="2493" w:type="dxa"/>
            <w:tcBorders>
              <w:start w:val="single" w:sz="4" w:space="0" w:color="000000"/>
              <w:bottom w:val="single" w:sz="4" w:space="0" w:color="000000"/>
              <w:end w:val="single" w:sz="4" w:space="0" w:color="000000"/>
            </w:tcBorders>
          </w:tcPr>
          <w:p>
            <w:pPr>
              <w:pStyle w:val="TableContents"/>
              <w:bidi w:val="0"/>
              <w:jc w:val="start"/>
              <w:rPr/>
            </w:pPr>
            <w:r>
              <w:rPr/>
              <w:t>Coaches at launch; practitioners only after compliance controls</w:t>
            </w:r>
          </w:p>
        </w:tc>
      </w:tr>
      <w:tr>
        <w:trPr/>
        <w:tc>
          <w:tcPr>
            <w:tcW w:w="2493" w:type="dxa"/>
            <w:tcBorders>
              <w:start w:val="single" w:sz="4" w:space="0" w:color="000000"/>
              <w:bottom w:val="single" w:sz="4" w:space="0" w:color="000000"/>
            </w:tcBorders>
          </w:tcPr>
          <w:p>
            <w:pPr>
              <w:pStyle w:val="TableContents"/>
              <w:bidi w:val="0"/>
              <w:jc w:val="start"/>
              <w:rPr/>
            </w:pPr>
            <w:r>
              <w:rPr/>
              <w:t>Live sessions</w:t>
            </w:r>
          </w:p>
        </w:tc>
        <w:tc>
          <w:tcPr>
            <w:tcW w:w="2493" w:type="dxa"/>
            <w:tcBorders>
              <w:start w:val="single" w:sz="4" w:space="0" w:color="000000"/>
              <w:bottom w:val="single" w:sz="4" w:space="0" w:color="000000"/>
            </w:tcBorders>
          </w:tcPr>
          <w:p>
            <w:pPr>
              <w:pStyle w:val="TableContents"/>
              <w:bidi w:val="0"/>
              <w:jc w:val="start"/>
              <w:rPr/>
            </w:pPr>
            <w:r>
              <w:rPr/>
              <w:t>Group/live rooms, chat, co-hosting, scheduling, replay recording</w:t>
            </w:r>
          </w:p>
        </w:tc>
        <w:tc>
          <w:tcPr>
            <w:tcW w:w="2493" w:type="dxa"/>
            <w:tcBorders>
              <w:start w:val="single" w:sz="4" w:space="0" w:color="000000"/>
              <w:bottom w:val="single" w:sz="4" w:space="0" w:color="000000"/>
            </w:tcBorders>
          </w:tcPr>
          <w:p>
            <w:pPr>
              <w:pStyle w:val="TableContents"/>
              <w:bidi w:val="0"/>
              <w:jc w:val="start"/>
              <w:rPr/>
            </w:pPr>
            <w:r>
              <w:rPr/>
              <w:t>Habit formation and paid experience</w:t>
            </w:r>
          </w:p>
        </w:tc>
        <w:tc>
          <w:tcPr>
            <w:tcW w:w="2493" w:type="dxa"/>
            <w:tcBorders>
              <w:start w:val="single" w:sz="4" w:space="0" w:color="000000"/>
              <w:bottom w:val="single" w:sz="4" w:space="0" w:color="000000"/>
              <w:end w:val="single" w:sz="4" w:space="0" w:color="000000"/>
            </w:tcBorders>
          </w:tcPr>
          <w:p>
            <w:pPr>
              <w:pStyle w:val="TableContents"/>
              <w:bidi w:val="0"/>
              <w:jc w:val="start"/>
              <w:rPr/>
            </w:pPr>
            <w:r>
              <w:rPr/>
              <w:t>Pilot with selected partners</w:t>
            </w:r>
          </w:p>
        </w:tc>
      </w:tr>
      <w:tr>
        <w:trPr/>
        <w:tc>
          <w:tcPr>
            <w:tcW w:w="2493" w:type="dxa"/>
            <w:tcBorders>
              <w:start w:val="single" w:sz="4" w:space="0" w:color="000000"/>
              <w:bottom w:val="single" w:sz="4" w:space="0" w:color="000000"/>
            </w:tcBorders>
          </w:tcPr>
          <w:p>
            <w:pPr>
              <w:pStyle w:val="TableContents"/>
              <w:bidi w:val="0"/>
              <w:jc w:val="start"/>
              <w:rPr/>
            </w:pPr>
            <w:r>
              <w:rPr/>
              <w:t>Marketplace</w:t>
            </w:r>
          </w:p>
        </w:tc>
        <w:tc>
          <w:tcPr>
            <w:tcW w:w="2493" w:type="dxa"/>
            <w:tcBorders>
              <w:start w:val="single" w:sz="4" w:space="0" w:color="000000"/>
              <w:bottom w:val="single" w:sz="4" w:space="0" w:color="000000"/>
            </w:tcBorders>
          </w:tcPr>
          <w:p>
            <w:pPr>
              <w:pStyle w:val="TableContents"/>
              <w:bidi w:val="0"/>
              <w:jc w:val="start"/>
              <w:rPr/>
            </w:pPr>
            <w:r>
              <w:rPr/>
              <w:t>Programmes, meal plans, equipment/supplement listings, cart</w:t>
            </w:r>
          </w:p>
        </w:tc>
        <w:tc>
          <w:tcPr>
            <w:tcW w:w="2493" w:type="dxa"/>
            <w:tcBorders>
              <w:start w:val="single" w:sz="4" w:space="0" w:color="000000"/>
              <w:bottom w:val="single" w:sz="4" w:space="0" w:color="000000"/>
            </w:tcBorders>
          </w:tcPr>
          <w:p>
            <w:pPr>
              <w:pStyle w:val="TableContents"/>
              <w:bidi w:val="0"/>
              <w:jc w:val="start"/>
              <w:rPr/>
            </w:pPr>
            <w:r>
              <w:rPr/>
              <w:t>Commerce take rate</w:t>
            </w:r>
          </w:p>
        </w:tc>
        <w:tc>
          <w:tcPr>
            <w:tcW w:w="2493" w:type="dxa"/>
            <w:tcBorders>
              <w:start w:val="single" w:sz="4" w:space="0" w:color="000000"/>
              <w:bottom w:val="single" w:sz="4" w:space="0" w:color="000000"/>
              <w:end w:val="single" w:sz="4" w:space="0" w:color="000000"/>
            </w:tcBorders>
          </w:tcPr>
          <w:p>
            <w:pPr>
              <w:pStyle w:val="TableContents"/>
              <w:bidi w:val="0"/>
              <w:jc w:val="start"/>
              <w:rPr/>
            </w:pPr>
            <w:r>
              <w:rPr/>
              <w:t>Digital programmes first; physical goods later</w:t>
            </w:r>
          </w:p>
        </w:tc>
      </w:tr>
      <w:tr>
        <w:trPr/>
        <w:tc>
          <w:tcPr>
            <w:tcW w:w="2493" w:type="dxa"/>
            <w:tcBorders>
              <w:start w:val="single" w:sz="4" w:space="0" w:color="000000"/>
              <w:bottom w:val="single" w:sz="4" w:space="0" w:color="000000"/>
            </w:tcBorders>
          </w:tcPr>
          <w:p>
            <w:pPr>
              <w:pStyle w:val="TableContents"/>
              <w:bidi w:val="0"/>
              <w:jc w:val="start"/>
              <w:rPr/>
            </w:pPr>
            <w:r>
              <w:rPr/>
              <w:t>Wallet/artifacts</w:t>
            </w:r>
          </w:p>
        </w:tc>
        <w:tc>
          <w:tcPr>
            <w:tcW w:w="2493" w:type="dxa"/>
            <w:tcBorders>
              <w:start w:val="single" w:sz="4" w:space="0" w:color="000000"/>
              <w:bottom w:val="single" w:sz="4" w:space="0" w:color="000000"/>
            </w:tcBorders>
          </w:tcPr>
          <w:p>
            <w:pPr>
              <w:pStyle w:val="TableContents"/>
              <w:bidi w:val="0"/>
              <w:jc w:val="start"/>
              <w:rPr/>
            </w:pPr>
            <w:r>
              <w:rPr/>
              <w:t>Token denominations, gifting, fees, balances, withdrawal concepts</w:t>
            </w:r>
          </w:p>
        </w:tc>
        <w:tc>
          <w:tcPr>
            <w:tcW w:w="2493" w:type="dxa"/>
            <w:tcBorders>
              <w:start w:val="single" w:sz="4" w:space="0" w:color="000000"/>
              <w:bottom w:val="single" w:sz="4" w:space="0" w:color="000000"/>
            </w:tcBorders>
          </w:tcPr>
          <w:p>
            <w:pPr>
              <w:pStyle w:val="TableContents"/>
              <w:bidi w:val="0"/>
              <w:jc w:val="start"/>
              <w:rPr/>
            </w:pPr>
            <w:r>
              <w:rPr/>
              <w:t>Potential monetisation/engagement mechanic</w:t>
            </w:r>
          </w:p>
        </w:tc>
        <w:tc>
          <w:tcPr>
            <w:tcW w:w="2493" w:type="dxa"/>
            <w:tcBorders>
              <w:start w:val="single" w:sz="4" w:space="0" w:color="000000"/>
              <w:bottom w:val="single" w:sz="4" w:space="0" w:color="000000"/>
              <w:end w:val="single" w:sz="4" w:space="0" w:color="000000"/>
            </w:tcBorders>
          </w:tcPr>
          <w:p>
            <w:pPr>
              <w:pStyle w:val="TableContents"/>
              <w:bidi w:val="0"/>
              <w:jc w:val="start"/>
              <w:rPr/>
            </w:pPr>
            <w:r>
              <w:rPr/>
              <w:t>Redesign before public launch (see §9.4)</w:t>
            </w:r>
          </w:p>
        </w:tc>
      </w:tr>
      <w:tr>
        <w:trPr/>
        <w:tc>
          <w:tcPr>
            <w:tcW w:w="2493" w:type="dxa"/>
            <w:tcBorders>
              <w:start w:val="single" w:sz="4" w:space="0" w:color="000000"/>
              <w:bottom w:val="single" w:sz="4" w:space="0" w:color="000000"/>
            </w:tcBorders>
          </w:tcPr>
          <w:p>
            <w:pPr>
              <w:pStyle w:val="TableContents"/>
              <w:bidi w:val="0"/>
              <w:jc w:val="start"/>
              <w:rPr/>
            </w:pPr>
            <w:r>
              <w:rPr/>
              <w:t>AI services</w:t>
            </w:r>
          </w:p>
        </w:tc>
        <w:tc>
          <w:tcPr>
            <w:tcW w:w="2493" w:type="dxa"/>
            <w:tcBorders>
              <w:start w:val="single" w:sz="4" w:space="0" w:color="000000"/>
              <w:bottom w:val="single" w:sz="4" w:space="0" w:color="000000"/>
            </w:tcBorders>
          </w:tcPr>
          <w:p>
            <w:pPr>
              <w:pStyle w:val="TableContents"/>
              <w:bidi w:val="0"/>
              <w:jc w:val="start"/>
              <w:rPr/>
            </w:pPr>
            <w:r>
              <w:rPr/>
              <w:t>Food recognition, meal-plan personalisation, moderation, ranking, form/health insights</w:t>
            </w:r>
          </w:p>
        </w:tc>
        <w:tc>
          <w:tcPr>
            <w:tcW w:w="2493" w:type="dxa"/>
            <w:tcBorders>
              <w:start w:val="single" w:sz="4" w:space="0" w:color="000000"/>
              <w:bottom w:val="single" w:sz="4" w:space="0" w:color="000000"/>
            </w:tcBorders>
          </w:tcPr>
          <w:p>
            <w:pPr>
              <w:pStyle w:val="TableContents"/>
              <w:bidi w:val="0"/>
              <w:jc w:val="start"/>
              <w:rPr/>
            </w:pPr>
            <w:r>
              <w:rPr/>
              <w:t>Personalisation and operations support</w:t>
            </w:r>
          </w:p>
        </w:tc>
        <w:tc>
          <w:tcPr>
            <w:tcW w:w="2493" w:type="dxa"/>
            <w:tcBorders>
              <w:start w:val="single" w:sz="4" w:space="0" w:color="000000"/>
              <w:bottom w:val="single" w:sz="4" w:space="0" w:color="000000"/>
              <w:end w:val="single" w:sz="4" w:space="0" w:color="000000"/>
            </w:tcBorders>
          </w:tcPr>
          <w:p>
            <w:pPr>
              <w:pStyle w:val="TableContents"/>
              <w:bidi w:val="0"/>
              <w:jc w:val="start"/>
              <w:rPr/>
            </w:pPr>
            <w:r>
              <w:rPr/>
              <w:t>Keep human-reviewed/clearly non-clinical; stage after core loop</w:t>
            </w:r>
          </w:p>
        </w:tc>
      </w:tr>
    </w:tbl>
    <w:p>
      <w:pPr>
        <w:pStyle w:val="BodyText"/>
        <w:bidi w:val="0"/>
        <w:jc w:val="start"/>
        <w:rPr/>
      </w:pPr>
      <w:r>
        <w:rPr/>
      </w:r>
    </w:p>
    <w:p>
      <w:pPr>
        <w:pStyle w:val="Heading3"/>
        <w:bidi w:val="0"/>
        <w:ind w:hanging="0" w:start="0"/>
        <w:jc w:val="start"/>
        <w:rPr/>
      </w:pPr>
      <w:r>
        <w:rPr/>
        <w:t>4.2 Scope boundary and priority</w:t>
      </w:r>
    </w:p>
    <w:p>
      <w:pPr>
        <w:pStyle w:val="BodyText"/>
        <w:bidi w:val="0"/>
        <w:jc w:val="start"/>
        <w:rPr/>
      </w:pPr>
      <w:r>
        <w:rPr/>
        <w:t>The platform contains more surface area than an early operating company can support. The initial scope: community onboarding, buddy matching, partner communities, events/sessions, coach bookings, local payment collection and a small digital-programme catalogue. Everything else is a controlled pilot.</w:t>
      </w:r>
    </w:p>
    <w:p>
      <w:pPr>
        <w:pStyle w:val="BodyText"/>
        <w:bidi w:val="0"/>
        <w:jc w:val="start"/>
        <w:rPr/>
      </w:pPr>
      <w:r>
        <w:rPr/>
        <w:t xml:space="preserve">The following must </w:t>
      </w:r>
      <w:r>
        <w:rPr>
          <w:b/>
        </w:rPr>
        <w:t>not</w:t>
      </w:r>
      <w:r>
        <w:rPr/>
        <w:t xml:space="preserve"> be marketed as launch promises until validated: medical consultations, prescription sales, diagnostic or injury claims, broad supplement marketplace, AI coaching/form diagnosis, cash-out wallet functionality, anonymous interactions in private communities, and a large-scale open live-streaming network. These are risk, quality or liquidity multipliers.</w:t>
      </w:r>
    </w:p>
    <w:p>
      <w:pPr>
        <w:pStyle w:val="Heading3"/>
        <w:bidi w:val="0"/>
        <w:ind w:hanging="0" w:start="0"/>
        <w:jc w:val="start"/>
        <w:rPr/>
      </w:pPr>
      <w:r>
        <w:rPr/>
        <w:t>4.3 Service scope by customer</w:t>
      </w:r>
    </w:p>
    <w:tbl>
      <w:tblPr>
        <w:tblW w:w="5000" w:type="pct"/>
        <w:jc w:val="start"/>
        <w:tblInd w:w="-5" w:type="dxa"/>
        <w:tblLayout w:type="fixed"/>
        <w:tblCellMar>
          <w:top w:w="55" w:type="dxa"/>
          <w:start w:w="55" w:type="dxa"/>
          <w:bottom w:w="55" w:type="dxa"/>
          <w:end w:w="55" w:type="dxa"/>
        </w:tblCellMar>
      </w:tblPr>
      <w:tblGrid>
        <w:gridCol w:w="2493"/>
        <w:gridCol w:w="2493"/>
        <w:gridCol w:w="2493"/>
        <w:gridCol w:w="2493"/>
      </w:tblGrid>
      <w:tr>
        <w:trPr>
          <w:tblHeader w:val="true"/>
        </w:trPr>
        <w:tc>
          <w:tcPr>
            <w:tcW w:w="2493" w:type="dxa"/>
            <w:tcBorders>
              <w:top w:val="single" w:sz="4" w:space="0" w:color="000000"/>
              <w:start w:val="single" w:sz="4" w:space="0" w:color="000000"/>
              <w:bottom w:val="single" w:sz="4" w:space="0" w:color="000000"/>
            </w:tcBorders>
          </w:tcPr>
          <w:p>
            <w:pPr>
              <w:pStyle w:val="TableHeading"/>
              <w:bidi w:val="0"/>
              <w:jc w:val="start"/>
              <w:rPr/>
            </w:pPr>
            <w:r>
              <w:rPr/>
              <w:t>Customer</w:t>
            </w:r>
          </w:p>
        </w:tc>
        <w:tc>
          <w:tcPr>
            <w:tcW w:w="2493" w:type="dxa"/>
            <w:tcBorders>
              <w:top w:val="single" w:sz="4" w:space="0" w:color="000000"/>
              <w:start w:val="single" w:sz="4" w:space="0" w:color="000000"/>
              <w:bottom w:val="single" w:sz="4" w:space="0" w:color="000000"/>
            </w:tcBorders>
          </w:tcPr>
          <w:p>
            <w:pPr>
              <w:pStyle w:val="TableHeading"/>
              <w:bidi w:val="0"/>
              <w:jc w:val="start"/>
              <w:rPr/>
            </w:pPr>
            <w:r>
              <w:rPr/>
              <w:t>Core job</w:t>
            </w:r>
          </w:p>
        </w:tc>
        <w:tc>
          <w:tcPr>
            <w:tcW w:w="2493" w:type="dxa"/>
            <w:tcBorders>
              <w:top w:val="single" w:sz="4" w:space="0" w:color="000000"/>
              <w:start w:val="single" w:sz="4" w:space="0" w:color="000000"/>
              <w:bottom w:val="single" w:sz="4" w:space="0" w:color="000000"/>
            </w:tcBorders>
          </w:tcPr>
          <w:p>
            <w:pPr>
              <w:pStyle w:val="TableHeading"/>
              <w:bidi w:val="0"/>
              <w:jc w:val="start"/>
              <w:rPr/>
            </w:pPr>
            <w:r>
              <w:rPr/>
              <w:t>Included service</w:t>
            </w:r>
          </w:p>
        </w:tc>
        <w:tc>
          <w:tcPr>
            <w:tcW w:w="249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Paid expansion</w:t>
            </w:r>
          </w:p>
        </w:tc>
      </w:tr>
      <w:tr>
        <w:trPr/>
        <w:tc>
          <w:tcPr>
            <w:tcW w:w="2493" w:type="dxa"/>
            <w:tcBorders>
              <w:start w:val="single" w:sz="4" w:space="0" w:color="000000"/>
              <w:bottom w:val="single" w:sz="4" w:space="0" w:color="000000"/>
            </w:tcBorders>
          </w:tcPr>
          <w:p>
            <w:pPr>
              <w:pStyle w:val="TableContents"/>
              <w:bidi w:val="0"/>
              <w:jc w:val="start"/>
              <w:rPr/>
            </w:pPr>
            <w:r>
              <w:rPr/>
              <w:t>Member</w:t>
            </w:r>
          </w:p>
        </w:tc>
        <w:tc>
          <w:tcPr>
            <w:tcW w:w="2493" w:type="dxa"/>
            <w:tcBorders>
              <w:start w:val="single" w:sz="4" w:space="0" w:color="000000"/>
              <w:bottom w:val="single" w:sz="4" w:space="0" w:color="000000"/>
            </w:tcBorders>
          </w:tcPr>
          <w:p>
            <w:pPr>
              <w:pStyle w:val="TableContents"/>
              <w:bidi w:val="0"/>
              <w:jc w:val="start"/>
              <w:rPr/>
            </w:pPr>
            <w:r>
              <w:rPr/>
              <w:t>Stay consistent</w:t>
            </w:r>
          </w:p>
        </w:tc>
        <w:tc>
          <w:tcPr>
            <w:tcW w:w="2493" w:type="dxa"/>
            <w:tcBorders>
              <w:start w:val="single" w:sz="4" w:space="0" w:color="000000"/>
              <w:bottom w:val="single" w:sz="4" w:space="0" w:color="000000"/>
            </w:tcBorders>
          </w:tcPr>
          <w:p>
            <w:pPr>
              <w:pStyle w:val="TableContents"/>
              <w:bidi w:val="0"/>
              <w:jc w:val="start"/>
              <w:rPr/>
            </w:pPr>
            <w:r>
              <w:rPr/>
              <w:t>Profile, buddies, groups, discovery, check-ins, selected free events</w:t>
            </w:r>
          </w:p>
        </w:tc>
        <w:tc>
          <w:tcPr>
            <w:tcW w:w="2493" w:type="dxa"/>
            <w:tcBorders>
              <w:start w:val="single" w:sz="4" w:space="0" w:color="000000"/>
              <w:bottom w:val="single" w:sz="4" w:space="0" w:color="000000"/>
              <w:end w:val="single" w:sz="4" w:space="0" w:color="000000"/>
            </w:tcBorders>
          </w:tcPr>
          <w:p>
            <w:pPr>
              <w:pStyle w:val="TableContents"/>
              <w:bidi w:val="0"/>
              <w:jc w:val="start"/>
              <w:rPr/>
            </w:pPr>
            <w:r>
              <w:rPr/>
              <w:t>Bud Plus: deeper plans, session credits/priority, insights, partner benefits</w:t>
            </w:r>
          </w:p>
        </w:tc>
      </w:tr>
      <w:tr>
        <w:trPr/>
        <w:tc>
          <w:tcPr>
            <w:tcW w:w="2493" w:type="dxa"/>
            <w:tcBorders>
              <w:start w:val="single" w:sz="4" w:space="0" w:color="000000"/>
              <w:bottom w:val="single" w:sz="4" w:space="0" w:color="000000"/>
            </w:tcBorders>
          </w:tcPr>
          <w:p>
            <w:pPr>
              <w:pStyle w:val="TableContents"/>
              <w:bidi w:val="0"/>
              <w:jc w:val="start"/>
              <w:rPr/>
            </w:pPr>
            <w:r>
              <w:rPr/>
              <w:t>Coach</w:t>
            </w:r>
          </w:p>
        </w:tc>
        <w:tc>
          <w:tcPr>
            <w:tcW w:w="2493" w:type="dxa"/>
            <w:tcBorders>
              <w:start w:val="single" w:sz="4" w:space="0" w:color="000000"/>
              <w:bottom w:val="single" w:sz="4" w:space="0" w:color="000000"/>
            </w:tcBorders>
          </w:tcPr>
          <w:p>
            <w:pPr>
              <w:pStyle w:val="TableContents"/>
              <w:bidi w:val="0"/>
              <w:jc w:val="start"/>
              <w:rPr/>
            </w:pPr>
            <w:r>
              <w:rPr/>
              <w:t>Find and retain clients</w:t>
            </w:r>
          </w:p>
        </w:tc>
        <w:tc>
          <w:tcPr>
            <w:tcW w:w="2493" w:type="dxa"/>
            <w:tcBorders>
              <w:start w:val="single" w:sz="4" w:space="0" w:color="000000"/>
              <w:bottom w:val="single" w:sz="4" w:space="0" w:color="000000"/>
            </w:tcBorders>
          </w:tcPr>
          <w:p>
            <w:pPr>
              <w:pStyle w:val="TableContents"/>
              <w:bidi w:val="0"/>
              <w:jc w:val="start"/>
              <w:rPr/>
            </w:pPr>
            <w:r>
              <w:rPr/>
              <w:t>Verified profile, availability, booking, programme delivery, client chat</w:t>
            </w:r>
          </w:p>
        </w:tc>
        <w:tc>
          <w:tcPr>
            <w:tcW w:w="2493" w:type="dxa"/>
            <w:tcBorders>
              <w:start w:val="single" w:sz="4" w:space="0" w:color="000000"/>
              <w:bottom w:val="single" w:sz="4" w:space="0" w:color="000000"/>
              <w:end w:val="single" w:sz="4" w:space="0" w:color="000000"/>
            </w:tcBorders>
          </w:tcPr>
          <w:p>
            <w:pPr>
              <w:pStyle w:val="TableContents"/>
              <w:bidi w:val="0"/>
              <w:jc w:val="start"/>
              <w:rPr/>
            </w:pPr>
            <w:r>
              <w:rPr/>
              <w:t>Coach Pro: CRM-lite, recurring plans, analytics, branded offers, lower transaction fee</w:t>
            </w:r>
          </w:p>
        </w:tc>
      </w:tr>
      <w:tr>
        <w:trPr/>
        <w:tc>
          <w:tcPr>
            <w:tcW w:w="2493" w:type="dxa"/>
            <w:tcBorders>
              <w:start w:val="single" w:sz="4" w:space="0" w:color="000000"/>
              <w:bottom w:val="single" w:sz="4" w:space="0" w:color="000000"/>
            </w:tcBorders>
          </w:tcPr>
          <w:p>
            <w:pPr>
              <w:pStyle w:val="TableContents"/>
              <w:bidi w:val="0"/>
              <w:jc w:val="start"/>
              <w:rPr/>
            </w:pPr>
            <w:r>
              <w:rPr/>
              <w:t>Gym/studio</w:t>
            </w:r>
          </w:p>
        </w:tc>
        <w:tc>
          <w:tcPr>
            <w:tcW w:w="2493" w:type="dxa"/>
            <w:tcBorders>
              <w:start w:val="single" w:sz="4" w:space="0" w:color="000000"/>
              <w:bottom w:val="single" w:sz="4" w:space="0" w:color="000000"/>
            </w:tcBorders>
          </w:tcPr>
          <w:p>
            <w:pPr>
              <w:pStyle w:val="TableContents"/>
              <w:bidi w:val="0"/>
              <w:jc w:val="start"/>
              <w:rPr/>
            </w:pPr>
            <w:r>
              <w:rPr/>
              <w:t>Retain members and fill classes</w:t>
            </w:r>
          </w:p>
        </w:tc>
        <w:tc>
          <w:tcPr>
            <w:tcW w:w="2493" w:type="dxa"/>
            <w:tcBorders>
              <w:start w:val="single" w:sz="4" w:space="0" w:color="000000"/>
              <w:bottom w:val="single" w:sz="4" w:space="0" w:color="000000"/>
            </w:tcBorders>
          </w:tcPr>
          <w:p>
            <w:pPr>
              <w:pStyle w:val="TableContents"/>
              <w:bidi w:val="0"/>
              <w:jc w:val="start"/>
              <w:rPr/>
            </w:pPr>
            <w:r>
              <w:rPr/>
              <w:t>Branded community, schedule, member communication, check-in/event tools</w:t>
            </w:r>
          </w:p>
        </w:tc>
        <w:tc>
          <w:tcPr>
            <w:tcW w:w="2493" w:type="dxa"/>
            <w:tcBorders>
              <w:start w:val="single" w:sz="4" w:space="0" w:color="000000"/>
              <w:bottom w:val="single" w:sz="4" w:space="0" w:color="000000"/>
              <w:end w:val="single" w:sz="4" w:space="0" w:color="000000"/>
            </w:tcBorders>
          </w:tcPr>
          <w:p>
            <w:pPr>
              <w:pStyle w:val="TableContents"/>
              <w:bidi w:val="0"/>
              <w:jc w:val="start"/>
              <w:rPr/>
            </w:pPr>
            <w:r>
              <w:rPr/>
              <w:t>Gym Growth: payments, multi-location controls, retention dashboard, campaigns, integrations</w:t>
            </w:r>
          </w:p>
        </w:tc>
      </w:tr>
      <w:tr>
        <w:trPr/>
        <w:tc>
          <w:tcPr>
            <w:tcW w:w="2493" w:type="dxa"/>
            <w:tcBorders>
              <w:start w:val="single" w:sz="4" w:space="0" w:color="000000"/>
              <w:bottom w:val="single" w:sz="4" w:space="0" w:color="000000"/>
            </w:tcBorders>
          </w:tcPr>
          <w:p>
            <w:pPr>
              <w:pStyle w:val="TableContents"/>
              <w:bidi w:val="0"/>
              <w:jc w:val="start"/>
              <w:rPr/>
            </w:pPr>
            <w:r>
              <w:rPr/>
              <w:t>Employer</w:t>
            </w:r>
          </w:p>
        </w:tc>
        <w:tc>
          <w:tcPr>
            <w:tcW w:w="2493" w:type="dxa"/>
            <w:tcBorders>
              <w:start w:val="single" w:sz="4" w:space="0" w:color="000000"/>
              <w:bottom w:val="single" w:sz="4" w:space="0" w:color="000000"/>
            </w:tcBorders>
          </w:tcPr>
          <w:p>
            <w:pPr>
              <w:pStyle w:val="TableContents"/>
              <w:bidi w:val="0"/>
              <w:jc w:val="start"/>
              <w:rPr/>
            </w:pPr>
            <w:r>
              <w:rPr/>
              <w:t>Support workforce wellbeing</w:t>
            </w:r>
          </w:p>
        </w:tc>
        <w:tc>
          <w:tcPr>
            <w:tcW w:w="2493" w:type="dxa"/>
            <w:tcBorders>
              <w:start w:val="single" w:sz="4" w:space="0" w:color="000000"/>
              <w:bottom w:val="single" w:sz="4" w:space="0" w:color="000000"/>
            </w:tcBorders>
          </w:tcPr>
          <w:p>
            <w:pPr>
              <w:pStyle w:val="TableContents"/>
              <w:bidi w:val="0"/>
              <w:jc w:val="start"/>
              <w:rPr/>
            </w:pPr>
            <w:r>
              <w:rPr/>
              <w:t>Curated activity challenges and partner access</w:t>
            </w:r>
          </w:p>
        </w:tc>
        <w:tc>
          <w:tcPr>
            <w:tcW w:w="2493" w:type="dxa"/>
            <w:tcBorders>
              <w:start w:val="single" w:sz="4" w:space="0" w:color="000000"/>
              <w:bottom w:val="single" w:sz="4" w:space="0" w:color="000000"/>
              <w:end w:val="single" w:sz="4" w:space="0" w:color="000000"/>
            </w:tcBorders>
          </w:tcPr>
          <w:p>
            <w:pPr>
              <w:pStyle w:val="TableContents"/>
              <w:bidi w:val="0"/>
              <w:jc w:val="start"/>
              <w:rPr/>
            </w:pPr>
            <w:r>
              <w:rPr/>
              <w:t>Workplace: administrator controls, aggregate reporting, wellbeing campaigns—never employee health surveillance</w:t>
            </w:r>
          </w:p>
        </w:tc>
      </w:tr>
      <w:tr>
        <w:trPr/>
        <w:tc>
          <w:tcPr>
            <w:tcW w:w="2493" w:type="dxa"/>
            <w:tcBorders>
              <w:start w:val="single" w:sz="4" w:space="0" w:color="000000"/>
              <w:bottom w:val="single" w:sz="4" w:space="0" w:color="000000"/>
            </w:tcBorders>
          </w:tcPr>
          <w:p>
            <w:pPr>
              <w:pStyle w:val="TableContents"/>
              <w:bidi w:val="0"/>
              <w:jc w:val="start"/>
              <w:rPr/>
            </w:pPr>
            <w:r>
              <w:rPr/>
              <w:t>Approved merchant</w:t>
            </w:r>
          </w:p>
        </w:tc>
        <w:tc>
          <w:tcPr>
            <w:tcW w:w="2493" w:type="dxa"/>
            <w:tcBorders>
              <w:start w:val="single" w:sz="4" w:space="0" w:color="000000"/>
              <w:bottom w:val="single" w:sz="4" w:space="0" w:color="000000"/>
            </w:tcBorders>
          </w:tcPr>
          <w:p>
            <w:pPr>
              <w:pStyle w:val="TableContents"/>
              <w:bidi w:val="0"/>
              <w:jc w:val="start"/>
              <w:rPr/>
            </w:pPr>
            <w:r>
              <w:rPr/>
              <w:t>Reach relevant buyers</w:t>
            </w:r>
          </w:p>
        </w:tc>
        <w:tc>
          <w:tcPr>
            <w:tcW w:w="2493" w:type="dxa"/>
            <w:tcBorders>
              <w:start w:val="single" w:sz="4" w:space="0" w:color="000000"/>
              <w:bottom w:val="single" w:sz="4" w:space="0" w:color="000000"/>
            </w:tcBorders>
          </w:tcPr>
          <w:p>
            <w:pPr>
              <w:pStyle w:val="TableContents"/>
              <w:bidi w:val="0"/>
              <w:jc w:val="start"/>
              <w:rPr/>
            </w:pPr>
            <w:r>
              <w:rPr/>
              <w:t>Curated listing and fulfilment rules</w:t>
            </w:r>
          </w:p>
        </w:tc>
        <w:tc>
          <w:tcPr>
            <w:tcW w:w="2493" w:type="dxa"/>
            <w:tcBorders>
              <w:start w:val="single" w:sz="4" w:space="0" w:color="000000"/>
              <w:bottom w:val="single" w:sz="4" w:space="0" w:color="000000"/>
              <w:end w:val="single" w:sz="4" w:space="0" w:color="000000"/>
            </w:tcBorders>
          </w:tcPr>
          <w:p>
            <w:pPr>
              <w:pStyle w:val="TableContents"/>
              <w:bidi w:val="0"/>
              <w:jc w:val="start"/>
              <w:rPr/>
            </w:pPr>
            <w:r>
              <w:rPr/>
              <w:t>Partner campaigns, affiliate reporting, bundles</w:t>
            </w:r>
          </w:p>
        </w:tc>
      </w:tr>
    </w:tbl>
    <w:p>
      <w:pPr>
        <w:pStyle w:val="BodyText"/>
        <w:bidi w:val="0"/>
        <w:jc w:val="start"/>
        <w:rPr/>
      </w:pPr>
      <w:r>
        <w:rPr/>
      </w:r>
    </w:p>
    <w:p>
      <w:pPr>
        <w:pStyle w:val="HorizontalLine"/>
        <w:bidi w:val="0"/>
        <w:jc w:val="start"/>
        <w:rPr/>
      </w:pPr>
      <w:r>
        <w:rPr/>
      </w:r>
    </w:p>
    <w:p>
      <w:pPr>
        <w:pStyle w:val="Heading2"/>
        <w:bidi w:val="0"/>
        <w:ind w:hanging="0" w:start="0"/>
        <w:jc w:val="start"/>
        <w:rPr/>
      </w:pPr>
      <w:r>
        <w:rPr/>
        <w:t>5. The services catalog (detail by domain)</w:t>
      </w:r>
    </w:p>
    <w:p>
      <w:pPr>
        <w:pStyle w:val="BodyText"/>
        <w:bidi w:val="0"/>
        <w:jc w:val="start"/>
        <w:rPr/>
      </w:pPr>
      <w:r>
        <w:rPr/>
        <w:t>The following catalog is the detailed inventory of what the platform already builds. It is the basis for every package in §6 and every revenue stream in §9.</w:t>
      </w:r>
    </w:p>
    <w:p>
      <w:pPr>
        <w:pStyle w:val="Heading3"/>
        <w:bidi w:val="0"/>
        <w:ind w:hanging="0" w:start="0"/>
        <w:jc w:val="start"/>
        <w:rPr/>
      </w:pPr>
      <w:r>
        <w:rPr/>
        <w:t>5.1 Accounts — authentication and security</w:t>
      </w:r>
    </w:p>
    <w:p>
      <w:pPr>
        <w:pStyle w:val="BodyText"/>
        <w:numPr>
          <w:ilvl w:val="0"/>
          <w:numId w:val="7"/>
        </w:numPr>
        <w:tabs>
          <w:tab w:val="clear" w:pos="709"/>
          <w:tab w:val="left" w:pos="709" w:leader="none"/>
        </w:tabs>
        <w:bidi w:val="0"/>
        <w:ind w:hanging="283" w:start="709"/>
        <w:jc w:val="start"/>
        <w:rPr/>
      </w:pPr>
      <w:r>
        <w:rPr/>
        <w:t>Email/phone + password registration with strength meter; age verification (DOB check, hard block under 16, hashed storage)</w:t>
      </w:r>
    </w:p>
    <w:p>
      <w:pPr>
        <w:pStyle w:val="BodyText"/>
        <w:numPr>
          <w:ilvl w:val="0"/>
          <w:numId w:val="7"/>
        </w:numPr>
        <w:tabs>
          <w:tab w:val="clear" w:pos="709"/>
          <w:tab w:val="left" w:pos="709" w:leader="none"/>
        </w:tabs>
        <w:bidi w:val="0"/>
        <w:ind w:hanging="283" w:start="709"/>
        <w:jc w:val="start"/>
        <w:rPr/>
      </w:pPr>
      <w:r>
        <w:rPr/>
        <w:t>OTP email/phone verification (6-digit, 10-min expiry, 3-attempt lockout); JWT auth with HttpOnly cookies; device session management with "sign out all devices"</w:t>
      </w:r>
    </w:p>
    <w:p>
      <w:pPr>
        <w:pStyle w:val="BodyText"/>
        <w:numPr>
          <w:ilvl w:val="0"/>
          <w:numId w:val="7"/>
        </w:numPr>
        <w:tabs>
          <w:tab w:val="clear" w:pos="709"/>
          <w:tab w:val="left" w:pos="709" w:leader="none"/>
        </w:tabs>
        <w:bidi w:val="0"/>
        <w:ind w:hanging="283" w:start="709"/>
        <w:jc w:val="start"/>
        <w:rPr/>
      </w:pPr>
      <w:r>
        <w:rPr/>
        <w:t>Google OAuth 2.0 and Apple Sign In; TOTP 2FA; rate limiting on login/OTP/registration</w:t>
      </w:r>
    </w:p>
    <w:p>
      <w:pPr>
        <w:pStyle w:val="BodyText"/>
        <w:numPr>
          <w:ilvl w:val="0"/>
          <w:numId w:val="7"/>
        </w:numPr>
        <w:tabs>
          <w:tab w:val="clear" w:pos="709"/>
          <w:tab w:val="left" w:pos="709" w:leader="none"/>
        </w:tabs>
        <w:bidi w:val="0"/>
        <w:ind w:hanging="283" w:start="709"/>
        <w:jc w:val="start"/>
        <w:rPr/>
      </w:pPr>
      <w:r>
        <w:rPr/>
        <w:t>Account soft-delete (30-day recoverable) and hard-delete pipeline; async data export (Celery, JSON/ZIP); consent logging for GDPR and Kenya Data Protection Act</w:t>
      </w:r>
    </w:p>
    <w:p>
      <w:pPr>
        <w:pStyle w:val="Heading3"/>
        <w:numPr>
          <w:ilvl w:val="0"/>
          <w:numId w:val="0"/>
        </w:numPr>
        <w:bidi w:val="0"/>
        <w:ind w:hanging="0" w:start="0"/>
        <w:jc w:val="start"/>
        <w:rPr/>
      </w:pPr>
      <w:r>
        <w:rPr/>
        <w:t>5.2 Profiles — identity, buddies and reputation</w:t>
      </w:r>
    </w:p>
    <w:p>
      <w:pPr>
        <w:pStyle w:val="BodyText"/>
        <w:numPr>
          <w:ilvl w:val="0"/>
          <w:numId w:val="8"/>
        </w:numPr>
        <w:tabs>
          <w:tab w:val="clear" w:pos="709"/>
          <w:tab w:val="left" w:pos="709" w:leader="none"/>
        </w:tabs>
        <w:bidi w:val="0"/>
        <w:ind w:hanging="283" w:start="709"/>
        <w:jc w:val="start"/>
        <w:rPr/>
      </w:pPr>
      <w:r>
        <w:rPr/>
        <w:t>Public profile (username, display name, bio, avatar, cover); role selection (Regular / Trainer / Health Practitioner)</w:t>
      </w:r>
    </w:p>
    <w:p>
      <w:pPr>
        <w:pStyle w:val="BodyText"/>
        <w:numPr>
          <w:ilvl w:val="0"/>
          <w:numId w:val="8"/>
        </w:numPr>
        <w:tabs>
          <w:tab w:val="clear" w:pos="709"/>
          <w:tab w:val="left" w:pos="709" w:leader="none"/>
        </w:tabs>
        <w:bidi w:val="0"/>
        <w:ind w:hanging="283" w:start="709"/>
        <w:jc w:val="start"/>
        <w:rPr/>
      </w:pPr>
      <w:r>
        <w:rPr/>
        <w:t>Verification badge system (none → email → ID → trainer → practitioner)</w:t>
      </w:r>
    </w:p>
    <w:p>
      <w:pPr>
        <w:pStyle w:val="BodyText"/>
        <w:numPr>
          <w:ilvl w:val="0"/>
          <w:numId w:val="8"/>
        </w:numPr>
        <w:tabs>
          <w:tab w:val="clear" w:pos="709"/>
          <w:tab w:val="left" w:pos="709" w:leader="none"/>
        </w:tabs>
        <w:bidi w:val="0"/>
        <w:ind w:hanging="283" w:start="709"/>
        <w:jc w:val="start"/>
        <w:rPr/>
      </w:pPr>
      <w:r>
        <w:rPr/>
        <w:t>Buddy relationship system (two-way confirmed connections; three tiers: Follow, Buddy Up, Gym Membership); request accept/decline/ignore</w:t>
      </w:r>
    </w:p>
    <w:p>
      <w:pPr>
        <w:pStyle w:val="BodyText"/>
        <w:numPr>
          <w:ilvl w:val="0"/>
          <w:numId w:val="8"/>
        </w:numPr>
        <w:tabs>
          <w:tab w:val="clear" w:pos="709"/>
          <w:tab w:val="left" w:pos="709" w:leader="none"/>
        </w:tabs>
        <w:bidi w:val="0"/>
        <w:ind w:hanging="283" w:start="709"/>
        <w:jc w:val="start"/>
        <w:rPr/>
      </w:pPr>
      <w:r>
        <w:rPr/>
        <w:t>Accountability pings, shared goals, streak cheers; follow/block/unfollow; privacy settings; anonymous posting toggle</w:t>
      </w:r>
    </w:p>
    <w:p>
      <w:pPr>
        <w:pStyle w:val="BodyText"/>
        <w:numPr>
          <w:ilvl w:val="0"/>
          <w:numId w:val="8"/>
        </w:numPr>
        <w:tabs>
          <w:tab w:val="clear" w:pos="709"/>
          <w:tab w:val="left" w:pos="709" w:leader="none"/>
        </w:tabs>
        <w:bidi w:val="0"/>
        <w:ind w:hanging="283" w:start="709"/>
        <w:jc w:val="start"/>
        <w:rPr/>
      </w:pPr>
      <w:r>
        <w:rPr/>
        <w:t>Streak tracking with Rep Ring (circular progress arc); workout schedule sharing</w:t>
      </w:r>
    </w:p>
    <w:p>
      <w:pPr>
        <w:pStyle w:val="Heading3"/>
        <w:numPr>
          <w:ilvl w:val="0"/>
          <w:numId w:val="0"/>
        </w:numPr>
        <w:bidi w:val="0"/>
        <w:ind w:hanging="0" w:start="0"/>
        <w:jc w:val="start"/>
        <w:rPr/>
      </w:pPr>
      <w:r>
        <w:rPr/>
        <w:t>5.3 Feed — community and content</w:t>
      </w:r>
    </w:p>
    <w:p>
      <w:pPr>
        <w:pStyle w:val="BodyText"/>
        <w:numPr>
          <w:ilvl w:val="0"/>
          <w:numId w:val="9"/>
        </w:numPr>
        <w:tabs>
          <w:tab w:val="clear" w:pos="709"/>
          <w:tab w:val="left" w:pos="709" w:leader="none"/>
        </w:tabs>
        <w:bidi w:val="0"/>
        <w:ind w:hanging="283" w:start="709"/>
        <w:jc w:val="start"/>
        <w:rPr/>
      </w:pPr>
      <w:r>
        <w:rPr/>
        <w:t>7 post types (Text, Photo, BuddyClip, BuddySession, Workout Log, Meal, Progress) + 24h Moments + polls</w:t>
      </w:r>
    </w:p>
    <w:p>
      <w:pPr>
        <w:pStyle w:val="BodyText"/>
        <w:numPr>
          <w:ilvl w:val="0"/>
          <w:numId w:val="9"/>
        </w:numPr>
        <w:tabs>
          <w:tab w:val="clear" w:pos="709"/>
          <w:tab w:val="left" w:pos="709" w:leader="none"/>
        </w:tabs>
        <w:bidi w:val="0"/>
        <w:ind w:hanging="283" w:start="709"/>
        <w:jc w:val="start"/>
        <w:rPr/>
      </w:pPr>
      <w:r>
        <w:rPr/>
        <w:t>3 feed tabs: For You (algorithmic/ML-ranked), Following (chronological), Nearby (geo-based)</w:t>
      </w:r>
    </w:p>
    <w:p>
      <w:pPr>
        <w:pStyle w:val="BodyText"/>
        <w:numPr>
          <w:ilvl w:val="0"/>
          <w:numId w:val="9"/>
        </w:numPr>
        <w:tabs>
          <w:tab w:val="clear" w:pos="709"/>
          <w:tab w:val="left" w:pos="709" w:leader="none"/>
        </w:tabs>
        <w:bidi w:val="0"/>
        <w:ind w:hanging="283" w:start="709"/>
        <w:jc w:val="start"/>
        <w:rPr/>
      </w:pPr>
      <w:r>
        <w:rPr/>
        <w:t>7 fitness reactions (Pump, Fire, Respect, Grind, Let's Go, Haha, Too Hard); nested comments with pinning/sorting; repost (simple + quote); save to private collections</w:t>
      </w:r>
    </w:p>
    <w:p>
      <w:pPr>
        <w:pStyle w:val="BodyText"/>
        <w:numPr>
          <w:ilvl w:val="0"/>
          <w:numId w:val="9"/>
        </w:numPr>
        <w:tabs>
          <w:tab w:val="clear" w:pos="709"/>
          <w:tab w:val="left" w:pos="709" w:leader="none"/>
        </w:tabs>
        <w:bidi w:val="0"/>
        <w:ind w:hanging="283" w:start="709"/>
        <w:jc w:val="start"/>
        <w:rPr/>
      </w:pPr>
      <w:r>
        <w:rPr/>
        <w:t>Visibility: public, buddies-only, gym members, private; auto-flagging + human review queue</w:t>
      </w:r>
    </w:p>
    <w:p>
      <w:pPr>
        <w:pStyle w:val="Heading3"/>
        <w:numPr>
          <w:ilvl w:val="0"/>
          <w:numId w:val="0"/>
        </w:numPr>
        <w:bidi w:val="0"/>
        <w:ind w:hanging="0" w:start="0"/>
        <w:jc w:val="start"/>
        <w:rPr/>
      </w:pPr>
      <w:r>
        <w:rPr/>
        <w:t>5.4 Lives — live training sessions</w:t>
      </w:r>
    </w:p>
    <w:p>
      <w:pPr>
        <w:pStyle w:val="BodyText"/>
        <w:numPr>
          <w:ilvl w:val="0"/>
          <w:numId w:val="10"/>
        </w:numPr>
        <w:tabs>
          <w:tab w:val="clear" w:pos="709"/>
          <w:tab w:val="left" w:pos="709" w:leader="none"/>
        </w:tabs>
        <w:bidi w:val="0"/>
        <w:ind w:hanging="283" w:start="709"/>
        <w:jc w:val="start"/>
        <w:rPr/>
      </w:pPr>
      <w:r>
        <w:rPr/>
        <w:t>6 session types: Open Sweat, Buddy Circle, Gym Live, PT Session Live, Random Drop, Practitioner Live</w:t>
      </w:r>
    </w:p>
    <w:p>
      <w:pPr>
        <w:pStyle w:val="BodyText"/>
        <w:numPr>
          <w:ilvl w:val="0"/>
          <w:numId w:val="10"/>
        </w:numPr>
        <w:tabs>
          <w:tab w:val="clear" w:pos="709"/>
          <w:tab w:val="left" w:pos="709" w:leader="none"/>
        </w:tabs>
        <w:bidi w:val="0"/>
        <w:ind w:hanging="283" w:start="709"/>
        <w:jc w:val="start"/>
        <w:rPr/>
      </w:pPr>
      <w:r>
        <w:rPr>
          <w:b/>
        </w:rPr>
        <w:t>Random Drop</w:t>
      </w:r>
      <w:r>
        <w:rPr/>
        <w:t>: spontaneous matching into group live sessions by activity, timezone, experience level</w:t>
      </w:r>
    </w:p>
    <w:p>
      <w:pPr>
        <w:pStyle w:val="BodyText"/>
        <w:numPr>
          <w:ilvl w:val="0"/>
          <w:numId w:val="10"/>
        </w:numPr>
        <w:tabs>
          <w:tab w:val="clear" w:pos="709"/>
          <w:tab w:val="left" w:pos="709" w:leader="none"/>
        </w:tabs>
        <w:bidi w:val="0"/>
        <w:ind w:hanging="283" w:start="709"/>
        <w:jc w:val="start"/>
        <w:rPr/>
      </w:pPr>
      <w:r>
        <w:rPr/>
        <w:t>Pre-live setup (title, category, access, fee, duration, co-hosts, scheduling); host controls (camera/mic, screen share, music/timer overlay, rep counter, exercise labels)</w:t>
      </w:r>
    </w:p>
    <w:p>
      <w:pPr>
        <w:pStyle w:val="BodyText"/>
        <w:numPr>
          <w:ilvl w:val="0"/>
          <w:numId w:val="10"/>
        </w:numPr>
        <w:tabs>
          <w:tab w:val="clear" w:pos="709"/>
          <w:tab w:val="left" w:pos="709" w:leader="none"/>
        </w:tabs>
        <w:bidi w:val="0"/>
        <w:ind w:hanging="283" w:start="709"/>
        <w:jc w:val="start"/>
        <w:rPr/>
      </w:pPr>
      <w:r>
        <w:rPr/>
        <w:t>Viewer experience (live comments, emoji reactions, artifact gifting, Do-It-With-Me, PiP, quality selection); live chat moderation</w:t>
      </w:r>
    </w:p>
    <w:p>
      <w:pPr>
        <w:pStyle w:val="BodyText"/>
        <w:numPr>
          <w:ilvl w:val="0"/>
          <w:numId w:val="10"/>
        </w:numPr>
        <w:tabs>
          <w:tab w:val="clear" w:pos="709"/>
          <w:tab w:val="left" w:pos="709" w:leader="none"/>
        </w:tabs>
        <w:bidi w:val="0"/>
        <w:ind w:hanging="283" w:start="709"/>
        <w:jc w:val="start"/>
        <w:rPr/>
      </w:pPr>
      <w:r>
        <w:rPr/>
        <w:t>Replays stored to S3-compatible storage; LiveKit Egress recording; WebRTC for small groups, Agora-style for large audiences</w:t>
      </w:r>
    </w:p>
    <w:p>
      <w:pPr>
        <w:pStyle w:val="Heading3"/>
        <w:numPr>
          <w:ilvl w:val="0"/>
          <w:numId w:val="0"/>
        </w:numPr>
        <w:bidi w:val="0"/>
        <w:ind w:hanging="0" w:start="0"/>
        <w:jc w:val="start"/>
        <w:rPr/>
      </w:pPr>
      <w:r>
        <w:rPr/>
        <w:t>5.5 Gyms — partner communities</w:t>
      </w:r>
    </w:p>
    <w:p>
      <w:pPr>
        <w:pStyle w:val="BodyText"/>
        <w:numPr>
          <w:ilvl w:val="0"/>
          <w:numId w:val="11"/>
        </w:numPr>
        <w:tabs>
          <w:tab w:val="clear" w:pos="709"/>
          <w:tab w:val="left" w:pos="709" w:leader="none"/>
        </w:tabs>
        <w:bidi w:val="0"/>
        <w:ind w:hanging="283" w:start="709"/>
        <w:jc w:val="start"/>
        <w:rPr/>
      </w:pPr>
      <w:r>
        <w:rPr/>
        <w:t>Public/private/secret gyms; single or multiple ownership (up to 5 co-founders); free/member-only/paid/tiered subscription models</w:t>
      </w:r>
    </w:p>
    <w:p>
      <w:pPr>
        <w:pStyle w:val="BodyText"/>
        <w:numPr>
          <w:ilvl w:val="0"/>
          <w:numId w:val="11"/>
        </w:numPr>
        <w:tabs>
          <w:tab w:val="clear" w:pos="709"/>
          <w:tab w:val="left" w:pos="709" w:leader="none"/>
        </w:tabs>
        <w:bidi w:val="0"/>
        <w:ind w:hanging="283" w:start="709"/>
        <w:jc w:val="start"/>
        <w:rPr/>
      </w:pPr>
      <w:r>
        <w:rPr/>
        <w:t>Roles: Owner, Co-owner, Trainer, Moderator, Member, Guest + custom roles; gym page (header, feed, lives, members, trainers, about)</w:t>
      </w:r>
    </w:p>
    <w:p>
      <w:pPr>
        <w:pStyle w:val="BodyText"/>
        <w:numPr>
          <w:ilvl w:val="0"/>
          <w:numId w:val="11"/>
        </w:numPr>
        <w:tabs>
          <w:tab w:val="clear" w:pos="709"/>
          <w:tab w:val="left" w:pos="709" w:leader="none"/>
        </w:tabs>
        <w:bidi w:val="0"/>
        <w:ind w:hanging="283" w:start="709"/>
        <w:jc w:val="start"/>
        <w:rPr/>
      </w:pPr>
      <w:r>
        <w:rPr/>
        <w:t>Gym wallet with platform split; co-owner revenue splits; member management (join queue, search, remove, ban); reviews, donations, categories, equipment tracking; weekly live schedule publishing</w:t>
      </w:r>
    </w:p>
    <w:p>
      <w:pPr>
        <w:pStyle w:val="Heading3"/>
        <w:numPr>
          <w:ilvl w:val="0"/>
          <w:numId w:val="0"/>
        </w:numPr>
        <w:bidi w:val="0"/>
        <w:ind w:hanging="0" w:start="0"/>
        <w:jc w:val="start"/>
        <w:rPr/>
      </w:pPr>
      <w:r>
        <w:rPr/>
        <w:t>5.6 Sessions — trainers and practitioners</w:t>
      </w:r>
    </w:p>
    <w:p>
      <w:pPr>
        <w:pStyle w:val="BodyText"/>
        <w:numPr>
          <w:ilvl w:val="0"/>
          <w:numId w:val="12"/>
        </w:numPr>
        <w:tabs>
          <w:tab w:val="clear" w:pos="709"/>
          <w:tab w:val="left" w:pos="709" w:leader="none"/>
        </w:tabs>
        <w:bidi w:val="0"/>
        <w:ind w:hanging="283" w:start="709"/>
        <w:jc w:val="start"/>
        <w:rPr/>
      </w:pPr>
      <w:r>
        <w:rPr/>
        <w:t>Trainer profiles (specialties, certifications, years experience, languages, session types); availability calendar with drag-and-drop time blocks, buffers, session caps</w:t>
      </w:r>
    </w:p>
    <w:p>
      <w:pPr>
        <w:pStyle w:val="BodyText"/>
        <w:numPr>
          <w:ilvl w:val="0"/>
          <w:numId w:val="12"/>
        </w:numPr>
        <w:tabs>
          <w:tab w:val="clear" w:pos="709"/>
          <w:tab w:val="left" w:pos="709" w:leader="none"/>
        </w:tabs>
        <w:bidi w:val="0"/>
        <w:ind w:hanging="283" w:start="709"/>
        <w:jc w:val="start"/>
        <w:rPr/>
      </w:pPr>
      <w:r>
        <w:rPr/>
        <w:t>Session booking with escrow payments; cancellation/no-show policies; dispute resolution</w:t>
      </w:r>
    </w:p>
    <w:p>
      <w:pPr>
        <w:pStyle w:val="BodyText"/>
        <w:numPr>
          <w:ilvl w:val="0"/>
          <w:numId w:val="12"/>
        </w:numPr>
        <w:tabs>
          <w:tab w:val="clear" w:pos="709"/>
          <w:tab w:val="left" w:pos="709" w:leader="none"/>
        </w:tabs>
        <w:bidi w:val="0"/>
        <w:ind w:hanging="283" w:start="709"/>
        <w:jc w:val="start"/>
        <w:rPr/>
      </w:pPr>
      <w:r>
        <w:rPr/>
        <w:t>Async training programmes (week-by-week plans, progress, client comments); practitioner consultation notes, referral system, prescription/recommendation generation; reviews only from completed sessions</w:t>
      </w:r>
    </w:p>
    <w:p>
      <w:pPr>
        <w:pStyle w:val="Heading3"/>
        <w:numPr>
          <w:ilvl w:val="0"/>
          <w:numId w:val="0"/>
        </w:numPr>
        <w:bidi w:val="0"/>
        <w:ind w:hanging="0" w:start="0"/>
        <w:jc w:val="start"/>
        <w:rPr/>
      </w:pPr>
      <w:r>
        <w:rPr/>
        <w:t>5.7 Marketplace — commerce</w:t>
      </w:r>
    </w:p>
    <w:p>
      <w:pPr>
        <w:pStyle w:val="BodyText"/>
        <w:numPr>
          <w:ilvl w:val="0"/>
          <w:numId w:val="13"/>
        </w:numPr>
        <w:tabs>
          <w:tab w:val="clear" w:pos="709"/>
          <w:tab w:val="left" w:pos="709" w:leader="none"/>
        </w:tabs>
        <w:bidi w:val="0"/>
        <w:ind w:hanging="283" w:start="709"/>
        <w:jc w:val="start"/>
        <w:rPr/>
      </w:pPr>
      <w:r>
        <w:rPr/>
        <w:t>5 storefronts: Meal Plans, Training Programmes, Supplements, Prescribed Products, Equipment &amp; Gear</w:t>
      </w:r>
    </w:p>
    <w:p>
      <w:pPr>
        <w:pStyle w:val="BodyText"/>
        <w:numPr>
          <w:ilvl w:val="0"/>
          <w:numId w:val="13"/>
        </w:numPr>
        <w:tabs>
          <w:tab w:val="clear" w:pos="709"/>
          <w:tab w:val="left" w:pos="709" w:leader="none"/>
        </w:tabs>
        <w:bidi w:val="0"/>
        <w:ind w:hanging="283" w:start="709"/>
        <w:jc w:val="start"/>
        <w:rPr/>
      </w:pPr>
      <w:r>
        <w:rPr/>
        <w:t>Meal Plans: 11 diet types, preview day, full purchase, shopping lists, reviews</w:t>
      </w:r>
    </w:p>
    <w:p>
      <w:pPr>
        <w:pStyle w:val="BodyText"/>
        <w:numPr>
          <w:ilvl w:val="0"/>
          <w:numId w:val="13"/>
        </w:numPr>
        <w:tabs>
          <w:tab w:val="clear" w:pos="709"/>
          <w:tab w:val="left" w:pos="709" w:leader="none"/>
        </w:tabs>
        <w:bidi w:val="0"/>
        <w:ind w:hanging="283" w:start="709"/>
        <w:jc w:val="start"/>
        <w:rPr/>
      </w:pPr>
      <w:r>
        <w:rPr/>
        <w:t>AI Meal Plan Personalisation (fine-tuned LLM, USDA database, dietary adjustments)</w:t>
      </w:r>
    </w:p>
    <w:p>
      <w:pPr>
        <w:pStyle w:val="BodyText"/>
        <w:numPr>
          <w:ilvl w:val="0"/>
          <w:numId w:val="13"/>
        </w:numPr>
        <w:tabs>
          <w:tab w:val="clear" w:pos="709"/>
          <w:tab w:val="left" w:pos="709" w:leader="none"/>
        </w:tabs>
        <w:bidi w:val="0"/>
        <w:ind w:hanging="283" w:start="709"/>
        <w:jc w:val="start"/>
        <w:rPr/>
      </w:pPr>
      <w:r>
        <w:rPr/>
        <w:t>Supplements: third-party listings with vetting, affiliate links, practitioner recommendations; wearable integration (Apple Health, Google Fit, Fitbit, Garmin, MyFitnessPal)</w:t>
      </w:r>
    </w:p>
    <w:p>
      <w:pPr>
        <w:pStyle w:val="Heading3"/>
        <w:numPr>
          <w:ilvl w:val="0"/>
          <w:numId w:val="0"/>
        </w:numPr>
        <w:bidi w:val="0"/>
        <w:ind w:hanging="0" w:start="0"/>
        <w:jc w:val="start"/>
        <w:rPr/>
      </w:pPr>
      <w:r>
        <w:rPr/>
        <w:t>5.8 Messaging — real-time communication</w:t>
      </w:r>
    </w:p>
    <w:p>
      <w:pPr>
        <w:pStyle w:val="BodyText"/>
        <w:numPr>
          <w:ilvl w:val="0"/>
          <w:numId w:val="14"/>
        </w:numPr>
        <w:tabs>
          <w:tab w:val="clear" w:pos="709"/>
          <w:tab w:val="left" w:pos="709" w:leader="none"/>
        </w:tabs>
        <w:bidi w:val="0"/>
        <w:ind w:hanging="283" w:start="709"/>
        <w:jc w:val="start"/>
        <w:rPr/>
      </w:pPr>
      <w:r>
        <w:rPr/>
        <w:t>Real-time DMs via Django Channels + Redis (WebSocket); DMs only between confirmed buddies; session chat threads (auto-open during booking, auto-archive after 7 days)</w:t>
      </w:r>
    </w:p>
    <w:p>
      <w:pPr>
        <w:pStyle w:val="BodyText"/>
        <w:numPr>
          <w:ilvl w:val="0"/>
          <w:numId w:val="14"/>
        </w:numPr>
        <w:tabs>
          <w:tab w:val="clear" w:pos="709"/>
          <w:tab w:val="left" w:pos="709" w:leader="none"/>
        </w:tabs>
        <w:bidi w:val="0"/>
        <w:ind w:hanging="283" w:start="709"/>
        <w:jc w:val="start"/>
        <w:rPr/>
      </w:pPr>
      <w:r>
        <w:rPr/>
        <w:t>12 message types (text, photo, video, voice, documents, location, workout logs, meal plans, artifact tips, accountability pings, call logs)</w:t>
      </w:r>
    </w:p>
    <w:p>
      <w:pPr>
        <w:pStyle w:val="BodyText"/>
        <w:numPr>
          <w:ilvl w:val="0"/>
          <w:numId w:val="14"/>
        </w:numPr>
        <w:tabs>
          <w:tab w:val="clear" w:pos="709"/>
          <w:tab w:val="left" w:pos="709" w:leader="none"/>
        </w:tabs>
        <w:bidi w:val="0"/>
        <w:ind w:hanging="283" w:start="709"/>
        <w:jc w:val="start"/>
        <w:rPr/>
      </w:pPr>
      <w:r>
        <w:rPr/>
        <w:t>Group chat for gyms (up to 1,000 members) with sub-channels; read receipts, typing indicators, reactions; per-user soft delete, reply threading; end-to-end encryption (Signal Protocol-based); spam protection</w:t>
      </w:r>
    </w:p>
    <w:p>
      <w:pPr>
        <w:pStyle w:val="Heading3"/>
        <w:numPr>
          <w:ilvl w:val="0"/>
          <w:numId w:val="0"/>
        </w:numPr>
        <w:bidi w:val="0"/>
        <w:ind w:hanging="0" w:start="0"/>
        <w:jc w:val="start"/>
        <w:rPr/>
      </w:pPr>
      <w:r>
        <w:rPr/>
        <w:t>5.9 Wallet — the virtual economy</w:t>
      </w:r>
    </w:p>
    <w:p>
      <w:pPr>
        <w:pStyle w:val="BodyText"/>
        <w:numPr>
          <w:ilvl w:val="0"/>
          <w:numId w:val="15"/>
        </w:numPr>
        <w:tabs>
          <w:tab w:val="clear" w:pos="709"/>
          <w:tab w:val="left" w:pos="709" w:leader="none"/>
        </w:tabs>
        <w:bidi w:val="0"/>
        <w:ind w:hanging="283" w:start="709"/>
        <w:jc w:val="start"/>
        <w:rPr/>
      </w:pPr>
      <w:r>
        <w:rPr/>
        <w:t>7 Fitness Artifact types at fixed USD rates: Dumbbell ($0.10), Barbell ($0.50), Burpee ($1.00), Squat ($2.50), Sprint ($5.00), PR ($10.00), Champion ($25.00)</w:t>
      </w:r>
    </w:p>
    <w:p>
      <w:pPr>
        <w:pStyle w:val="BodyText"/>
        <w:numPr>
          <w:ilvl w:val="0"/>
          <w:numId w:val="15"/>
        </w:numPr>
        <w:tabs>
          <w:tab w:val="clear" w:pos="709"/>
          <w:tab w:val="left" w:pos="709" w:leader="none"/>
        </w:tabs>
        <w:bidi w:val="0"/>
        <w:ind w:hanging="283" w:start="709"/>
        <w:jc w:val="start"/>
        <w:rPr/>
      </w:pPr>
      <w:r>
        <w:rPr/>
        <w:t>Purchase via Stripe, M-Pesa (Daraja API), Flutterwave, PayPal; bundle pricing; spend on tips, live entry, gym subs, PT sessions, marketplace, boosting; earn via tips, fees, sales, referrals</w:t>
      </w:r>
    </w:p>
    <w:p>
      <w:pPr>
        <w:pStyle w:val="BodyText"/>
        <w:numPr>
          <w:ilvl w:val="0"/>
          <w:numId w:val="15"/>
        </w:numPr>
        <w:tabs>
          <w:tab w:val="clear" w:pos="709"/>
          <w:tab w:val="left" w:pos="709" w:leader="none"/>
        </w:tabs>
        <w:bidi w:val="0"/>
        <w:ind w:hanging="283" w:start="709"/>
        <w:jc w:val="start"/>
        <w:rPr/>
      </w:pPr>
      <w:r>
        <w:rPr/>
        <w:t>Transaction history with search/filter/export; escrow/hold periods, locked balances, clearance pipeline; KYC/AML compliance (purchase limits &gt;$50/month)</w:t>
      </w:r>
    </w:p>
    <w:p>
      <w:pPr>
        <w:pStyle w:val="BodyText"/>
        <w:numPr>
          <w:ilvl w:val="0"/>
          <w:numId w:val="15"/>
        </w:numPr>
        <w:tabs>
          <w:tab w:val="clear" w:pos="709"/>
          <w:tab w:val="left" w:pos="709" w:leader="none"/>
        </w:tabs>
        <w:bidi w:val="0"/>
        <w:ind w:hanging="283" w:start="709"/>
        <w:jc w:val="start"/>
        <w:rPr/>
      </w:pPr>
      <w:r>
        <w:rPr>
          <w:b/>
        </w:rPr>
        <w:t>Launch disposition:</w:t>
      </w:r>
      <w:r>
        <w:rPr/>
        <w:t xml:space="preserve"> redesigned before public launch (see §9.4)</w:t>
      </w:r>
    </w:p>
    <w:p>
      <w:pPr>
        <w:pStyle w:val="Heading3"/>
        <w:numPr>
          <w:ilvl w:val="0"/>
          <w:numId w:val="0"/>
        </w:numPr>
        <w:bidi w:val="0"/>
        <w:ind w:hanging="0" w:start="0"/>
        <w:jc w:val="start"/>
        <w:rPr/>
      </w:pPr>
      <w:r>
        <w:rPr/>
        <w:t>5.10 Notifications, moderation and trust</w:t>
      </w:r>
    </w:p>
    <w:p>
      <w:pPr>
        <w:pStyle w:val="BodyText"/>
        <w:numPr>
          <w:ilvl w:val="0"/>
          <w:numId w:val="16"/>
        </w:numPr>
        <w:tabs>
          <w:tab w:val="clear" w:pos="709"/>
          <w:tab w:val="left" w:pos="709" w:leader="none"/>
        </w:tabs>
        <w:bidi w:val="0"/>
        <w:ind w:hanging="283" w:start="709"/>
        <w:jc w:val="start"/>
        <w:rPr/>
      </w:pPr>
      <w:r>
        <w:rPr/>
        <w:t>Multi-channel: push (Firebase), in-app bell, email (SendGrid), SMS (Africa's Talking); 20+ notification types</w:t>
      </w:r>
    </w:p>
    <w:p>
      <w:pPr>
        <w:pStyle w:val="BodyText"/>
        <w:numPr>
          <w:ilvl w:val="0"/>
          <w:numId w:val="16"/>
        </w:numPr>
        <w:tabs>
          <w:tab w:val="clear" w:pos="709"/>
          <w:tab w:val="left" w:pos="709" w:leader="none"/>
        </w:tabs>
        <w:bidi w:val="0"/>
        <w:ind w:hanging="283" w:start="709"/>
        <w:jc w:val="start"/>
        <w:rPr/>
      </w:pPr>
      <w:r>
        <w:rPr/>
        <w:t>Content flagging with auto-flag thresholds (AI-assisted); 3-strikes system (warn → remove → suspend); NSFW detection, profanity filter, health-misinformation flagging</w:t>
      </w:r>
    </w:p>
    <w:p>
      <w:pPr>
        <w:pStyle w:val="BodyText"/>
        <w:numPr>
          <w:ilvl w:val="0"/>
          <w:numId w:val="16"/>
        </w:numPr>
        <w:tabs>
          <w:tab w:val="clear" w:pos="709"/>
          <w:tab w:val="left" w:pos="709" w:leader="none"/>
        </w:tabs>
        <w:bidi w:val="0"/>
        <w:ind w:hanging="283" w:start="709"/>
        <w:jc w:val="start"/>
        <w:rPr/>
      </w:pPr>
      <w:r>
        <w:rPr/>
        <w:t>Human-in-the-loop moderation queue with severity ordering, stats and approve/remove/escalate actions (§6.4)</w:t>
      </w:r>
    </w:p>
    <w:p>
      <w:pPr>
        <w:pStyle w:val="Heading3"/>
        <w:numPr>
          <w:ilvl w:val="0"/>
          <w:numId w:val="0"/>
        </w:numPr>
        <w:bidi w:val="0"/>
        <w:ind w:hanging="0" w:start="0"/>
        <w:jc w:val="start"/>
        <w:rPr/>
      </w:pPr>
      <w:r>
        <w:rPr/>
        <w:t>5.11 AI and intelligence</w:t>
      </w:r>
    </w:p>
    <w:p>
      <w:pPr>
        <w:pStyle w:val="BodyText"/>
        <w:numPr>
          <w:ilvl w:val="0"/>
          <w:numId w:val="17"/>
        </w:numPr>
        <w:tabs>
          <w:tab w:val="clear" w:pos="709"/>
          <w:tab w:val="left" w:pos="709" w:leader="none"/>
        </w:tabs>
        <w:bidi w:val="0"/>
        <w:ind w:hanging="283" w:start="709"/>
        <w:jc w:val="start"/>
        <w:rPr/>
      </w:pPr>
      <w:r>
        <w:rPr/>
        <w:t>AI microservice (FastAPI) with model pipeline for ranking, retrieval, moderation, MLOps and packaging</w:t>
      </w:r>
    </w:p>
    <w:p>
      <w:pPr>
        <w:pStyle w:val="BodyText"/>
        <w:numPr>
          <w:ilvl w:val="0"/>
          <w:numId w:val="17"/>
        </w:numPr>
        <w:tabs>
          <w:tab w:val="clear" w:pos="709"/>
          <w:tab w:val="left" w:pos="709" w:leader="none"/>
        </w:tabs>
        <w:bidi w:val="0"/>
        <w:ind w:hanging="283" w:start="709"/>
        <w:jc w:val="start"/>
        <w:rPr/>
      </w:pPr>
      <w:r>
        <w:rPr/>
        <w:t>Feed ranking: ML + multi-armed bandit (LinUCB) with Redis-backed state; moderation models (NSFW, toxic, spam, misinformation); food recognition; form/health insights (pilot)</w:t>
      </w:r>
    </w:p>
    <w:p>
      <w:pPr>
        <w:pStyle w:val="BodyText"/>
        <w:numPr>
          <w:ilvl w:val="0"/>
          <w:numId w:val="17"/>
        </w:numPr>
        <w:tabs>
          <w:tab w:val="clear" w:pos="709"/>
          <w:tab w:val="left" w:pos="709" w:leader="none"/>
        </w:tabs>
        <w:bidi w:val="0"/>
        <w:ind w:hanging="283" w:start="709"/>
        <w:jc w:val="start"/>
        <w:rPr/>
      </w:pPr>
      <w:r>
        <w:rPr/>
        <w:t>Training notebooks, model cards, DVC stages; model metadata sync and prediction audit</w:t>
      </w:r>
    </w:p>
    <w:p>
      <w:pPr>
        <w:pStyle w:val="BodyText"/>
        <w:numPr>
          <w:ilvl w:val="0"/>
          <w:numId w:val="17"/>
        </w:numPr>
        <w:tabs>
          <w:tab w:val="clear" w:pos="709"/>
          <w:tab w:val="left" w:pos="709" w:leader="none"/>
        </w:tabs>
        <w:bidi w:val="0"/>
        <w:ind w:hanging="283" w:start="709"/>
        <w:jc w:val="start"/>
        <w:rPr/>
      </w:pPr>
      <w:r>
        <w:rPr>
          <w:b/>
        </w:rPr>
        <w:t>Operational uses first:</w:t>
      </w:r>
      <w:r>
        <w:rPr/>
        <w:t xml:space="preserve"> safety triage, discovery/ranking with human oversight, bounded meal/workout suggestions. Form analysis, medical-adjacent recommendations and automated coaching remain controlled pilots.</w:t>
      </w:r>
    </w:p>
    <w:p>
      <w:pPr>
        <w:pStyle w:val="Heading3"/>
        <w:numPr>
          <w:ilvl w:val="0"/>
          <w:numId w:val="0"/>
        </w:numPr>
        <w:bidi w:val="0"/>
        <w:ind w:hanging="0" w:start="0"/>
        <w:jc w:val="start"/>
        <w:rPr/>
      </w:pPr>
      <w:r>
        <w:rPr/>
        <w:t>5.12 Infrastructure</w:t>
      </w:r>
    </w:p>
    <w:p>
      <w:pPr>
        <w:pStyle w:val="BodyText"/>
        <w:numPr>
          <w:ilvl w:val="0"/>
          <w:numId w:val="18"/>
        </w:numPr>
        <w:tabs>
          <w:tab w:val="clear" w:pos="709"/>
          <w:tab w:val="left" w:pos="709" w:leader="none"/>
        </w:tabs>
        <w:bidi w:val="0"/>
        <w:ind w:hanging="283" w:start="709"/>
        <w:jc w:val="start"/>
        <w:rPr/>
      </w:pPr>
      <w:r>
        <w:rPr/>
        <w:t>Docker Compose dev + prod (13 services); CI pipeline (GitHub Actions); Sentry error monitoring; rate limiting at Nginx level; PostgreSQL 16, Redis 7, Celery worker/beat</w:t>
      </w:r>
    </w:p>
    <w:p>
      <w:pPr>
        <w:pStyle w:val="HorizontalLine"/>
        <w:bidi w:val="0"/>
        <w:jc w:val="start"/>
        <w:rPr/>
      </w:pPr>
      <w:r>
        <w:rPr/>
      </w:r>
    </w:p>
    <w:p>
      <w:pPr>
        <w:pStyle w:val="Heading2"/>
        <w:bidi w:val="0"/>
        <w:ind w:hanging="0" w:start="0"/>
        <w:jc w:val="start"/>
        <w:rPr/>
      </w:pPr>
      <w:r>
        <w:rPr/>
        <w:t>6. How the service foundation compounds into packages</w:t>
      </w:r>
    </w:p>
    <w:p>
      <w:pPr>
        <w:pStyle w:val="BodyText"/>
        <w:bidi w:val="0"/>
        <w:jc w:val="start"/>
        <w:rPr/>
      </w:pPr>
      <w:r>
        <w:rPr/>
        <w:t>Bud's defensibility is the compounding connection between identity, social commitment, participation evidence and local supply. A user who joins a gym community, confirms two buddies and attends a live session creates useful context for every later offer—without turning personal data into an advertising product.</w:t>
      </w:r>
    </w:p>
    <w:p>
      <w:pPr>
        <w:pStyle w:val="PreformattedText"/>
        <w:shd w:fill="E1E1E1" w:val="clear"/>
        <w:bidi w:val="0"/>
        <w:spacing w:before="0" w:after="283"/>
        <w:jc w:val="start"/>
        <w:rPr/>
      </w:pPr>
      <w:r>
        <w:rPr/>
        <w:t>Verified identity + consent</w:t>
        <w:br/>
        <w:t xml:space="preserve">          ↓</w:t>
        <w:br/>
        <w:t>Buddy/community relationship → scheduled activity → attendance &amp; streak evidence</w:t>
        <w:br/>
        <w:t xml:space="preserve">          ↓                                      ↓</w:t>
        <w:br/>
        <w:t>Trustworthy coach/gym discovery              retention insight</w:t>
        <w:br/>
        <w:t xml:space="preserve">          ↓                                      ↓</w:t>
        <w:br/>
        <w:t>Bookings and digital programmes  →  partner packages / workplace challenges</w:t>
        <w:br/>
        <w:t xml:space="preserve">          ↓</w:t>
        <w:br/>
        <w:t>Curated commerce and benefit bundles</w:t>
      </w:r>
    </w:p>
    <w:p>
      <w:pPr>
        <w:pStyle w:val="BodyText"/>
        <w:bidi w:val="0"/>
        <w:jc w:val="start"/>
        <w:rPr/>
      </w:pPr>
      <w:r>
        <w:rPr/>
        <w:t>The expansion respects user choice: social and activity data may improve in-product recommendations only under transparent consent; it must never be sold, shared with employers, or used to infer health status.</w:t>
      </w:r>
    </w:p>
    <w:p>
      <w:pPr>
        <w:pStyle w:val="Heading3"/>
        <w:bidi w:val="0"/>
        <w:ind w:hanging="0" w:start="0"/>
        <w:jc w:val="start"/>
        <w:rPr/>
      </w:pPr>
      <w:r>
        <w:rPr/>
        <w:t>6.1 The package ladder</w:t>
      </w:r>
    </w:p>
    <w:p>
      <w:pPr>
        <w:pStyle w:val="BodyText"/>
        <w:bidi w:val="0"/>
        <w:jc w:val="start"/>
        <w:rPr/>
      </w:pPr>
      <w:r>
        <w:rPr/>
        <w:t>Every package below reuses proven platform services—identity, buddy graph, attendance, payments, moderation and messaging. This is why packages are cheap to launch and compounding rather than disconnected features.</w:t>
      </w:r>
    </w:p>
    <w:tbl>
      <w:tblPr>
        <w:tblW w:w="5000" w:type="pct"/>
        <w:jc w:val="start"/>
        <w:tblInd w:w="-5" w:type="dxa"/>
        <w:tblLayout w:type="fixed"/>
        <w:tblCellMar>
          <w:top w:w="55" w:type="dxa"/>
          <w:start w:w="55" w:type="dxa"/>
          <w:bottom w:w="55" w:type="dxa"/>
          <w:end w:w="55" w:type="dxa"/>
        </w:tblCellMar>
      </w:tblPr>
      <w:tblGrid>
        <w:gridCol w:w="2493"/>
        <w:gridCol w:w="2493"/>
        <w:gridCol w:w="2493"/>
        <w:gridCol w:w="2493"/>
      </w:tblGrid>
      <w:tr>
        <w:trPr>
          <w:tblHeader w:val="true"/>
        </w:trPr>
        <w:tc>
          <w:tcPr>
            <w:tcW w:w="2493" w:type="dxa"/>
            <w:tcBorders>
              <w:top w:val="single" w:sz="4" w:space="0" w:color="000000"/>
              <w:start w:val="single" w:sz="4" w:space="0" w:color="000000"/>
              <w:bottom w:val="single" w:sz="4" w:space="0" w:color="000000"/>
            </w:tcBorders>
          </w:tcPr>
          <w:p>
            <w:pPr>
              <w:pStyle w:val="TableHeading"/>
              <w:bidi w:val="0"/>
              <w:jc w:val="start"/>
              <w:rPr/>
            </w:pPr>
            <w:r>
              <w:rPr/>
              <w:t>Package</w:t>
            </w:r>
          </w:p>
        </w:tc>
        <w:tc>
          <w:tcPr>
            <w:tcW w:w="2493" w:type="dxa"/>
            <w:tcBorders>
              <w:top w:val="single" w:sz="4" w:space="0" w:color="000000"/>
              <w:start w:val="single" w:sz="4" w:space="0" w:color="000000"/>
              <w:bottom w:val="single" w:sz="4" w:space="0" w:color="000000"/>
            </w:tcBorders>
          </w:tcPr>
          <w:p>
            <w:pPr>
              <w:pStyle w:val="TableHeading"/>
              <w:bidi w:val="0"/>
              <w:jc w:val="start"/>
              <w:rPr/>
            </w:pPr>
            <w:r>
              <w:rPr/>
              <w:t>Customer and timing</w:t>
            </w:r>
          </w:p>
        </w:tc>
        <w:tc>
          <w:tcPr>
            <w:tcW w:w="2493" w:type="dxa"/>
            <w:tcBorders>
              <w:top w:val="single" w:sz="4" w:space="0" w:color="000000"/>
              <w:start w:val="single" w:sz="4" w:space="0" w:color="000000"/>
              <w:bottom w:val="single" w:sz="4" w:space="0" w:color="000000"/>
            </w:tcBorders>
          </w:tcPr>
          <w:p>
            <w:pPr>
              <w:pStyle w:val="TableHeading"/>
              <w:bidi w:val="0"/>
              <w:jc w:val="start"/>
              <w:rPr/>
            </w:pPr>
            <w:r>
              <w:rPr/>
              <w:t>What it packages</w:t>
            </w:r>
          </w:p>
        </w:tc>
        <w:tc>
          <w:tcPr>
            <w:tcW w:w="249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Why the foundation matters</w:t>
            </w:r>
          </w:p>
        </w:tc>
      </w:tr>
      <w:tr>
        <w:trPr/>
        <w:tc>
          <w:tcPr>
            <w:tcW w:w="2493" w:type="dxa"/>
            <w:tcBorders>
              <w:start w:val="single" w:sz="4" w:space="0" w:color="000000"/>
              <w:bottom w:val="single" w:sz="4" w:space="0" w:color="000000"/>
            </w:tcBorders>
          </w:tcPr>
          <w:p>
            <w:pPr>
              <w:pStyle w:val="TableContents"/>
              <w:bidi w:val="0"/>
              <w:jc w:val="start"/>
              <w:rPr/>
            </w:pPr>
            <w:r>
              <w:rPr>
                <w:b/>
              </w:rPr>
              <w:t>Bud Community</w:t>
            </w:r>
          </w:p>
        </w:tc>
        <w:tc>
          <w:tcPr>
            <w:tcW w:w="2493" w:type="dxa"/>
            <w:tcBorders>
              <w:start w:val="single" w:sz="4" w:space="0" w:color="000000"/>
              <w:bottom w:val="single" w:sz="4" w:space="0" w:color="000000"/>
            </w:tcBorders>
          </w:tcPr>
          <w:p>
            <w:pPr>
              <w:pStyle w:val="TableContents"/>
              <w:bidi w:val="0"/>
              <w:jc w:val="start"/>
              <w:rPr/>
            </w:pPr>
            <w:r>
              <w:rPr/>
              <w:t>Members, launch</w:t>
            </w:r>
          </w:p>
        </w:tc>
        <w:tc>
          <w:tcPr>
            <w:tcW w:w="2493" w:type="dxa"/>
            <w:tcBorders>
              <w:start w:val="single" w:sz="4" w:space="0" w:color="000000"/>
              <w:bottom w:val="single" w:sz="4" w:space="0" w:color="000000"/>
            </w:tcBorders>
          </w:tcPr>
          <w:p>
            <w:pPr>
              <w:pStyle w:val="TableContents"/>
              <w:bidi w:val="0"/>
              <w:jc w:val="start"/>
              <w:rPr/>
            </w:pPr>
            <w:r>
              <w:rPr/>
              <w:t>Buddy relationships, group challenges, events, basic discovery</w:t>
            </w:r>
          </w:p>
        </w:tc>
        <w:tc>
          <w:tcPr>
            <w:tcW w:w="2493" w:type="dxa"/>
            <w:tcBorders>
              <w:start w:val="single" w:sz="4" w:space="0" w:color="000000"/>
              <w:bottom w:val="single" w:sz="4" w:space="0" w:color="000000"/>
              <w:end w:val="single" w:sz="4" w:space="0" w:color="000000"/>
            </w:tcBorders>
          </w:tcPr>
          <w:p>
            <w:pPr>
              <w:pStyle w:val="TableContents"/>
              <w:bidi w:val="0"/>
              <w:jc w:val="start"/>
              <w:rPr/>
            </w:pPr>
            <w:r>
              <w:rPr/>
              <w:t>Establishes the activity graph and repeat habit</w:t>
            </w:r>
          </w:p>
        </w:tc>
      </w:tr>
      <w:tr>
        <w:trPr/>
        <w:tc>
          <w:tcPr>
            <w:tcW w:w="2493" w:type="dxa"/>
            <w:tcBorders>
              <w:start w:val="single" w:sz="4" w:space="0" w:color="000000"/>
              <w:bottom w:val="single" w:sz="4" w:space="0" w:color="000000"/>
            </w:tcBorders>
          </w:tcPr>
          <w:p>
            <w:pPr>
              <w:pStyle w:val="TableContents"/>
              <w:bidi w:val="0"/>
              <w:jc w:val="start"/>
              <w:rPr/>
            </w:pPr>
            <w:r>
              <w:rPr>
                <w:b/>
              </w:rPr>
              <w:t>Coach Launch / Pro</w:t>
            </w:r>
          </w:p>
        </w:tc>
        <w:tc>
          <w:tcPr>
            <w:tcW w:w="2493" w:type="dxa"/>
            <w:tcBorders>
              <w:start w:val="single" w:sz="4" w:space="0" w:color="000000"/>
              <w:bottom w:val="single" w:sz="4" w:space="0" w:color="000000"/>
            </w:tcBorders>
          </w:tcPr>
          <w:p>
            <w:pPr>
              <w:pStyle w:val="TableContents"/>
              <w:bidi w:val="0"/>
              <w:jc w:val="start"/>
              <w:rPr/>
            </w:pPr>
            <w:r>
              <w:rPr/>
              <w:t>Coaches, months 3–9</w:t>
            </w:r>
          </w:p>
        </w:tc>
        <w:tc>
          <w:tcPr>
            <w:tcW w:w="2493" w:type="dxa"/>
            <w:tcBorders>
              <w:start w:val="single" w:sz="4" w:space="0" w:color="000000"/>
              <w:bottom w:val="single" w:sz="4" w:space="0" w:color="000000"/>
            </w:tcBorders>
          </w:tcPr>
          <w:p>
            <w:pPr>
              <w:pStyle w:val="TableContents"/>
              <w:bidi w:val="0"/>
              <w:jc w:val="start"/>
              <w:rPr/>
            </w:pPr>
            <w:r>
              <w:rPr/>
              <w:t>Booking, payments, programmes, client community, analytics</w:t>
            </w:r>
          </w:p>
        </w:tc>
        <w:tc>
          <w:tcPr>
            <w:tcW w:w="2493" w:type="dxa"/>
            <w:tcBorders>
              <w:start w:val="single" w:sz="4" w:space="0" w:color="000000"/>
              <w:bottom w:val="single" w:sz="4" w:space="0" w:color="000000"/>
              <w:end w:val="single" w:sz="4" w:space="0" w:color="000000"/>
            </w:tcBorders>
          </w:tcPr>
          <w:p>
            <w:pPr>
              <w:pStyle w:val="TableContents"/>
              <w:bidi w:val="0"/>
              <w:jc w:val="start"/>
              <w:rPr/>
            </w:pPr>
            <w:r>
              <w:rPr/>
              <w:t>Uses verified identity, chat and attendance as a lightweight operating system</w:t>
            </w:r>
          </w:p>
        </w:tc>
      </w:tr>
      <w:tr>
        <w:trPr/>
        <w:tc>
          <w:tcPr>
            <w:tcW w:w="2493" w:type="dxa"/>
            <w:tcBorders>
              <w:start w:val="single" w:sz="4" w:space="0" w:color="000000"/>
              <w:bottom w:val="single" w:sz="4" w:space="0" w:color="000000"/>
            </w:tcBorders>
          </w:tcPr>
          <w:p>
            <w:pPr>
              <w:pStyle w:val="TableContents"/>
              <w:bidi w:val="0"/>
              <w:jc w:val="start"/>
              <w:rPr/>
            </w:pPr>
            <w:r>
              <w:rPr>
                <w:b/>
              </w:rPr>
              <w:t>Gym Core / Growth</w:t>
            </w:r>
          </w:p>
        </w:tc>
        <w:tc>
          <w:tcPr>
            <w:tcW w:w="2493" w:type="dxa"/>
            <w:tcBorders>
              <w:start w:val="single" w:sz="4" w:space="0" w:color="000000"/>
              <w:bottom w:val="single" w:sz="4" w:space="0" w:color="000000"/>
            </w:tcBorders>
          </w:tcPr>
          <w:p>
            <w:pPr>
              <w:pStyle w:val="TableContents"/>
              <w:bidi w:val="0"/>
              <w:jc w:val="start"/>
              <w:rPr/>
            </w:pPr>
            <w:r>
              <w:rPr/>
              <w:t>Gyms, months 3–12</w:t>
            </w:r>
          </w:p>
        </w:tc>
        <w:tc>
          <w:tcPr>
            <w:tcW w:w="2493" w:type="dxa"/>
            <w:tcBorders>
              <w:start w:val="single" w:sz="4" w:space="0" w:color="000000"/>
              <w:bottom w:val="single" w:sz="4" w:space="0" w:color="000000"/>
            </w:tcBorders>
          </w:tcPr>
          <w:p>
            <w:pPr>
              <w:pStyle w:val="TableContents"/>
              <w:bidi w:val="0"/>
              <w:jc w:val="start"/>
              <w:rPr/>
            </w:pPr>
            <w:r>
              <w:rPr/>
              <w:t>Branded community, class/events, check-in, messaging, member offers, retention insights</w:t>
            </w:r>
          </w:p>
        </w:tc>
        <w:tc>
          <w:tcPr>
            <w:tcW w:w="2493" w:type="dxa"/>
            <w:tcBorders>
              <w:start w:val="single" w:sz="4" w:space="0" w:color="000000"/>
              <w:bottom w:val="single" w:sz="4" w:space="0" w:color="000000"/>
              <w:end w:val="single" w:sz="4" w:space="0" w:color="000000"/>
            </w:tcBorders>
          </w:tcPr>
          <w:p>
            <w:pPr>
              <w:pStyle w:val="TableContents"/>
              <w:bidi w:val="0"/>
              <w:jc w:val="start"/>
              <w:rPr/>
            </w:pPr>
            <w:r>
              <w:rPr/>
              <w:t>Converts a venue into an always-on member relationship</w:t>
            </w:r>
          </w:p>
        </w:tc>
      </w:tr>
      <w:tr>
        <w:trPr/>
        <w:tc>
          <w:tcPr>
            <w:tcW w:w="2493" w:type="dxa"/>
            <w:tcBorders>
              <w:start w:val="single" w:sz="4" w:space="0" w:color="000000"/>
              <w:bottom w:val="single" w:sz="4" w:space="0" w:color="000000"/>
            </w:tcBorders>
          </w:tcPr>
          <w:p>
            <w:pPr>
              <w:pStyle w:val="TableContents"/>
              <w:bidi w:val="0"/>
              <w:jc w:val="start"/>
              <w:rPr/>
            </w:pPr>
            <w:r>
              <w:rPr>
                <w:b/>
              </w:rPr>
              <w:t>Digital Transformation Bundle</w:t>
            </w:r>
          </w:p>
        </w:tc>
        <w:tc>
          <w:tcPr>
            <w:tcW w:w="2493" w:type="dxa"/>
            <w:tcBorders>
              <w:start w:val="single" w:sz="4" w:space="0" w:color="000000"/>
              <w:bottom w:val="single" w:sz="4" w:space="0" w:color="000000"/>
            </w:tcBorders>
          </w:tcPr>
          <w:p>
            <w:pPr>
              <w:pStyle w:val="TableContents"/>
              <w:bidi w:val="0"/>
              <w:jc w:val="start"/>
              <w:rPr/>
            </w:pPr>
            <w:r>
              <w:rPr/>
              <w:t>Members + coaches, months 6–12</w:t>
            </w:r>
          </w:p>
        </w:tc>
        <w:tc>
          <w:tcPr>
            <w:tcW w:w="2493" w:type="dxa"/>
            <w:tcBorders>
              <w:start w:val="single" w:sz="4" w:space="0" w:color="000000"/>
              <w:bottom w:val="single" w:sz="4" w:space="0" w:color="000000"/>
            </w:tcBorders>
          </w:tcPr>
          <w:p>
            <w:pPr>
              <w:pStyle w:val="TableContents"/>
              <w:bidi w:val="0"/>
              <w:jc w:val="start"/>
              <w:rPr/>
            </w:pPr>
            <w:r>
              <w:rPr/>
              <w:t>Structured programme, scheduled group sessions, coach check-ins, accountability cohort</w:t>
            </w:r>
          </w:p>
        </w:tc>
        <w:tc>
          <w:tcPr>
            <w:tcW w:w="2493" w:type="dxa"/>
            <w:tcBorders>
              <w:start w:val="single" w:sz="4" w:space="0" w:color="000000"/>
              <w:bottom w:val="single" w:sz="4" w:space="0" w:color="000000"/>
              <w:end w:val="single" w:sz="4" w:space="0" w:color="000000"/>
            </w:tcBorders>
          </w:tcPr>
          <w:p>
            <w:pPr>
              <w:pStyle w:val="TableContents"/>
              <w:bidi w:val="0"/>
              <w:jc w:val="start"/>
              <w:rPr/>
            </w:pPr>
            <w:r>
              <w:rPr/>
              <w:t>Bundles separately proven services into a higher-LTV outcome product</w:t>
            </w:r>
          </w:p>
        </w:tc>
      </w:tr>
      <w:tr>
        <w:trPr/>
        <w:tc>
          <w:tcPr>
            <w:tcW w:w="2493" w:type="dxa"/>
            <w:tcBorders>
              <w:start w:val="single" w:sz="4" w:space="0" w:color="000000"/>
              <w:bottom w:val="single" w:sz="4" w:space="0" w:color="000000"/>
            </w:tcBorders>
          </w:tcPr>
          <w:p>
            <w:pPr>
              <w:pStyle w:val="TableContents"/>
              <w:bidi w:val="0"/>
              <w:jc w:val="start"/>
              <w:rPr/>
            </w:pPr>
            <w:r>
              <w:rPr>
                <w:b/>
              </w:rPr>
              <w:t>Workplace Wellness</w:t>
            </w:r>
          </w:p>
        </w:tc>
        <w:tc>
          <w:tcPr>
            <w:tcW w:w="2493" w:type="dxa"/>
            <w:tcBorders>
              <w:start w:val="single" w:sz="4" w:space="0" w:color="000000"/>
              <w:bottom w:val="single" w:sz="4" w:space="0" w:color="000000"/>
            </w:tcBorders>
          </w:tcPr>
          <w:p>
            <w:pPr>
              <w:pStyle w:val="TableContents"/>
              <w:bidi w:val="0"/>
              <w:jc w:val="start"/>
              <w:rPr/>
            </w:pPr>
            <w:r>
              <w:rPr/>
              <w:t>Employers, year 2</w:t>
            </w:r>
          </w:p>
        </w:tc>
        <w:tc>
          <w:tcPr>
            <w:tcW w:w="2493" w:type="dxa"/>
            <w:tcBorders>
              <w:start w:val="single" w:sz="4" w:space="0" w:color="000000"/>
              <w:bottom w:val="single" w:sz="4" w:space="0" w:color="000000"/>
            </w:tcBorders>
          </w:tcPr>
          <w:p>
            <w:pPr>
              <w:pStyle w:val="TableContents"/>
              <w:bidi w:val="0"/>
              <w:jc w:val="start"/>
              <w:rPr/>
            </w:pPr>
            <w:r>
              <w:rPr/>
              <w:t>Opt-in teams, challenges, partner benefits, anonymised aggregate engagement reporting</w:t>
            </w:r>
          </w:p>
        </w:tc>
        <w:tc>
          <w:tcPr>
            <w:tcW w:w="2493" w:type="dxa"/>
            <w:tcBorders>
              <w:start w:val="single" w:sz="4" w:space="0" w:color="000000"/>
              <w:bottom w:val="single" w:sz="4" w:space="0" w:color="000000"/>
              <w:end w:val="single" w:sz="4" w:space="0" w:color="000000"/>
            </w:tcBorders>
          </w:tcPr>
          <w:p>
            <w:pPr>
              <w:pStyle w:val="TableContents"/>
              <w:bidi w:val="0"/>
              <w:jc w:val="start"/>
              <w:rPr/>
            </w:pPr>
            <w:r>
              <w:rPr/>
              <w:t>Reuses groups, partners and event mechanics while preserving employee privacy</w:t>
            </w:r>
          </w:p>
        </w:tc>
      </w:tr>
      <w:tr>
        <w:trPr/>
        <w:tc>
          <w:tcPr>
            <w:tcW w:w="2493" w:type="dxa"/>
            <w:tcBorders>
              <w:start w:val="single" w:sz="4" w:space="0" w:color="000000"/>
              <w:bottom w:val="single" w:sz="4" w:space="0" w:color="000000"/>
            </w:tcBorders>
          </w:tcPr>
          <w:p>
            <w:pPr>
              <w:pStyle w:val="TableContents"/>
              <w:bidi w:val="0"/>
              <w:jc w:val="start"/>
              <w:rPr/>
            </w:pPr>
            <w:r>
              <w:rPr>
                <w:b/>
              </w:rPr>
              <w:t>Local wellness benefits</w:t>
            </w:r>
          </w:p>
        </w:tc>
        <w:tc>
          <w:tcPr>
            <w:tcW w:w="2493" w:type="dxa"/>
            <w:tcBorders>
              <w:start w:val="single" w:sz="4" w:space="0" w:color="000000"/>
              <w:bottom w:val="single" w:sz="4" w:space="0" w:color="000000"/>
            </w:tcBorders>
          </w:tcPr>
          <w:p>
            <w:pPr>
              <w:pStyle w:val="TableContents"/>
              <w:bidi w:val="0"/>
              <w:jc w:val="start"/>
              <w:rPr/>
            </w:pPr>
            <w:r>
              <w:rPr/>
              <w:t>Partners, year 2</w:t>
            </w:r>
          </w:p>
        </w:tc>
        <w:tc>
          <w:tcPr>
            <w:tcW w:w="2493" w:type="dxa"/>
            <w:tcBorders>
              <w:start w:val="single" w:sz="4" w:space="0" w:color="000000"/>
              <w:bottom w:val="single" w:sz="4" w:space="0" w:color="000000"/>
            </w:tcBorders>
          </w:tcPr>
          <w:p>
            <w:pPr>
              <w:pStyle w:val="TableContents"/>
              <w:bidi w:val="0"/>
              <w:jc w:val="start"/>
              <w:rPr/>
            </w:pPr>
            <w:r>
              <w:rPr/>
              <w:t>Curated goods, nutrition/physio referrals, member discounts</w:t>
            </w:r>
          </w:p>
        </w:tc>
        <w:tc>
          <w:tcPr>
            <w:tcW w:w="2493" w:type="dxa"/>
            <w:tcBorders>
              <w:start w:val="single" w:sz="4" w:space="0" w:color="000000"/>
              <w:bottom w:val="single" w:sz="4" w:space="0" w:color="000000"/>
              <w:end w:val="single" w:sz="4" w:space="0" w:color="000000"/>
            </w:tcBorders>
          </w:tcPr>
          <w:p>
            <w:pPr>
              <w:pStyle w:val="TableContents"/>
              <w:bidi w:val="0"/>
              <w:jc w:val="start"/>
              <w:rPr/>
            </w:pPr>
            <w:r>
              <w:rPr/>
              <w:t>Builds only after verified supply, fulfilment rules and clear consumer trust</w:t>
            </w:r>
          </w:p>
        </w:tc>
      </w:tr>
      <w:tr>
        <w:trPr/>
        <w:tc>
          <w:tcPr>
            <w:tcW w:w="2493" w:type="dxa"/>
            <w:tcBorders>
              <w:start w:val="single" w:sz="4" w:space="0" w:color="000000"/>
              <w:bottom w:val="single" w:sz="4" w:space="0" w:color="000000"/>
            </w:tcBorders>
          </w:tcPr>
          <w:p>
            <w:pPr>
              <w:pStyle w:val="TableContents"/>
              <w:bidi w:val="0"/>
              <w:jc w:val="start"/>
              <w:rPr/>
            </w:pPr>
            <w:r>
              <w:rPr>
                <w:b/>
              </w:rPr>
              <w:t>Platform/API integrations</w:t>
            </w:r>
          </w:p>
        </w:tc>
        <w:tc>
          <w:tcPr>
            <w:tcW w:w="2493" w:type="dxa"/>
            <w:tcBorders>
              <w:start w:val="single" w:sz="4" w:space="0" w:color="000000"/>
              <w:bottom w:val="single" w:sz="4" w:space="0" w:color="000000"/>
            </w:tcBorders>
          </w:tcPr>
          <w:p>
            <w:pPr>
              <w:pStyle w:val="TableContents"/>
              <w:bidi w:val="0"/>
              <w:jc w:val="start"/>
              <w:rPr/>
            </w:pPr>
            <w:r>
              <w:rPr/>
              <w:t>Larger gyms and ecosystem partners, year 3</w:t>
            </w:r>
          </w:p>
        </w:tc>
        <w:tc>
          <w:tcPr>
            <w:tcW w:w="2493" w:type="dxa"/>
            <w:tcBorders>
              <w:start w:val="single" w:sz="4" w:space="0" w:color="000000"/>
              <w:bottom w:val="single" w:sz="4" w:space="0" w:color="000000"/>
            </w:tcBorders>
          </w:tcPr>
          <w:p>
            <w:pPr>
              <w:pStyle w:val="TableContents"/>
              <w:bidi w:val="0"/>
              <w:jc w:val="start"/>
              <w:rPr/>
            </w:pPr>
            <w:r>
              <w:rPr/>
              <w:t>Membership/check-in and wearable integrations</w:t>
            </w:r>
          </w:p>
        </w:tc>
        <w:tc>
          <w:tcPr>
            <w:tcW w:w="2493" w:type="dxa"/>
            <w:tcBorders>
              <w:start w:val="single" w:sz="4" w:space="0" w:color="000000"/>
              <w:bottom w:val="single" w:sz="4" w:space="0" w:color="000000"/>
              <w:end w:val="single" w:sz="4" w:space="0" w:color="000000"/>
            </w:tcBorders>
          </w:tcPr>
          <w:p>
            <w:pPr>
              <w:pStyle w:val="TableContents"/>
              <w:bidi w:val="0"/>
              <w:jc w:val="start"/>
              <w:rPr/>
            </w:pPr>
            <w:r>
              <w:rPr/>
              <w:t>Requires stable identity, consent, partner data model and support capability</w:t>
            </w:r>
          </w:p>
        </w:tc>
      </w:tr>
    </w:tbl>
    <w:p>
      <w:pPr>
        <w:pStyle w:val="BodyText"/>
        <w:bidi w:val="0"/>
        <w:jc w:val="start"/>
        <w:rPr/>
      </w:pPr>
      <w:r>
        <w:rPr/>
      </w:r>
    </w:p>
    <w:p>
      <w:pPr>
        <w:pStyle w:val="Heading3"/>
        <w:bidi w:val="0"/>
        <w:ind w:hanging="0" w:start="0"/>
        <w:jc w:val="start"/>
        <w:rPr/>
      </w:pPr>
      <w:r>
        <w:rPr/>
        <w:t>6.2 Services → packages → new services (recursive growth)</w:t>
      </w:r>
    </w:p>
    <w:p>
      <w:pPr>
        <w:pStyle w:val="BodyText"/>
        <w:bidi w:val="0"/>
        <w:jc w:val="start"/>
        <w:rPr/>
      </w:pPr>
      <w:r>
        <w:rPr/>
        <w:t>The service catalog and package ladder feed each other in a loop that opens new service markets:</w:t>
      </w:r>
    </w:p>
    <w:p>
      <w:pPr>
        <w:pStyle w:val="BodyText"/>
        <w:numPr>
          <w:ilvl w:val="0"/>
          <w:numId w:val="19"/>
        </w:numPr>
        <w:tabs>
          <w:tab w:val="clear" w:pos="709"/>
          <w:tab w:val="left" w:pos="709" w:leader="none"/>
        </w:tabs>
        <w:bidi w:val="0"/>
        <w:ind w:hanging="283" w:start="709"/>
        <w:jc w:val="start"/>
        <w:rPr/>
      </w:pPr>
      <w:r>
        <w:rPr>
          <w:b/>
        </w:rPr>
        <w:t>Bud Community</w:t>
      </w:r>
      <w:r>
        <w:rPr/>
        <w:t xml:space="preserve"> (social graph + attendance data) → enables </w:t>
      </w:r>
      <w:r>
        <w:rPr>
          <w:b/>
        </w:rPr>
        <w:t>Gym Growth</w:t>
      </w:r>
      <w:r>
        <w:rPr/>
        <w:t xml:space="preserve"> (retention insight) and </w:t>
      </w:r>
      <w:r>
        <w:rPr>
          <w:b/>
        </w:rPr>
        <w:t>Coach Pro</w:t>
      </w:r>
      <w:r>
        <w:rPr/>
        <w:t xml:space="preserve"> (client ops).</w:t>
      </w:r>
    </w:p>
    <w:p>
      <w:pPr>
        <w:pStyle w:val="BodyText"/>
        <w:numPr>
          <w:ilvl w:val="0"/>
          <w:numId w:val="19"/>
        </w:numPr>
        <w:tabs>
          <w:tab w:val="clear" w:pos="709"/>
          <w:tab w:val="left" w:pos="709" w:leader="none"/>
        </w:tabs>
        <w:bidi w:val="0"/>
        <w:ind w:hanging="283" w:start="709"/>
        <w:jc w:val="start"/>
        <w:rPr/>
      </w:pPr>
      <w:r>
        <w:rPr>
          <w:b/>
        </w:rPr>
        <w:t>Gym Growth/Coach Pro</w:t>
      </w:r>
      <w:r>
        <w:rPr/>
        <w:t xml:space="preserve"> (partner operating data) → enables </w:t>
      </w:r>
      <w:r>
        <w:rPr>
          <w:b/>
        </w:rPr>
        <w:t>Digital Transformation Bundle</w:t>
      </w:r>
      <w:r>
        <w:rPr/>
        <w:t xml:space="preserve"> (outcome-selling) and </w:t>
      </w:r>
      <w:r>
        <w:rPr>
          <w:b/>
        </w:rPr>
        <w:t>Workplace</w:t>
      </w:r>
      <w:r>
        <w:rPr/>
        <w:t xml:space="preserve"> (employer contracts).</w:t>
      </w:r>
    </w:p>
    <w:p>
      <w:pPr>
        <w:pStyle w:val="BodyText"/>
        <w:numPr>
          <w:ilvl w:val="0"/>
          <w:numId w:val="19"/>
        </w:numPr>
        <w:tabs>
          <w:tab w:val="clear" w:pos="709"/>
          <w:tab w:val="left" w:pos="709" w:leader="none"/>
        </w:tabs>
        <w:bidi w:val="0"/>
        <w:ind w:hanging="283" w:start="709"/>
        <w:jc w:val="start"/>
        <w:rPr/>
      </w:pPr>
      <w:r>
        <w:rPr>
          <w:b/>
        </w:rPr>
        <w:t>Workplace + partner data</w:t>
      </w:r>
      <w:r>
        <w:rPr/>
        <w:t xml:space="preserve"> (aggregate, consented) → enables </w:t>
      </w:r>
      <w:r>
        <w:rPr>
          <w:b/>
        </w:rPr>
        <w:t>Local wellness benefits</w:t>
      </w:r>
      <w:r>
        <w:rPr/>
        <w:t xml:space="preserve"> and </w:t>
      </w:r>
      <w:r>
        <w:rPr>
          <w:b/>
        </w:rPr>
        <w:t>curated commerce</w:t>
      </w:r>
      <w:r>
        <w:rPr/>
        <w:t xml:space="preserve"> (supply-quality-gated).</w:t>
      </w:r>
    </w:p>
    <w:p>
      <w:pPr>
        <w:pStyle w:val="BodyText"/>
        <w:numPr>
          <w:ilvl w:val="0"/>
          <w:numId w:val="19"/>
        </w:numPr>
        <w:tabs>
          <w:tab w:val="clear" w:pos="709"/>
          <w:tab w:val="left" w:pos="709" w:leader="none"/>
        </w:tabs>
        <w:bidi w:val="0"/>
        <w:ind w:hanging="283" w:start="709"/>
        <w:jc w:val="start"/>
        <w:rPr/>
      </w:pPr>
      <w:r>
        <w:rPr>
          <w:b/>
        </w:rPr>
        <w:t>Curated commerce + supply data</w:t>
      </w:r>
      <w:r>
        <w:rPr/>
        <w:t xml:space="preserve"> → enables </w:t>
      </w:r>
      <w:r>
        <w:rPr>
          <w:b/>
        </w:rPr>
        <w:t>Platform/API integrations</w:t>
      </w:r>
      <w:r>
        <w:rPr/>
        <w:t xml:space="preserve"> (ecosystem reach) and, in H2/H3, </w:t>
      </w:r>
      <w:r>
        <w:rPr>
          <w:b/>
        </w:rPr>
        <w:t>Pan-African and global expansion</w:t>
      </w:r>
      <w:r>
        <w:rPr/>
        <w:t xml:space="preserve"> where the same ladder replays in each country.</w:t>
      </w:r>
    </w:p>
    <w:p>
      <w:pPr>
        <w:pStyle w:val="BodyText"/>
        <w:bidi w:val="0"/>
        <w:jc w:val="start"/>
        <w:rPr/>
      </w:pPr>
      <w:r>
        <w:rPr/>
        <w:t>Each rung requires the trust, identity, payments and moderation foundation of the rung below it. This is the structural reason the business can add packages without building new platforms—the services are already in the catalog (§5).</w:t>
      </w:r>
    </w:p>
    <w:p>
      <w:pPr>
        <w:pStyle w:val="Heading3"/>
        <w:bidi w:val="0"/>
        <w:ind w:hanging="0" w:start="0"/>
        <w:jc w:val="start"/>
        <w:rPr/>
      </w:pPr>
      <w:r>
        <w:rPr/>
        <w:t>6.3 The core loop (north-star mechanism)</w:t>
      </w:r>
    </w:p>
    <w:p>
      <w:pPr>
        <w:pStyle w:val="PreformattedText"/>
        <w:shd w:fill="E1E1E1" w:val="clear"/>
        <w:bidi w:val="0"/>
        <w:spacing w:before="0" w:after="283"/>
        <w:jc w:val="start"/>
        <w:rPr/>
      </w:pPr>
      <w:r>
        <w:rPr/>
        <w:t>Join a trusted local community</w:t>
        <w:br/>
        <w:t xml:space="preserve">        ↓</w:t>
        <w:br/>
        <w:t>Confirm two Bud connections</w:t>
        <w:br/>
        <w:t xml:space="preserve">        ↓</w:t>
        <w:br/>
        <w:t>Plan or book an activity</w:t>
        <w:br/>
        <w:t xml:space="preserve">        ↓</w:t>
        <w:br/>
        <w:t>Attend, check in and encourage one another</w:t>
        <w:br/>
        <w:t xml:space="preserve">        ↓</w:t>
        <w:br/>
        <w:t>Earn a streak/reputation and plan again</w:t>
      </w:r>
    </w:p>
    <w:p>
      <w:pPr>
        <w:pStyle w:val="BodyText"/>
        <w:bidi w:val="0"/>
        <w:jc w:val="start"/>
        <w:rPr/>
      </w:pPr>
      <w:r>
        <w:rPr/>
        <w:t>Every product and commercial decision strengthens this loop. A user who watches content but does not form a relationship, make a plan or attend is not yet receiving Bud's core value.</w:t>
      </w:r>
    </w:p>
    <w:p>
      <w:pPr>
        <w:pStyle w:val="Heading3"/>
        <w:bidi w:val="0"/>
        <w:ind w:hanging="0" w:start="0"/>
        <w:jc w:val="start"/>
        <w:rPr/>
      </w:pPr>
      <w:r>
        <w:rPr/>
        <w:t>6.4 AI as an enabling service for packages</w:t>
      </w:r>
    </w:p>
    <w:p>
      <w:pPr>
        <w:pStyle w:val="BodyText"/>
        <w:bidi w:val="0"/>
        <w:jc w:val="start"/>
        <w:rPr/>
      </w:pPr>
      <w:r>
        <w:rPr/>
        <w:t>AI is an operational input to the packages, not a feature catalogue. Three deployments matter most:</w:t>
      </w:r>
    </w:p>
    <w:p>
      <w:pPr>
        <w:pStyle w:val="BodyText"/>
        <w:numPr>
          <w:ilvl w:val="0"/>
          <w:numId w:val="20"/>
        </w:numPr>
        <w:tabs>
          <w:tab w:val="clear" w:pos="709"/>
          <w:tab w:val="left" w:pos="709" w:leader="none"/>
        </w:tabs>
        <w:bidi w:val="0"/>
        <w:ind w:hanging="283" w:start="709"/>
        <w:jc w:val="start"/>
        <w:rPr/>
      </w:pPr>
      <w:r>
        <w:rPr>
          <w:b/>
        </w:rPr>
        <w:t>Safety triage</w:t>
      </w:r>
      <w:r>
        <w:rPr/>
        <w:t xml:space="preserve"> (NSFW, toxic, spam, misinformation) feeds the moderation queue that underpins every community package.</w:t>
      </w:r>
    </w:p>
    <w:p>
      <w:pPr>
        <w:pStyle w:val="BodyText"/>
        <w:numPr>
          <w:ilvl w:val="0"/>
          <w:numId w:val="20"/>
        </w:numPr>
        <w:tabs>
          <w:tab w:val="clear" w:pos="709"/>
          <w:tab w:val="left" w:pos="709" w:leader="none"/>
        </w:tabs>
        <w:bidi w:val="0"/>
        <w:ind w:hanging="283" w:start="709"/>
        <w:jc w:val="start"/>
        <w:rPr/>
      </w:pPr>
      <w:r>
        <w:rPr>
          <w:b/>
        </w:rPr>
        <w:t>Discovery/ranking</w:t>
      </w:r>
      <w:r>
        <w:rPr/>
        <w:t xml:space="preserve"> (ML + multi-armed bandit with human oversight) powers For You feeds and coach/gym recommendation inside Bud Community and Coach Pro.</w:t>
      </w:r>
    </w:p>
    <w:p>
      <w:pPr>
        <w:pStyle w:val="BodyText"/>
        <w:numPr>
          <w:ilvl w:val="0"/>
          <w:numId w:val="20"/>
        </w:numPr>
        <w:tabs>
          <w:tab w:val="clear" w:pos="709"/>
          <w:tab w:val="left" w:pos="709" w:leader="none"/>
        </w:tabs>
        <w:bidi w:val="0"/>
        <w:ind w:hanging="283" w:start="709"/>
        <w:jc w:val="start"/>
        <w:rPr/>
      </w:pPr>
      <w:r>
        <w:rPr>
          <w:b/>
        </w:rPr>
        <w:t>Bounded meal/workout suggestions</w:t>
      </w:r>
      <w:r>
        <w:rPr/>
        <w:t xml:space="preserve"> with explicit limitations, correction/escalation paths, and never as the sole basis for health or safety decisions.</w:t>
      </w:r>
    </w:p>
    <w:p>
      <w:pPr>
        <w:pStyle w:val="BodyText"/>
        <w:bidi w:val="0"/>
        <w:jc w:val="start"/>
        <w:rPr/>
      </w:pPr>
      <w:r>
        <w:rPr/>
        <w:t>All AI outputs carry limitations and escalation controls; accuracy, fairness, consent and cost are monitored per model (§11).</w:t>
      </w:r>
    </w:p>
    <w:p>
      <w:pPr>
        <w:pStyle w:val="HorizontalLine"/>
        <w:bidi w:val="0"/>
        <w:jc w:val="start"/>
        <w:rPr/>
      </w:pPr>
      <w:r>
        <w:rPr/>
      </w:r>
    </w:p>
    <w:p>
      <w:pPr>
        <w:pStyle w:val="Heading2"/>
        <w:bidi w:val="0"/>
        <w:ind w:hanging="0" w:start="0"/>
        <w:jc w:val="start"/>
        <w:rPr/>
      </w:pPr>
      <w:r>
        <w:rPr/>
        <w:t>7. Market analysis: Kenya → Pan-Africa → Global</w:t>
      </w:r>
    </w:p>
    <w:p>
      <w:pPr>
        <w:pStyle w:val="Heading3"/>
        <w:bidi w:val="0"/>
        <w:ind w:hanging="0" w:start="0"/>
        <w:jc w:val="start"/>
        <w:rPr/>
      </w:pPr>
      <w:r>
        <w:rPr/>
        <w:t>7.1 Horizon 1 — Kenya beachhead (Nairobi first)</w:t>
      </w:r>
    </w:p>
    <w:p>
      <w:pPr>
        <w:pStyle w:val="BodyText"/>
        <w:bidi w:val="0"/>
        <w:jc w:val="start"/>
        <w:rPr/>
      </w:pPr>
      <w:r>
        <w:rPr/>
        <w:t xml:space="preserve">Kenya is a sensible beachhead because the core behavioural moments—messaging, mobile payments and community coordination—already happen on the phone. The Communications Authority reported </w:t>
      </w:r>
      <w:r>
        <w:rPr>
          <w:b/>
        </w:rPr>
        <w:t>83.5% smartphone penetration by June 2025</w:t>
      </w:r>
      <w:r>
        <w:rPr/>
        <w:t xml:space="preserve"> and 76.16 million SIM subscriptions in the March 2025 quarter. </w:t>
      </w:r>
      <w:hyperlink r:id="rId3">
        <w:r>
          <w:rPr>
            <w:rStyle w:val="Hyperlink"/>
          </w:rPr>
          <w:t>Communications Authority of Kenya</w:t>
        </w:r>
      </w:hyperlink>
      <w:r>
        <w:rPr/>
        <w:t xml:space="preserve"> These are distribution enablers, not proof of willingness to pay; price, connectivity and trust still shape adoption.</w:t>
      </w:r>
    </w:p>
    <w:p>
      <w:pPr>
        <w:pStyle w:val="BodyText"/>
        <w:bidi w:val="0"/>
        <w:jc w:val="start"/>
        <w:rPr/>
      </w:pPr>
      <w:r>
        <w:rPr/>
        <w:t xml:space="preserve">Payments must be locally native. Safaricom reported KSh </w:t>
      </w:r>
      <w:r>
        <w:rPr>
          <w:b/>
        </w:rPr>
        <w:t>38.29 trillion</w:t>
      </w:r>
      <w:r>
        <w:rPr/>
        <w:t xml:space="preserve"> in M-PESA transaction value for FY2025 and 15.2% M-PESA revenue growth—evidence that small, routine digital transactions are familiar. </w:t>
      </w:r>
      <w:hyperlink r:id="rId4">
        <w:r>
          <w:rPr>
            <w:rStyle w:val="Hyperlink"/>
          </w:rPr>
          <w:t>Safaricom FY2025 results</w:t>
        </w:r>
      </w:hyperlink>
      <w:r>
        <w:rPr/>
        <w:t xml:space="preserve"> Bud leads with M-PESA and card flows and does not require a proprietary currency as an additional step.</w:t>
      </w:r>
    </w:p>
    <w:p>
      <w:pPr>
        <w:pStyle w:val="BodyText"/>
        <w:bidi w:val="0"/>
        <w:jc w:val="start"/>
        <w:rPr/>
      </w:pPr>
      <w:r>
        <w:rPr/>
        <w:t>The initial target is not "all Kenyans." It is smartphone-owning adults in Nairobi (then Mombasa, Kisumu and selected university/office clusters) with exercise or wellness intent who need accountability or better access. Supply wedge: independent coaches, boutique studios, gyms with active WhatsApp communities, run clubs and fitness creators.</w:t>
      </w:r>
    </w:p>
    <w:p>
      <w:pPr>
        <w:pStyle w:val="Heading4"/>
        <w:bidi w:val="0"/>
        <w:ind w:hanging="0" w:start="0"/>
        <w:jc w:val="start"/>
        <w:rPr/>
      </w:pPr>
      <w:r>
        <w:rPr/>
        <w:t>Segmentation (H1)</w:t>
      </w:r>
    </w:p>
    <w:tbl>
      <w:tblPr>
        <w:tblW w:w="5000" w:type="pct"/>
        <w:jc w:val="start"/>
        <w:tblInd w:w="-5" w:type="dxa"/>
        <w:tblLayout w:type="fixed"/>
        <w:tblCellMar>
          <w:top w:w="55" w:type="dxa"/>
          <w:start w:w="55" w:type="dxa"/>
          <w:bottom w:w="55" w:type="dxa"/>
          <w:end w:w="55" w:type="dxa"/>
        </w:tblCellMar>
      </w:tblPr>
      <w:tblGrid>
        <w:gridCol w:w="2493"/>
        <w:gridCol w:w="2493"/>
        <w:gridCol w:w="2493"/>
        <w:gridCol w:w="2493"/>
      </w:tblGrid>
      <w:tr>
        <w:trPr>
          <w:tblHeader w:val="true"/>
        </w:trPr>
        <w:tc>
          <w:tcPr>
            <w:tcW w:w="2493" w:type="dxa"/>
            <w:tcBorders>
              <w:top w:val="single" w:sz="4" w:space="0" w:color="000000"/>
              <w:start w:val="single" w:sz="4" w:space="0" w:color="000000"/>
              <w:bottom w:val="single" w:sz="4" w:space="0" w:color="000000"/>
            </w:tcBorders>
          </w:tcPr>
          <w:p>
            <w:pPr>
              <w:pStyle w:val="TableHeading"/>
              <w:bidi w:val="0"/>
              <w:jc w:val="start"/>
              <w:rPr/>
            </w:pPr>
            <w:r>
              <w:rPr/>
              <w:t>Segment</w:t>
            </w:r>
          </w:p>
        </w:tc>
        <w:tc>
          <w:tcPr>
            <w:tcW w:w="2493" w:type="dxa"/>
            <w:tcBorders>
              <w:top w:val="single" w:sz="4" w:space="0" w:color="000000"/>
              <w:start w:val="single" w:sz="4" w:space="0" w:color="000000"/>
              <w:bottom w:val="single" w:sz="4" w:space="0" w:color="000000"/>
            </w:tcBorders>
          </w:tcPr>
          <w:p>
            <w:pPr>
              <w:pStyle w:val="TableHeading"/>
              <w:bidi w:val="0"/>
              <w:jc w:val="start"/>
              <w:rPr/>
            </w:pPr>
            <w:r>
              <w:rPr/>
              <w:t>Need and behaviour</w:t>
            </w:r>
          </w:p>
        </w:tc>
        <w:tc>
          <w:tcPr>
            <w:tcW w:w="2493" w:type="dxa"/>
            <w:tcBorders>
              <w:top w:val="single" w:sz="4" w:space="0" w:color="000000"/>
              <w:start w:val="single" w:sz="4" w:space="0" w:color="000000"/>
              <w:bottom w:val="single" w:sz="4" w:space="0" w:color="000000"/>
            </w:tcBorders>
          </w:tcPr>
          <w:p>
            <w:pPr>
              <w:pStyle w:val="TableHeading"/>
              <w:bidi w:val="0"/>
              <w:jc w:val="start"/>
              <w:rPr/>
            </w:pPr>
            <w:r>
              <w:rPr/>
              <w:t>Entry offer</w:t>
            </w:r>
          </w:p>
        </w:tc>
        <w:tc>
          <w:tcPr>
            <w:tcW w:w="249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Monetisation potential</w:t>
            </w:r>
          </w:p>
        </w:tc>
      </w:tr>
      <w:tr>
        <w:trPr/>
        <w:tc>
          <w:tcPr>
            <w:tcW w:w="2493" w:type="dxa"/>
            <w:tcBorders>
              <w:start w:val="single" w:sz="4" w:space="0" w:color="000000"/>
              <w:bottom w:val="single" w:sz="4" w:space="0" w:color="000000"/>
            </w:tcBorders>
          </w:tcPr>
          <w:p>
            <w:pPr>
              <w:pStyle w:val="TableContents"/>
              <w:bidi w:val="0"/>
              <w:jc w:val="start"/>
              <w:rPr/>
            </w:pPr>
            <w:r>
              <w:rPr/>
              <w:t>Accountability seekers (18+)</w:t>
            </w:r>
          </w:p>
        </w:tc>
        <w:tc>
          <w:tcPr>
            <w:tcW w:w="2493" w:type="dxa"/>
            <w:tcBorders>
              <w:start w:val="single" w:sz="4" w:space="0" w:color="000000"/>
              <w:bottom w:val="single" w:sz="4" w:space="0" w:color="000000"/>
            </w:tcBorders>
          </w:tcPr>
          <w:p>
            <w:pPr>
              <w:pStyle w:val="TableContents"/>
              <w:bidi w:val="0"/>
              <w:jc w:val="start"/>
              <w:rPr/>
            </w:pPr>
            <w:r>
              <w:rPr/>
              <w:t>Wants consistency, often trains alone</w:t>
            </w:r>
          </w:p>
        </w:tc>
        <w:tc>
          <w:tcPr>
            <w:tcW w:w="2493" w:type="dxa"/>
            <w:tcBorders>
              <w:start w:val="single" w:sz="4" w:space="0" w:color="000000"/>
              <w:bottom w:val="single" w:sz="4" w:space="0" w:color="000000"/>
            </w:tcBorders>
          </w:tcPr>
          <w:p>
            <w:pPr>
              <w:pStyle w:val="TableContents"/>
              <w:bidi w:val="0"/>
              <w:jc w:val="start"/>
              <w:rPr/>
            </w:pPr>
            <w:r>
              <w:rPr/>
              <w:t>Buddy match, nearby small groups, weekly commitments</w:t>
            </w:r>
          </w:p>
        </w:tc>
        <w:tc>
          <w:tcPr>
            <w:tcW w:w="2493" w:type="dxa"/>
            <w:tcBorders>
              <w:start w:val="single" w:sz="4" w:space="0" w:color="000000"/>
              <w:bottom w:val="single" w:sz="4" w:space="0" w:color="000000"/>
              <w:end w:val="single" w:sz="4" w:space="0" w:color="000000"/>
            </w:tcBorders>
          </w:tcPr>
          <w:p>
            <w:pPr>
              <w:pStyle w:val="TableContents"/>
              <w:bidi w:val="0"/>
              <w:jc w:val="start"/>
              <w:rPr/>
            </w:pPr>
            <w:r>
              <w:rPr/>
              <w:t>Plus conversion, events, programmes</w:t>
            </w:r>
          </w:p>
        </w:tc>
      </w:tr>
      <w:tr>
        <w:trPr/>
        <w:tc>
          <w:tcPr>
            <w:tcW w:w="2493" w:type="dxa"/>
            <w:tcBorders>
              <w:start w:val="single" w:sz="4" w:space="0" w:color="000000"/>
              <w:bottom w:val="single" w:sz="4" w:space="0" w:color="000000"/>
            </w:tcBorders>
          </w:tcPr>
          <w:p>
            <w:pPr>
              <w:pStyle w:val="TableContents"/>
              <w:bidi w:val="0"/>
              <w:jc w:val="start"/>
              <w:rPr/>
            </w:pPr>
            <w:r>
              <w:rPr/>
              <w:t>Gym members</w:t>
            </w:r>
          </w:p>
        </w:tc>
        <w:tc>
          <w:tcPr>
            <w:tcW w:w="2493" w:type="dxa"/>
            <w:tcBorders>
              <w:start w:val="single" w:sz="4" w:space="0" w:color="000000"/>
              <w:bottom w:val="single" w:sz="4" w:space="0" w:color="000000"/>
            </w:tcBorders>
          </w:tcPr>
          <w:p>
            <w:pPr>
              <w:pStyle w:val="TableContents"/>
              <w:bidi w:val="0"/>
              <w:jc w:val="start"/>
              <w:rPr/>
            </w:pPr>
            <w:r>
              <w:rPr/>
              <w:t>Pays for access but needs community and motivation</w:t>
            </w:r>
          </w:p>
        </w:tc>
        <w:tc>
          <w:tcPr>
            <w:tcW w:w="2493" w:type="dxa"/>
            <w:tcBorders>
              <w:start w:val="single" w:sz="4" w:space="0" w:color="000000"/>
              <w:bottom w:val="single" w:sz="4" w:space="0" w:color="000000"/>
            </w:tcBorders>
          </w:tcPr>
          <w:p>
            <w:pPr>
              <w:pStyle w:val="TableContents"/>
              <w:bidi w:val="0"/>
              <w:jc w:val="start"/>
              <w:rPr/>
            </w:pPr>
            <w:r>
              <w:rPr/>
              <w:t>Gym community, schedules, check-ins, buddy cohorts</w:t>
            </w:r>
          </w:p>
        </w:tc>
        <w:tc>
          <w:tcPr>
            <w:tcW w:w="2493" w:type="dxa"/>
            <w:tcBorders>
              <w:start w:val="single" w:sz="4" w:space="0" w:color="000000"/>
              <w:bottom w:val="single" w:sz="4" w:space="0" w:color="000000"/>
              <w:end w:val="single" w:sz="4" w:space="0" w:color="000000"/>
            </w:tcBorders>
          </w:tcPr>
          <w:p>
            <w:pPr>
              <w:pStyle w:val="TableContents"/>
              <w:bidi w:val="0"/>
              <w:jc w:val="start"/>
              <w:rPr/>
            </w:pPr>
            <w:r>
              <w:rPr/>
              <w:t>Gym SaaS, renewals, partner offers</w:t>
            </w:r>
          </w:p>
        </w:tc>
      </w:tr>
      <w:tr>
        <w:trPr/>
        <w:tc>
          <w:tcPr>
            <w:tcW w:w="2493" w:type="dxa"/>
            <w:tcBorders>
              <w:start w:val="single" w:sz="4" w:space="0" w:color="000000"/>
              <w:bottom w:val="single" w:sz="4" w:space="0" w:color="000000"/>
            </w:tcBorders>
          </w:tcPr>
          <w:p>
            <w:pPr>
              <w:pStyle w:val="TableContents"/>
              <w:bidi w:val="0"/>
              <w:jc w:val="start"/>
              <w:rPr/>
            </w:pPr>
            <w:r>
              <w:rPr/>
              <w:t>Independent coaches</w:t>
            </w:r>
          </w:p>
        </w:tc>
        <w:tc>
          <w:tcPr>
            <w:tcW w:w="2493" w:type="dxa"/>
            <w:tcBorders>
              <w:start w:val="single" w:sz="4" w:space="0" w:color="000000"/>
              <w:bottom w:val="single" w:sz="4" w:space="0" w:color="000000"/>
            </w:tcBorders>
          </w:tcPr>
          <w:p>
            <w:pPr>
              <w:pStyle w:val="TableContents"/>
              <w:bidi w:val="0"/>
              <w:jc w:val="start"/>
              <w:rPr/>
            </w:pPr>
            <w:r>
              <w:rPr/>
              <w:t>Needs leads, payments and client follow-through</w:t>
            </w:r>
          </w:p>
        </w:tc>
        <w:tc>
          <w:tcPr>
            <w:tcW w:w="2493" w:type="dxa"/>
            <w:tcBorders>
              <w:start w:val="single" w:sz="4" w:space="0" w:color="000000"/>
              <w:bottom w:val="single" w:sz="4" w:space="0" w:color="000000"/>
            </w:tcBorders>
          </w:tcPr>
          <w:p>
            <w:pPr>
              <w:pStyle w:val="TableContents"/>
              <w:bidi w:val="0"/>
              <w:jc w:val="start"/>
              <w:rPr/>
            </w:pPr>
            <w:r>
              <w:rPr/>
              <w:t>Verification, booking, programme delivery</w:t>
            </w:r>
          </w:p>
        </w:tc>
        <w:tc>
          <w:tcPr>
            <w:tcW w:w="2493" w:type="dxa"/>
            <w:tcBorders>
              <w:start w:val="single" w:sz="4" w:space="0" w:color="000000"/>
              <w:bottom w:val="single" w:sz="4" w:space="0" w:color="000000"/>
              <w:end w:val="single" w:sz="4" w:space="0" w:color="000000"/>
            </w:tcBorders>
          </w:tcPr>
          <w:p>
            <w:pPr>
              <w:pStyle w:val="TableContents"/>
              <w:bidi w:val="0"/>
              <w:jc w:val="start"/>
              <w:rPr/>
            </w:pPr>
            <w:r>
              <w:rPr/>
              <w:t>Subscription + booking commission</w:t>
            </w:r>
          </w:p>
        </w:tc>
      </w:tr>
      <w:tr>
        <w:trPr/>
        <w:tc>
          <w:tcPr>
            <w:tcW w:w="2493" w:type="dxa"/>
            <w:tcBorders>
              <w:start w:val="single" w:sz="4" w:space="0" w:color="000000"/>
              <w:bottom w:val="single" w:sz="4" w:space="0" w:color="000000"/>
            </w:tcBorders>
          </w:tcPr>
          <w:p>
            <w:pPr>
              <w:pStyle w:val="TableContents"/>
              <w:bidi w:val="0"/>
              <w:jc w:val="start"/>
              <w:rPr/>
            </w:pPr>
            <w:r>
              <w:rPr/>
              <w:t>Fitness communities</w:t>
            </w:r>
          </w:p>
        </w:tc>
        <w:tc>
          <w:tcPr>
            <w:tcW w:w="2493" w:type="dxa"/>
            <w:tcBorders>
              <w:start w:val="single" w:sz="4" w:space="0" w:color="000000"/>
              <w:bottom w:val="single" w:sz="4" w:space="0" w:color="000000"/>
            </w:tcBorders>
          </w:tcPr>
          <w:p>
            <w:pPr>
              <w:pStyle w:val="TableContents"/>
              <w:bidi w:val="0"/>
              <w:jc w:val="start"/>
              <w:rPr/>
            </w:pPr>
            <w:r>
              <w:rPr/>
              <w:t>Needs coordination and safe membership</w:t>
            </w:r>
          </w:p>
        </w:tc>
        <w:tc>
          <w:tcPr>
            <w:tcW w:w="2493" w:type="dxa"/>
            <w:tcBorders>
              <w:start w:val="single" w:sz="4" w:space="0" w:color="000000"/>
              <w:bottom w:val="single" w:sz="4" w:space="0" w:color="000000"/>
            </w:tcBorders>
          </w:tcPr>
          <w:p>
            <w:pPr>
              <w:pStyle w:val="TableContents"/>
              <w:bidi w:val="0"/>
              <w:jc w:val="start"/>
              <w:rPr/>
            </w:pPr>
            <w:r>
              <w:rPr/>
              <w:t>Group spaces, events, volunteer/moderation tools</w:t>
            </w:r>
          </w:p>
        </w:tc>
        <w:tc>
          <w:tcPr>
            <w:tcW w:w="2493" w:type="dxa"/>
            <w:tcBorders>
              <w:start w:val="single" w:sz="4" w:space="0" w:color="000000"/>
              <w:bottom w:val="single" w:sz="4" w:space="0" w:color="000000"/>
              <w:end w:val="single" w:sz="4" w:space="0" w:color="000000"/>
            </w:tcBorders>
          </w:tcPr>
          <w:p>
            <w:pPr>
              <w:pStyle w:val="TableContents"/>
              <w:bidi w:val="0"/>
              <w:jc w:val="start"/>
              <w:rPr/>
            </w:pPr>
            <w:r>
              <w:rPr/>
              <w:t>Partner plans, sponsored challenges</w:t>
            </w:r>
          </w:p>
        </w:tc>
      </w:tr>
      <w:tr>
        <w:trPr/>
        <w:tc>
          <w:tcPr>
            <w:tcW w:w="2493" w:type="dxa"/>
            <w:tcBorders>
              <w:start w:val="single" w:sz="4" w:space="0" w:color="000000"/>
              <w:bottom w:val="single" w:sz="4" w:space="0" w:color="000000"/>
            </w:tcBorders>
          </w:tcPr>
          <w:p>
            <w:pPr>
              <w:pStyle w:val="TableContents"/>
              <w:bidi w:val="0"/>
              <w:jc w:val="start"/>
              <w:rPr/>
            </w:pPr>
            <w:r>
              <w:rPr/>
              <w:t>Employers (later)</w:t>
            </w:r>
          </w:p>
        </w:tc>
        <w:tc>
          <w:tcPr>
            <w:tcW w:w="2493" w:type="dxa"/>
            <w:tcBorders>
              <w:start w:val="single" w:sz="4" w:space="0" w:color="000000"/>
              <w:bottom w:val="single" w:sz="4" w:space="0" w:color="000000"/>
            </w:tcBorders>
          </w:tcPr>
          <w:p>
            <w:pPr>
              <w:pStyle w:val="TableContents"/>
              <w:bidi w:val="0"/>
              <w:jc w:val="start"/>
              <w:rPr/>
            </w:pPr>
            <w:r>
              <w:rPr/>
              <w:t>Needs a credible benefit without clinical-data exposure</w:t>
            </w:r>
          </w:p>
        </w:tc>
        <w:tc>
          <w:tcPr>
            <w:tcW w:w="2493" w:type="dxa"/>
            <w:tcBorders>
              <w:start w:val="single" w:sz="4" w:space="0" w:color="000000"/>
              <w:bottom w:val="single" w:sz="4" w:space="0" w:color="000000"/>
            </w:tcBorders>
          </w:tcPr>
          <w:p>
            <w:pPr>
              <w:pStyle w:val="TableContents"/>
              <w:bidi w:val="0"/>
              <w:jc w:val="start"/>
              <w:rPr/>
            </w:pPr>
            <w:r>
              <w:rPr/>
              <w:t>Opt-in challenges and partner access</w:t>
            </w:r>
          </w:p>
        </w:tc>
        <w:tc>
          <w:tcPr>
            <w:tcW w:w="2493" w:type="dxa"/>
            <w:tcBorders>
              <w:start w:val="single" w:sz="4" w:space="0" w:color="000000"/>
              <w:bottom w:val="single" w:sz="4" w:space="0" w:color="000000"/>
              <w:end w:val="single" w:sz="4" w:space="0" w:color="000000"/>
            </w:tcBorders>
          </w:tcPr>
          <w:p>
            <w:pPr>
              <w:pStyle w:val="TableContents"/>
              <w:bidi w:val="0"/>
              <w:jc w:val="start"/>
              <w:rPr/>
            </w:pPr>
            <w:r>
              <w:rPr/>
              <w:t>Per-eligible-member contract</w:t>
            </w:r>
          </w:p>
        </w:tc>
      </w:tr>
    </w:tbl>
    <w:p>
      <w:pPr>
        <w:pStyle w:val="BodyText"/>
        <w:bidi w:val="0"/>
        <w:jc w:val="start"/>
        <w:rPr/>
      </w:pPr>
      <w:r>
        <w:rPr/>
      </w:r>
    </w:p>
    <w:p>
      <w:pPr>
        <w:pStyle w:val="Heading4"/>
        <w:bidi w:val="0"/>
        <w:ind w:hanging="0" w:start="0"/>
        <w:jc w:val="start"/>
        <w:rPr/>
      </w:pPr>
      <w:r>
        <w:rPr/>
        <w:t>Market sizing approach (H1)</w:t>
      </w:r>
    </w:p>
    <w:p>
      <w:pPr>
        <w:pStyle w:val="BodyText"/>
        <w:bidi w:val="0"/>
        <w:jc w:val="start"/>
        <w:rPr/>
      </w:pPr>
      <w:r>
        <w:rPr/>
        <w:t>Public data does not establish a reliable Kenya-specific "fitness-app TAM"; a large purchased-market number would create false precision. Bud uses a bottom-up, serviceable-market model tied to attainable partners and active users.</w:t>
      </w:r>
    </w:p>
    <w:p>
      <w:pPr>
        <w:pStyle w:val="BodyText"/>
        <w:bidi w:val="0"/>
        <w:jc w:val="start"/>
        <w:rPr/>
      </w:pPr>
      <w:r>
        <w:rPr>
          <w:b/>
        </w:rPr>
        <w:t>Illustrative Nairobi serviceable market (to validate):</w:t>
      </w:r>
      <w:r>
        <w:rPr/>
        <w:t xml:space="preserve"> 150 partner gyms/studios × 300 reachable members = 45,000 reachable members; 1,000 verified coaches/creators × 30 reachable prospects per year = 30,000 additional prospects. At 25% activated monthly participation, the first operating market is approximately 18,750 MAU. Expanding to four Kenyan cities and partner categories multiplies this only after partner conversion, cohort retention and payment acceptance are observed.</w:t>
      </w:r>
    </w:p>
    <w:p>
      <w:pPr>
        <w:pStyle w:val="BodyText"/>
        <w:bidi w:val="0"/>
        <w:jc w:val="start"/>
        <w:rPr/>
      </w:pPr>
      <w:r>
        <w:rPr/>
        <w:t xml:space="preserve">The governing metric is </w:t>
      </w:r>
      <w:r>
        <w:rPr>
          <w:b/>
        </w:rPr>
        <w:t>active partner-community members</w:t>
      </w:r>
      <w:r>
        <w:rPr/>
        <w:t>, not registrations. Each quarter these inputs are replaced with CRM partner data, activation cohorts and payment data.</w:t>
      </w:r>
    </w:p>
    <w:p>
      <w:pPr>
        <w:pStyle w:val="Heading3"/>
        <w:bidi w:val="0"/>
        <w:ind w:hanging="0" w:start="0"/>
        <w:jc w:val="start"/>
        <w:rPr/>
      </w:pPr>
      <w:r>
        <w:rPr/>
        <w:t>7.2 Horizon 2 — Pan-Africa (years 3–5)</w:t>
      </w:r>
    </w:p>
    <w:p>
      <w:pPr>
        <w:pStyle w:val="BodyText"/>
        <w:bidi w:val="0"/>
        <w:jc w:val="start"/>
        <w:rPr/>
      </w:pPr>
      <w:r>
        <w:rPr/>
        <w:t>The Kenya playbook transfers where four conditions hold: mobile-first population, growing fitness spend, a dominant mobile-money or card rail, and fragmented informal supply (WhatsApp groups, gym front desks, coach Instagram pages).</w:t>
      </w:r>
    </w:p>
    <w:p>
      <w:pPr>
        <w:pStyle w:val="BodyText"/>
        <w:bidi w:val="0"/>
        <w:jc w:val="start"/>
        <w:rPr/>
      </w:pPr>
      <w:r>
        <w:rPr>
          <w:b/>
        </w:rPr>
        <w:t>Priority markets and their distribution/payment rails (to validate locally):</w:t>
      </w:r>
    </w:p>
    <w:tbl>
      <w:tblPr>
        <w:tblW w:w="5000" w:type="pct"/>
        <w:jc w:val="start"/>
        <w:tblInd w:w="-5" w:type="dxa"/>
        <w:tblLayout w:type="fixed"/>
        <w:tblCellMar>
          <w:top w:w="55" w:type="dxa"/>
          <w:start w:w="55" w:type="dxa"/>
          <w:bottom w:w="55" w:type="dxa"/>
          <w:end w:w="55" w:type="dxa"/>
        </w:tblCellMar>
      </w:tblPr>
      <w:tblGrid>
        <w:gridCol w:w="1994"/>
        <w:gridCol w:w="1994"/>
        <w:gridCol w:w="1995"/>
        <w:gridCol w:w="1994"/>
        <w:gridCol w:w="1995"/>
      </w:tblGrid>
      <w:tr>
        <w:trPr>
          <w:tblHeader w:val="true"/>
        </w:trPr>
        <w:tc>
          <w:tcPr>
            <w:tcW w:w="1994" w:type="dxa"/>
            <w:tcBorders>
              <w:top w:val="single" w:sz="4" w:space="0" w:color="000000"/>
              <w:start w:val="single" w:sz="4" w:space="0" w:color="000000"/>
              <w:bottom w:val="single" w:sz="4" w:space="0" w:color="000000"/>
            </w:tcBorders>
          </w:tcPr>
          <w:p>
            <w:pPr>
              <w:pStyle w:val="TableHeading"/>
              <w:bidi w:val="0"/>
              <w:jc w:val="start"/>
              <w:rPr/>
            </w:pPr>
            <w:r>
              <w:rPr/>
              <w:t>Market</w:t>
            </w:r>
          </w:p>
        </w:tc>
        <w:tc>
          <w:tcPr>
            <w:tcW w:w="1994" w:type="dxa"/>
            <w:tcBorders>
              <w:top w:val="single" w:sz="4" w:space="0" w:color="000000"/>
              <w:start w:val="single" w:sz="4" w:space="0" w:color="000000"/>
              <w:bottom w:val="single" w:sz="4" w:space="0" w:color="000000"/>
            </w:tcBorders>
          </w:tcPr>
          <w:p>
            <w:pPr>
              <w:pStyle w:val="TableHeading"/>
              <w:bidi w:val="0"/>
              <w:jc w:val="start"/>
              <w:rPr/>
            </w:pPr>
            <w:r>
              <w:rPr/>
              <w:t>Population-scale</w:t>
            </w:r>
          </w:p>
        </w:tc>
        <w:tc>
          <w:tcPr>
            <w:tcW w:w="1995" w:type="dxa"/>
            <w:tcBorders>
              <w:top w:val="single" w:sz="4" w:space="0" w:color="000000"/>
              <w:start w:val="single" w:sz="4" w:space="0" w:color="000000"/>
              <w:bottom w:val="single" w:sz="4" w:space="0" w:color="000000"/>
            </w:tcBorders>
          </w:tcPr>
          <w:p>
            <w:pPr>
              <w:pStyle w:val="TableHeading"/>
              <w:bidi w:val="0"/>
              <w:jc w:val="start"/>
              <w:rPr/>
            </w:pPr>
            <w:r>
              <w:rPr/>
              <w:t>Mobile payments</w:t>
            </w:r>
          </w:p>
        </w:tc>
        <w:tc>
          <w:tcPr>
            <w:tcW w:w="1994" w:type="dxa"/>
            <w:tcBorders>
              <w:top w:val="single" w:sz="4" w:space="0" w:color="000000"/>
              <w:start w:val="single" w:sz="4" w:space="0" w:color="000000"/>
              <w:bottom w:val="single" w:sz="4" w:space="0" w:color="000000"/>
            </w:tcBorders>
          </w:tcPr>
          <w:p>
            <w:pPr>
              <w:pStyle w:val="TableHeading"/>
              <w:bidi w:val="0"/>
              <w:jc w:val="start"/>
              <w:rPr/>
            </w:pPr>
            <w:r>
              <w:rPr/>
              <w:t>Partner wedge</w:t>
            </w:r>
          </w:p>
        </w:tc>
        <w:tc>
          <w:tcPr>
            <w:tcW w:w="1995"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Localisation gate</w:t>
            </w:r>
          </w:p>
        </w:tc>
      </w:tr>
      <w:tr>
        <w:trPr/>
        <w:tc>
          <w:tcPr>
            <w:tcW w:w="1994" w:type="dxa"/>
            <w:tcBorders>
              <w:start w:val="single" w:sz="4" w:space="0" w:color="000000"/>
              <w:bottom w:val="single" w:sz="4" w:space="0" w:color="000000"/>
            </w:tcBorders>
          </w:tcPr>
          <w:p>
            <w:pPr>
              <w:pStyle w:val="TableContents"/>
              <w:bidi w:val="0"/>
              <w:jc w:val="start"/>
              <w:rPr/>
            </w:pPr>
            <w:r>
              <w:rPr/>
              <w:t>Nigeria</w:t>
            </w:r>
          </w:p>
        </w:tc>
        <w:tc>
          <w:tcPr>
            <w:tcW w:w="1994" w:type="dxa"/>
            <w:tcBorders>
              <w:start w:val="single" w:sz="4" w:space="0" w:color="000000"/>
              <w:bottom w:val="single" w:sz="4" w:space="0" w:color="000000"/>
            </w:tcBorders>
          </w:tcPr>
          <w:p>
            <w:pPr>
              <w:pStyle w:val="TableContents"/>
              <w:bidi w:val="0"/>
              <w:jc w:val="start"/>
              <w:rPr/>
            </w:pPr>
            <w:r>
              <w:rPr/>
              <w:t>Africa's largest population; strong fitness-creator scene</w:t>
            </w:r>
          </w:p>
        </w:tc>
        <w:tc>
          <w:tcPr>
            <w:tcW w:w="1995" w:type="dxa"/>
            <w:tcBorders>
              <w:start w:val="single" w:sz="4" w:space="0" w:color="000000"/>
              <w:bottom w:val="single" w:sz="4" w:space="0" w:color="000000"/>
            </w:tcBorders>
          </w:tcPr>
          <w:p>
            <w:pPr>
              <w:pStyle w:val="TableContents"/>
              <w:bidi w:val="0"/>
              <w:jc w:val="start"/>
              <w:rPr/>
            </w:pPr>
            <w:r>
              <w:rPr/>
              <w:t>Paga/OPay/Kuda, card rails</w:t>
            </w:r>
          </w:p>
        </w:tc>
        <w:tc>
          <w:tcPr>
            <w:tcW w:w="1994" w:type="dxa"/>
            <w:tcBorders>
              <w:start w:val="single" w:sz="4" w:space="0" w:color="000000"/>
              <w:bottom w:val="single" w:sz="4" w:space="0" w:color="000000"/>
            </w:tcBorders>
          </w:tcPr>
          <w:p>
            <w:pPr>
              <w:pStyle w:val="TableContents"/>
              <w:bidi w:val="0"/>
              <w:jc w:val="start"/>
              <w:rPr/>
            </w:pPr>
            <w:r>
              <w:rPr/>
              <w:t>Gyms, coaches, run clubs in Lagos/Abuja</w:t>
            </w:r>
          </w:p>
        </w:tc>
        <w:tc>
          <w:tcPr>
            <w:tcW w:w="1995" w:type="dxa"/>
            <w:tcBorders>
              <w:start w:val="single" w:sz="4" w:space="0" w:color="000000"/>
              <w:bottom w:val="single" w:sz="4" w:space="0" w:color="000000"/>
              <w:end w:val="single" w:sz="4" w:space="0" w:color="000000"/>
            </w:tcBorders>
          </w:tcPr>
          <w:p>
            <w:pPr>
              <w:pStyle w:val="TableContents"/>
              <w:bidi w:val="0"/>
              <w:jc w:val="start"/>
              <w:rPr/>
            </w:pPr>
            <w:r>
              <w:rPr/>
              <w:t>Country entity, payments/legal review, Naira pricing</w:t>
            </w:r>
          </w:p>
        </w:tc>
      </w:tr>
      <w:tr>
        <w:trPr/>
        <w:tc>
          <w:tcPr>
            <w:tcW w:w="1994" w:type="dxa"/>
            <w:tcBorders>
              <w:start w:val="single" w:sz="4" w:space="0" w:color="000000"/>
              <w:bottom w:val="single" w:sz="4" w:space="0" w:color="000000"/>
            </w:tcBorders>
          </w:tcPr>
          <w:p>
            <w:pPr>
              <w:pStyle w:val="TableContents"/>
              <w:bidi w:val="0"/>
              <w:jc w:val="start"/>
              <w:rPr/>
            </w:pPr>
            <w:r>
              <w:rPr/>
              <w:t>South Africa</w:t>
            </w:r>
          </w:p>
        </w:tc>
        <w:tc>
          <w:tcPr>
            <w:tcW w:w="1994" w:type="dxa"/>
            <w:tcBorders>
              <w:start w:val="single" w:sz="4" w:space="0" w:color="000000"/>
              <w:bottom w:val="single" w:sz="4" w:space="0" w:color="000000"/>
            </w:tcBorders>
          </w:tcPr>
          <w:p>
            <w:pPr>
              <w:pStyle w:val="TableContents"/>
              <w:bidi w:val="0"/>
              <w:jc w:val="start"/>
              <w:rPr/>
            </w:pPr>
            <w:r>
              <w:rPr/>
              <w:t>High smartphone ownership; large gym chains</w:t>
            </w:r>
          </w:p>
        </w:tc>
        <w:tc>
          <w:tcPr>
            <w:tcW w:w="1995" w:type="dxa"/>
            <w:tcBorders>
              <w:start w:val="single" w:sz="4" w:space="0" w:color="000000"/>
              <w:bottom w:val="single" w:sz="4" w:space="0" w:color="000000"/>
            </w:tcBorders>
          </w:tcPr>
          <w:p>
            <w:pPr>
              <w:pStyle w:val="TableContents"/>
              <w:bidi w:val="0"/>
              <w:jc w:val="start"/>
              <w:rPr/>
            </w:pPr>
            <w:r>
              <w:rPr/>
              <w:t>Card + EFT, mobile wallets</w:t>
            </w:r>
          </w:p>
        </w:tc>
        <w:tc>
          <w:tcPr>
            <w:tcW w:w="1994" w:type="dxa"/>
            <w:tcBorders>
              <w:start w:val="single" w:sz="4" w:space="0" w:color="000000"/>
              <w:bottom w:val="single" w:sz="4" w:space="0" w:color="000000"/>
            </w:tcBorders>
          </w:tcPr>
          <w:p>
            <w:pPr>
              <w:pStyle w:val="TableContents"/>
              <w:bidi w:val="0"/>
              <w:jc w:val="start"/>
              <w:rPr/>
            </w:pPr>
            <w:r>
              <w:rPr/>
              <w:t>Established gym chains, studios</w:t>
            </w:r>
          </w:p>
        </w:tc>
        <w:tc>
          <w:tcPr>
            <w:tcW w:w="1995" w:type="dxa"/>
            <w:tcBorders>
              <w:start w:val="single" w:sz="4" w:space="0" w:color="000000"/>
              <w:bottom w:val="single" w:sz="4" w:space="0" w:color="000000"/>
              <w:end w:val="single" w:sz="4" w:space="0" w:color="000000"/>
            </w:tcBorders>
          </w:tcPr>
          <w:p>
            <w:pPr>
              <w:pStyle w:val="TableContents"/>
              <w:bidi w:val="0"/>
              <w:jc w:val="start"/>
              <w:rPr/>
            </w:pPr>
            <w:r>
              <w:rPr/>
              <w:t>Country entity, data-protection (POPIA), ZAR pricing</w:t>
            </w:r>
          </w:p>
        </w:tc>
      </w:tr>
      <w:tr>
        <w:trPr/>
        <w:tc>
          <w:tcPr>
            <w:tcW w:w="1994" w:type="dxa"/>
            <w:tcBorders>
              <w:start w:val="single" w:sz="4" w:space="0" w:color="000000"/>
              <w:bottom w:val="single" w:sz="4" w:space="0" w:color="000000"/>
            </w:tcBorders>
          </w:tcPr>
          <w:p>
            <w:pPr>
              <w:pStyle w:val="TableContents"/>
              <w:bidi w:val="0"/>
              <w:jc w:val="start"/>
              <w:rPr/>
            </w:pPr>
            <w:r>
              <w:rPr/>
              <w:t>Ghana</w:t>
            </w:r>
          </w:p>
        </w:tc>
        <w:tc>
          <w:tcPr>
            <w:tcW w:w="1994" w:type="dxa"/>
            <w:tcBorders>
              <w:start w:val="single" w:sz="4" w:space="0" w:color="000000"/>
              <w:bottom w:val="single" w:sz="4" w:space="0" w:color="000000"/>
            </w:tcBorders>
          </w:tcPr>
          <w:p>
            <w:pPr>
              <w:pStyle w:val="TableContents"/>
              <w:bidi w:val="0"/>
              <w:jc w:val="start"/>
              <w:rPr/>
            </w:pPr>
            <w:r>
              <w:rPr/>
              <w:t>Mobile-money strong (MTN MoMo)</w:t>
            </w:r>
          </w:p>
        </w:tc>
        <w:tc>
          <w:tcPr>
            <w:tcW w:w="1995" w:type="dxa"/>
            <w:tcBorders>
              <w:start w:val="single" w:sz="4" w:space="0" w:color="000000"/>
              <w:bottom w:val="single" w:sz="4" w:space="0" w:color="000000"/>
            </w:tcBorders>
          </w:tcPr>
          <w:p>
            <w:pPr>
              <w:pStyle w:val="TableContents"/>
              <w:bidi w:val="0"/>
              <w:jc w:val="start"/>
              <w:rPr/>
            </w:pPr>
            <w:r>
              <w:rPr/>
              <w:t>MTN MoMo</w:t>
            </w:r>
          </w:p>
        </w:tc>
        <w:tc>
          <w:tcPr>
            <w:tcW w:w="1994" w:type="dxa"/>
            <w:tcBorders>
              <w:start w:val="single" w:sz="4" w:space="0" w:color="000000"/>
              <w:bottom w:val="single" w:sz="4" w:space="0" w:color="000000"/>
            </w:tcBorders>
          </w:tcPr>
          <w:p>
            <w:pPr>
              <w:pStyle w:val="TableContents"/>
              <w:bidi w:val="0"/>
              <w:jc w:val="start"/>
              <w:rPr/>
            </w:pPr>
            <w:r>
              <w:rPr/>
              <w:t>Coaches, studios in Accra/Kumasi</w:t>
            </w:r>
          </w:p>
        </w:tc>
        <w:tc>
          <w:tcPr>
            <w:tcW w:w="1995" w:type="dxa"/>
            <w:tcBorders>
              <w:start w:val="single" w:sz="4" w:space="0" w:color="000000"/>
              <w:bottom w:val="single" w:sz="4" w:space="0" w:color="000000"/>
              <w:end w:val="single" w:sz="4" w:space="0" w:color="000000"/>
            </w:tcBorders>
          </w:tcPr>
          <w:p>
            <w:pPr>
              <w:pStyle w:val="TableContents"/>
              <w:bidi w:val="0"/>
              <w:jc w:val="start"/>
              <w:rPr/>
            </w:pPr>
            <w:r>
              <w:rPr/>
              <w:t>Country entity, GHS pricing</w:t>
            </w:r>
          </w:p>
        </w:tc>
      </w:tr>
      <w:tr>
        <w:trPr/>
        <w:tc>
          <w:tcPr>
            <w:tcW w:w="1994" w:type="dxa"/>
            <w:tcBorders>
              <w:start w:val="single" w:sz="4" w:space="0" w:color="000000"/>
              <w:bottom w:val="single" w:sz="4" w:space="0" w:color="000000"/>
            </w:tcBorders>
          </w:tcPr>
          <w:p>
            <w:pPr>
              <w:pStyle w:val="TableContents"/>
              <w:bidi w:val="0"/>
              <w:jc w:val="start"/>
              <w:rPr/>
            </w:pPr>
            <w:r>
              <w:rPr/>
              <w:t>Other</w:t>
            </w:r>
          </w:p>
        </w:tc>
        <w:tc>
          <w:tcPr>
            <w:tcW w:w="1994" w:type="dxa"/>
            <w:tcBorders>
              <w:start w:val="single" w:sz="4" w:space="0" w:color="000000"/>
              <w:bottom w:val="single" w:sz="4" w:space="0" w:color="000000"/>
            </w:tcBorders>
          </w:tcPr>
          <w:p>
            <w:pPr>
              <w:pStyle w:val="TableContents"/>
              <w:bidi w:val="0"/>
              <w:jc w:val="start"/>
              <w:rPr/>
            </w:pPr>
            <w:r>
              <w:rPr/>
              <w:t>Rwanda, Uganda, Tanzania, Ethiopia (later)</w:t>
            </w:r>
          </w:p>
        </w:tc>
        <w:tc>
          <w:tcPr>
            <w:tcW w:w="1995" w:type="dxa"/>
            <w:tcBorders>
              <w:start w:val="single" w:sz="4" w:space="0" w:color="000000"/>
              <w:bottom w:val="single" w:sz="4" w:space="0" w:color="000000"/>
            </w:tcBorders>
          </w:tcPr>
          <w:p>
            <w:pPr>
              <w:pStyle w:val="TableContents"/>
              <w:bidi w:val="0"/>
              <w:jc w:val="start"/>
              <w:rPr/>
            </w:pPr>
            <w:r>
              <w:rPr/>
              <w:t>Mobile money native</w:t>
            </w:r>
          </w:p>
        </w:tc>
        <w:tc>
          <w:tcPr>
            <w:tcW w:w="1994" w:type="dxa"/>
            <w:tcBorders>
              <w:start w:val="single" w:sz="4" w:space="0" w:color="000000"/>
              <w:bottom w:val="single" w:sz="4" w:space="0" w:color="000000"/>
            </w:tcBorders>
          </w:tcPr>
          <w:p>
            <w:pPr>
              <w:pStyle w:val="TableContents"/>
              <w:bidi w:val="0"/>
              <w:jc w:val="start"/>
              <w:rPr/>
            </w:pPr>
            <w:r>
              <w:rPr/>
              <w:t>Community-first clusters</w:t>
            </w:r>
          </w:p>
        </w:tc>
        <w:tc>
          <w:tcPr>
            <w:tcW w:w="1995" w:type="dxa"/>
            <w:tcBorders>
              <w:start w:val="single" w:sz="4" w:space="0" w:color="000000"/>
              <w:bottom w:val="single" w:sz="4" w:space="0" w:color="000000"/>
              <w:end w:val="single" w:sz="4" w:space="0" w:color="000000"/>
            </w:tcBorders>
          </w:tcPr>
          <w:p>
            <w:pPr>
              <w:pStyle w:val="TableContents"/>
              <w:bidi w:val="0"/>
              <w:jc w:val="start"/>
              <w:rPr/>
            </w:pPr>
            <w:r>
              <w:rPr/>
              <w:t>Gated on anchors + compliance</w:t>
            </w:r>
          </w:p>
        </w:tc>
      </w:tr>
    </w:tbl>
    <w:p>
      <w:pPr>
        <w:pStyle w:val="BodyText"/>
        <w:bidi w:val="0"/>
        <w:jc w:val="start"/>
        <w:rPr/>
      </w:pPr>
      <w:r>
        <w:rPr/>
      </w:r>
    </w:p>
    <w:p>
      <w:pPr>
        <w:pStyle w:val="BodyText"/>
        <w:bidi w:val="0"/>
        <w:jc w:val="start"/>
        <w:rPr/>
      </w:pPr>
      <w:r>
        <w:rPr/>
        <w:t xml:space="preserve">Pan-African expansion is </w:t>
      </w:r>
      <w:r>
        <w:rPr>
          <w:b/>
        </w:rPr>
        <w:t>country-by-country</w:t>
      </w:r>
      <w:r>
        <w:rPr/>
        <w:t>, not "regional." Each market requires its own payments, tax, consumer and data-protection review before launch (§3.3). Bud does not "go live in Africa"; it goes live in a city where five anchor partners have committed.</w:t>
      </w:r>
    </w:p>
    <w:p>
      <w:pPr>
        <w:pStyle w:val="BodyText"/>
        <w:bidi w:val="0"/>
        <w:jc w:val="start"/>
        <w:rPr/>
      </w:pPr>
      <w:r>
        <w:rPr>
          <w:b/>
        </w:rPr>
        <w:t>Pan-African market signals (to validate):</w:t>
      </w:r>
      <w:r>
        <w:rPr/>
        <w:t xml:space="preserve"> Africa's fitness-app and wellness spend is growing faster than global averages; smartphone penetration is rising across the continent; mobile-money ecosystems make digital collection native. These support the wedge but do not replace partner-led validation.</w:t>
      </w:r>
    </w:p>
    <w:p>
      <w:pPr>
        <w:pStyle w:val="Heading3"/>
        <w:bidi w:val="0"/>
        <w:ind w:hanging="0" w:start="0"/>
        <w:jc w:val="start"/>
        <w:rPr/>
      </w:pPr>
      <w:r>
        <w:rPr/>
        <w:t>7.3 Horizon 3 — Global (years 5–8)</w:t>
      </w:r>
    </w:p>
    <w:p>
      <w:pPr>
        <w:pStyle w:val="BodyText"/>
        <w:bidi w:val="0"/>
        <w:jc w:val="start"/>
        <w:rPr/>
      </w:pPr>
      <w:r>
        <w:rPr/>
        <w:t xml:space="preserve">Global expansion is opportunistic and partner-operating-led rather than consumer-app-led. Bud exports the </w:t>
      </w:r>
      <w:r>
        <w:rPr>
          <w:b/>
        </w:rPr>
        <w:t>partner community operating layer</w:t>
      </w:r>
      <w:r>
        <w:rPr/>
        <w:t>—gym/coach community, attendance, booking, payments and moderation—to regions where emerging-market dynamics apply (e.g., parts of the Middle East, Southeast Asia, Latin America) or where a partner network invites Bud in.</w:t>
      </w:r>
    </w:p>
    <w:p>
      <w:pPr>
        <w:pStyle w:val="BodyText"/>
        <w:bidi w:val="0"/>
        <w:jc w:val="start"/>
        <w:rPr/>
      </w:pPr>
      <w:r>
        <w:rPr/>
        <w:t>Bud does not attempt to out-spend Strava, Nike Training Club or Peloton on content or hardware. It competes on the accountability-and-partner-community workflow and on local operating density (§8).</w:t>
      </w:r>
    </w:p>
    <w:p>
      <w:pPr>
        <w:pStyle w:val="BodyText"/>
        <w:bidi w:val="0"/>
        <w:jc w:val="start"/>
        <w:rPr/>
      </w:pPr>
      <w:r>
        <w:rPr>
          <w:b/>
        </w:rPr>
        <w:t>Global market context:</w:t>
      </w:r>
      <w:r>
        <w:rPr/>
        <w:t xml:space="preserve"> the global digital fitness market is large and contested; Bud's defensible segment is "local accountability infrastructure," not "content library." Global entry is gated on: proven 90-day contribution margin in the primary cluster, a licensed/partnered payments path, and local compliance review.</w:t>
      </w:r>
    </w:p>
    <w:p>
      <w:pPr>
        <w:pStyle w:val="Heading3"/>
        <w:bidi w:val="0"/>
        <w:ind w:hanging="0" w:start="0"/>
        <w:jc w:val="start"/>
        <w:rPr/>
      </w:pPr>
      <w:r>
        <w:rPr/>
        <w:t>7.4 Demand and buyer insights to test</w:t>
      </w:r>
    </w:p>
    <w:p>
      <w:pPr>
        <w:pStyle w:val="BodyText"/>
        <w:numPr>
          <w:ilvl w:val="0"/>
          <w:numId w:val="21"/>
        </w:numPr>
        <w:tabs>
          <w:tab w:val="clear" w:pos="709"/>
          <w:tab w:val="left" w:pos="709" w:leader="none"/>
        </w:tabs>
        <w:bidi w:val="0"/>
        <w:ind w:hanging="283" w:start="709"/>
        <w:jc w:val="start"/>
        <w:rPr/>
      </w:pPr>
      <w:r>
        <w:rPr/>
        <w:t>Does a member return at least twice in the first 14 days when they make two confirmed buddy connections?</w:t>
      </w:r>
    </w:p>
    <w:p>
      <w:pPr>
        <w:pStyle w:val="BodyText"/>
        <w:numPr>
          <w:ilvl w:val="0"/>
          <w:numId w:val="21"/>
        </w:numPr>
        <w:tabs>
          <w:tab w:val="clear" w:pos="709"/>
          <w:tab w:val="left" w:pos="709" w:leader="none"/>
        </w:tabs>
        <w:bidi w:val="0"/>
        <w:ind w:hanging="283" w:start="709"/>
        <w:jc w:val="start"/>
        <w:rPr/>
      </w:pPr>
      <w:r>
        <w:rPr/>
        <w:t>Do partners see a measurable lift in class attendance, membership renewal intent or coach enquiry conversion versus a comparable baseline?</w:t>
      </w:r>
    </w:p>
    <w:p>
      <w:pPr>
        <w:pStyle w:val="BodyText"/>
        <w:numPr>
          <w:ilvl w:val="0"/>
          <w:numId w:val="21"/>
        </w:numPr>
        <w:tabs>
          <w:tab w:val="clear" w:pos="709"/>
          <w:tab w:val="left" w:pos="709" w:leader="none"/>
        </w:tabs>
        <w:bidi w:val="0"/>
        <w:ind w:hanging="283" w:start="709"/>
        <w:jc w:val="start"/>
        <w:rPr/>
      </w:pPr>
      <w:r>
        <w:rPr/>
        <w:t>Will a user pay KSh 300–600/month (or local equivalent) for a concrete bundle of accountability and benefits, rather than a generic "premium" badge?</w:t>
      </w:r>
    </w:p>
    <w:p>
      <w:pPr>
        <w:pStyle w:val="BodyText"/>
        <w:numPr>
          <w:ilvl w:val="0"/>
          <w:numId w:val="21"/>
        </w:numPr>
        <w:tabs>
          <w:tab w:val="clear" w:pos="709"/>
          <w:tab w:val="left" w:pos="709" w:leader="none"/>
        </w:tabs>
        <w:bidi w:val="0"/>
        <w:ind w:hanging="283" w:start="709"/>
        <w:jc w:val="start"/>
        <w:rPr/>
      </w:pPr>
      <w:r>
        <w:rPr/>
        <w:t>What price and cancellation policy lets a coach sell a reliable online/hybrid programme?</w:t>
      </w:r>
    </w:p>
    <w:p>
      <w:pPr>
        <w:pStyle w:val="BodyText"/>
        <w:numPr>
          <w:ilvl w:val="0"/>
          <w:numId w:val="21"/>
        </w:numPr>
        <w:tabs>
          <w:tab w:val="clear" w:pos="709"/>
          <w:tab w:val="left" w:pos="709" w:leader="none"/>
        </w:tabs>
        <w:bidi w:val="0"/>
        <w:ind w:hanging="283" w:start="709"/>
        <w:jc w:val="start"/>
        <w:rPr/>
      </w:pPr>
      <w:r>
        <w:rPr/>
        <w:t>Which locally relevant activities (strength, running, dance/HIIT, football, yoga, rehabilitation) produce the densest repeat communities?</w:t>
      </w:r>
    </w:p>
    <w:p>
      <w:pPr>
        <w:pStyle w:val="HorizontalLine"/>
        <w:bidi w:val="0"/>
        <w:jc w:val="start"/>
        <w:rPr/>
      </w:pPr>
      <w:r>
        <w:rPr/>
      </w:r>
    </w:p>
    <w:p>
      <w:pPr>
        <w:pStyle w:val="Heading2"/>
        <w:bidi w:val="0"/>
        <w:ind w:hanging="0" w:start="0"/>
        <w:jc w:val="start"/>
        <w:rPr/>
      </w:pPr>
      <w:r>
        <w:rPr/>
        <w:t>8. Competitive audit: local, Pan-African and global</w:t>
      </w:r>
    </w:p>
    <w:p>
      <w:pPr>
        <w:pStyle w:val="BodyText"/>
        <w:bidi w:val="0"/>
        <w:jc w:val="start"/>
        <w:rPr/>
      </w:pPr>
      <w:r>
        <w:rPr/>
        <w:t>Competition is fragmented by job-to-be-done. Bud does not claim that no competitor has community, tracking or video. Its opportunity is to integrate local partner community, mutual accountability and commerce—first in Kenya, then Pan-Africa, then selected global markets.</w:t>
      </w:r>
    </w:p>
    <w:p>
      <w:pPr>
        <w:pStyle w:val="Heading3"/>
        <w:bidi w:val="0"/>
        <w:ind w:hanging="0" w:start="0"/>
        <w:jc w:val="start"/>
        <w:rPr/>
      </w:pPr>
      <w:r>
        <w:rPr/>
        <w:t>8.1 Global and category competitors</w:t>
      </w:r>
    </w:p>
    <w:tbl>
      <w:tblPr>
        <w:tblW w:w="5000" w:type="pct"/>
        <w:jc w:val="start"/>
        <w:tblInd w:w="-5" w:type="dxa"/>
        <w:tblLayout w:type="fixed"/>
        <w:tblCellMar>
          <w:top w:w="55" w:type="dxa"/>
          <w:start w:w="55" w:type="dxa"/>
          <w:bottom w:w="55" w:type="dxa"/>
          <w:end w:w="55" w:type="dxa"/>
        </w:tblCellMar>
      </w:tblPr>
      <w:tblGrid>
        <w:gridCol w:w="2493"/>
        <w:gridCol w:w="2493"/>
        <w:gridCol w:w="2493"/>
        <w:gridCol w:w="2493"/>
      </w:tblGrid>
      <w:tr>
        <w:trPr>
          <w:tblHeader w:val="true"/>
        </w:trPr>
        <w:tc>
          <w:tcPr>
            <w:tcW w:w="2493" w:type="dxa"/>
            <w:tcBorders>
              <w:top w:val="single" w:sz="4" w:space="0" w:color="000000"/>
              <w:start w:val="single" w:sz="4" w:space="0" w:color="000000"/>
              <w:bottom w:val="single" w:sz="4" w:space="0" w:color="000000"/>
            </w:tcBorders>
          </w:tcPr>
          <w:p>
            <w:pPr>
              <w:pStyle w:val="TableHeading"/>
              <w:bidi w:val="0"/>
              <w:jc w:val="start"/>
              <w:rPr/>
            </w:pPr>
            <w:r>
              <w:rPr/>
              <w:t>Competitor/category</w:t>
            </w:r>
          </w:p>
        </w:tc>
        <w:tc>
          <w:tcPr>
            <w:tcW w:w="2493" w:type="dxa"/>
            <w:tcBorders>
              <w:top w:val="single" w:sz="4" w:space="0" w:color="000000"/>
              <w:start w:val="single" w:sz="4" w:space="0" w:color="000000"/>
              <w:bottom w:val="single" w:sz="4" w:space="0" w:color="000000"/>
            </w:tcBorders>
          </w:tcPr>
          <w:p>
            <w:pPr>
              <w:pStyle w:val="TableHeading"/>
              <w:bidi w:val="0"/>
              <w:jc w:val="start"/>
              <w:rPr/>
            </w:pPr>
            <w:r>
              <w:rPr/>
              <w:t>Strongest customer value</w:t>
            </w:r>
          </w:p>
        </w:tc>
        <w:tc>
          <w:tcPr>
            <w:tcW w:w="2493" w:type="dxa"/>
            <w:tcBorders>
              <w:top w:val="single" w:sz="4" w:space="0" w:color="000000"/>
              <w:start w:val="single" w:sz="4" w:space="0" w:color="000000"/>
              <w:bottom w:val="single" w:sz="4" w:space="0" w:color="000000"/>
            </w:tcBorders>
          </w:tcPr>
          <w:p>
            <w:pPr>
              <w:pStyle w:val="TableHeading"/>
              <w:bidi w:val="0"/>
              <w:jc w:val="start"/>
              <w:rPr/>
            </w:pPr>
            <w:r>
              <w:rPr/>
              <w:t>Gap Bud can address</w:t>
            </w:r>
          </w:p>
        </w:tc>
        <w:tc>
          <w:tcPr>
            <w:tcW w:w="249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Strategic response</w:t>
            </w:r>
          </w:p>
        </w:tc>
      </w:tr>
      <w:tr>
        <w:trPr/>
        <w:tc>
          <w:tcPr>
            <w:tcW w:w="2493" w:type="dxa"/>
            <w:tcBorders>
              <w:start w:val="single" w:sz="4" w:space="0" w:color="000000"/>
              <w:bottom w:val="single" w:sz="4" w:space="0" w:color="000000"/>
            </w:tcBorders>
          </w:tcPr>
          <w:p>
            <w:pPr>
              <w:pStyle w:val="TableContents"/>
              <w:bidi w:val="0"/>
              <w:jc w:val="start"/>
              <w:rPr/>
            </w:pPr>
            <w:r>
              <w:rPr/>
              <w:t>Strava</w:t>
            </w:r>
          </w:p>
        </w:tc>
        <w:tc>
          <w:tcPr>
            <w:tcW w:w="2493" w:type="dxa"/>
            <w:tcBorders>
              <w:start w:val="single" w:sz="4" w:space="0" w:color="000000"/>
              <w:bottom w:val="single" w:sz="4" w:space="0" w:color="000000"/>
            </w:tcBorders>
          </w:tcPr>
          <w:p>
            <w:pPr>
              <w:pStyle w:val="TableContents"/>
              <w:bidi w:val="0"/>
              <w:jc w:val="start"/>
              <w:rPr/>
            </w:pPr>
            <w:r>
              <w:rPr/>
              <w:t>Deep activity tracking, global community, device ecosystem (180M+ active people)</w:t>
            </w:r>
          </w:p>
        </w:tc>
        <w:tc>
          <w:tcPr>
            <w:tcW w:w="2493" w:type="dxa"/>
            <w:tcBorders>
              <w:start w:val="single" w:sz="4" w:space="0" w:color="000000"/>
              <w:bottom w:val="single" w:sz="4" w:space="0" w:color="000000"/>
            </w:tcBorders>
          </w:tcPr>
          <w:p>
            <w:pPr>
              <w:pStyle w:val="TableContents"/>
              <w:bidi w:val="0"/>
              <w:jc w:val="start"/>
              <w:rPr/>
            </w:pPr>
            <w:r>
              <w:rPr/>
              <w:t>Strong outdoor/endurance brand; not a Kenya-local gym operating system</w:t>
            </w:r>
          </w:p>
        </w:tc>
        <w:tc>
          <w:tcPr>
            <w:tcW w:w="2493" w:type="dxa"/>
            <w:tcBorders>
              <w:start w:val="single" w:sz="4" w:space="0" w:color="000000"/>
              <w:bottom w:val="single" w:sz="4" w:space="0" w:color="000000"/>
              <w:end w:val="single" w:sz="4" w:space="0" w:color="000000"/>
            </w:tcBorders>
          </w:tcPr>
          <w:p>
            <w:pPr>
              <w:pStyle w:val="TableContents"/>
              <w:bidi w:val="0"/>
              <w:jc w:val="start"/>
              <w:rPr/>
            </w:pPr>
            <w:r>
              <w:rPr/>
              <w:t>Integrate/share where useful; own accountability cohorts and local partner workflows, not GPS parity</w:t>
            </w:r>
          </w:p>
        </w:tc>
      </w:tr>
      <w:tr>
        <w:trPr/>
        <w:tc>
          <w:tcPr>
            <w:tcW w:w="2493" w:type="dxa"/>
            <w:tcBorders>
              <w:start w:val="single" w:sz="4" w:space="0" w:color="000000"/>
              <w:bottom w:val="single" w:sz="4" w:space="0" w:color="000000"/>
            </w:tcBorders>
          </w:tcPr>
          <w:p>
            <w:pPr>
              <w:pStyle w:val="TableContents"/>
              <w:bidi w:val="0"/>
              <w:jc w:val="start"/>
              <w:rPr/>
            </w:pPr>
            <w:r>
              <w:rPr/>
              <w:t>Nike Training Club / FitOn / YouTube fitness</w:t>
            </w:r>
          </w:p>
        </w:tc>
        <w:tc>
          <w:tcPr>
            <w:tcW w:w="2493" w:type="dxa"/>
            <w:tcBorders>
              <w:start w:val="single" w:sz="4" w:space="0" w:color="000000"/>
              <w:bottom w:val="single" w:sz="4" w:space="0" w:color="000000"/>
            </w:tcBorders>
          </w:tcPr>
          <w:p>
            <w:pPr>
              <w:pStyle w:val="TableContents"/>
              <w:bidi w:val="0"/>
              <w:jc w:val="start"/>
              <w:rPr/>
            </w:pPr>
            <w:r>
              <w:rPr/>
              <w:t>Large, polished on-demand content libraries</w:t>
            </w:r>
          </w:p>
        </w:tc>
        <w:tc>
          <w:tcPr>
            <w:tcW w:w="2493" w:type="dxa"/>
            <w:tcBorders>
              <w:start w:val="single" w:sz="4" w:space="0" w:color="000000"/>
              <w:bottom w:val="single" w:sz="4" w:space="0" w:color="000000"/>
            </w:tcBorders>
          </w:tcPr>
          <w:p>
            <w:pPr>
              <w:pStyle w:val="TableContents"/>
              <w:bidi w:val="0"/>
              <w:jc w:val="start"/>
              <w:rPr/>
            </w:pPr>
            <w:r>
              <w:rPr/>
              <w:t>Content abundance does not guarantee local relationships or trusted booking</w:t>
            </w:r>
          </w:p>
        </w:tc>
        <w:tc>
          <w:tcPr>
            <w:tcW w:w="2493" w:type="dxa"/>
            <w:tcBorders>
              <w:start w:val="single" w:sz="4" w:space="0" w:color="000000"/>
              <w:bottom w:val="single" w:sz="4" w:space="0" w:color="000000"/>
              <w:end w:val="single" w:sz="4" w:space="0" w:color="000000"/>
            </w:tcBorders>
          </w:tcPr>
          <w:p>
            <w:pPr>
              <w:pStyle w:val="TableContents"/>
              <w:bidi w:val="0"/>
              <w:jc w:val="start"/>
              <w:rPr/>
            </w:pPr>
            <w:r>
              <w:rPr/>
              <w:t>Curate partner-led programmes; do not fund a content-volume war</w:t>
            </w:r>
          </w:p>
        </w:tc>
      </w:tr>
      <w:tr>
        <w:trPr/>
        <w:tc>
          <w:tcPr>
            <w:tcW w:w="2493" w:type="dxa"/>
            <w:tcBorders>
              <w:start w:val="single" w:sz="4" w:space="0" w:color="000000"/>
              <w:bottom w:val="single" w:sz="4" w:space="0" w:color="000000"/>
            </w:tcBorders>
          </w:tcPr>
          <w:p>
            <w:pPr>
              <w:pStyle w:val="TableContents"/>
              <w:bidi w:val="0"/>
              <w:jc w:val="start"/>
              <w:rPr/>
            </w:pPr>
            <w:r>
              <w:rPr/>
              <w:t>Peloton</w:t>
            </w:r>
          </w:p>
        </w:tc>
        <w:tc>
          <w:tcPr>
            <w:tcW w:w="2493" w:type="dxa"/>
            <w:tcBorders>
              <w:start w:val="single" w:sz="4" w:space="0" w:color="000000"/>
              <w:bottom w:val="single" w:sz="4" w:space="0" w:color="000000"/>
            </w:tcBorders>
          </w:tcPr>
          <w:p>
            <w:pPr>
              <w:pStyle w:val="TableContents"/>
              <w:bidi w:val="0"/>
              <w:jc w:val="start"/>
              <w:rPr/>
            </w:pPr>
            <w:r>
              <w:rPr/>
              <w:t>Premium instruction, hardware, subscription</w:t>
            </w:r>
          </w:p>
        </w:tc>
        <w:tc>
          <w:tcPr>
            <w:tcW w:w="2493" w:type="dxa"/>
            <w:tcBorders>
              <w:start w:val="single" w:sz="4" w:space="0" w:color="000000"/>
              <w:bottom w:val="single" w:sz="4" w:space="0" w:color="000000"/>
            </w:tcBorders>
          </w:tcPr>
          <w:p>
            <w:pPr>
              <w:pStyle w:val="TableContents"/>
              <w:bidi w:val="0"/>
              <w:jc w:val="start"/>
              <w:rPr/>
            </w:pPr>
            <w:r>
              <w:rPr/>
              <w:t>Expensive, hardware-led model mismatched to a broad African beachhead</w:t>
            </w:r>
          </w:p>
        </w:tc>
        <w:tc>
          <w:tcPr>
            <w:tcW w:w="2493" w:type="dxa"/>
            <w:tcBorders>
              <w:start w:val="single" w:sz="4" w:space="0" w:color="000000"/>
              <w:bottom w:val="single" w:sz="4" w:space="0" w:color="000000"/>
              <w:end w:val="single" w:sz="4" w:space="0" w:color="000000"/>
            </w:tcBorders>
          </w:tcPr>
          <w:p>
            <w:pPr>
              <w:pStyle w:val="TableContents"/>
              <w:bidi w:val="0"/>
              <w:jc w:val="start"/>
              <w:rPr/>
            </w:pPr>
            <w:r>
              <w:rPr/>
              <w:t>Offer device-agnostic group accountability at local prices</w:t>
            </w:r>
          </w:p>
        </w:tc>
      </w:tr>
      <w:tr>
        <w:trPr/>
        <w:tc>
          <w:tcPr>
            <w:tcW w:w="2493" w:type="dxa"/>
            <w:tcBorders>
              <w:start w:val="single" w:sz="4" w:space="0" w:color="000000"/>
              <w:bottom w:val="single" w:sz="4" w:space="0" w:color="000000"/>
            </w:tcBorders>
          </w:tcPr>
          <w:p>
            <w:pPr>
              <w:pStyle w:val="TableContents"/>
              <w:bidi w:val="0"/>
              <w:jc w:val="start"/>
              <w:rPr/>
            </w:pPr>
            <w:r>
              <w:rPr/>
              <w:t>ClassPass</w:t>
            </w:r>
          </w:p>
        </w:tc>
        <w:tc>
          <w:tcPr>
            <w:tcW w:w="2493" w:type="dxa"/>
            <w:tcBorders>
              <w:start w:val="single" w:sz="4" w:space="0" w:color="000000"/>
              <w:bottom w:val="single" w:sz="4" w:space="0" w:color="000000"/>
            </w:tcBorders>
          </w:tcPr>
          <w:p>
            <w:pPr>
              <w:pStyle w:val="TableContents"/>
              <w:bidi w:val="0"/>
              <w:jc w:val="start"/>
              <w:rPr/>
            </w:pPr>
            <w:r>
              <w:rPr/>
              <w:t>Discovery and credit-based booking</w:t>
            </w:r>
          </w:p>
        </w:tc>
        <w:tc>
          <w:tcPr>
            <w:tcW w:w="2493" w:type="dxa"/>
            <w:tcBorders>
              <w:start w:val="single" w:sz="4" w:space="0" w:color="000000"/>
              <w:bottom w:val="single" w:sz="4" w:space="0" w:color="000000"/>
            </w:tcBorders>
          </w:tcPr>
          <w:p>
            <w:pPr>
              <w:pStyle w:val="TableContents"/>
              <w:bidi w:val="0"/>
              <w:jc w:val="start"/>
              <w:rPr/>
            </w:pPr>
            <w:r>
              <w:rPr/>
              <w:t>Transactional demand marketplace, not persistent gym community</w:t>
            </w:r>
          </w:p>
        </w:tc>
        <w:tc>
          <w:tcPr>
            <w:tcW w:w="2493" w:type="dxa"/>
            <w:tcBorders>
              <w:start w:val="single" w:sz="4" w:space="0" w:color="000000"/>
              <w:bottom w:val="single" w:sz="4" w:space="0" w:color="000000"/>
              <w:end w:val="single" w:sz="4" w:space="0" w:color="000000"/>
            </w:tcBorders>
          </w:tcPr>
          <w:p>
            <w:pPr>
              <w:pStyle w:val="TableContents"/>
              <w:bidi w:val="0"/>
              <w:jc w:val="start"/>
              <w:rPr/>
            </w:pPr>
            <w:r>
              <w:rPr/>
              <w:t>Give partners community and retention tools; add cross-partner discovery only where supply economics work</w:t>
            </w:r>
          </w:p>
        </w:tc>
      </w:tr>
      <w:tr>
        <w:trPr/>
        <w:tc>
          <w:tcPr>
            <w:tcW w:w="2493" w:type="dxa"/>
            <w:tcBorders>
              <w:start w:val="single" w:sz="4" w:space="0" w:color="000000"/>
              <w:bottom w:val="single" w:sz="4" w:space="0" w:color="000000"/>
            </w:tcBorders>
          </w:tcPr>
          <w:p>
            <w:pPr>
              <w:pStyle w:val="TableContents"/>
              <w:bidi w:val="0"/>
              <w:jc w:val="start"/>
              <w:rPr/>
            </w:pPr>
            <w:r>
              <w:rPr/>
              <w:t>Trainerize / TrueCoach</w:t>
            </w:r>
          </w:p>
        </w:tc>
        <w:tc>
          <w:tcPr>
            <w:tcW w:w="2493" w:type="dxa"/>
            <w:tcBorders>
              <w:start w:val="single" w:sz="4" w:space="0" w:color="000000"/>
              <w:bottom w:val="single" w:sz="4" w:space="0" w:color="000000"/>
            </w:tcBorders>
          </w:tcPr>
          <w:p>
            <w:pPr>
              <w:pStyle w:val="TableContents"/>
              <w:bidi w:val="0"/>
              <w:jc w:val="start"/>
              <w:rPr/>
            </w:pPr>
            <w:r>
              <w:rPr/>
              <w:t>Coach programming and client-management workflows</w:t>
            </w:r>
          </w:p>
        </w:tc>
        <w:tc>
          <w:tcPr>
            <w:tcW w:w="2493" w:type="dxa"/>
            <w:tcBorders>
              <w:start w:val="single" w:sz="4" w:space="0" w:color="000000"/>
              <w:bottom w:val="single" w:sz="4" w:space="0" w:color="000000"/>
            </w:tcBorders>
          </w:tcPr>
          <w:p>
            <w:pPr>
              <w:pStyle w:val="TableContents"/>
              <w:bidi w:val="0"/>
              <w:jc w:val="start"/>
              <w:rPr/>
            </w:pPr>
            <w:r>
              <w:rPr/>
              <w:t>Strong B2B tools but not a local social acquisition/community network</w:t>
            </w:r>
          </w:p>
        </w:tc>
        <w:tc>
          <w:tcPr>
            <w:tcW w:w="2493" w:type="dxa"/>
            <w:tcBorders>
              <w:start w:val="single" w:sz="4" w:space="0" w:color="000000"/>
              <w:bottom w:val="single" w:sz="4" w:space="0" w:color="000000"/>
              <w:end w:val="single" w:sz="4" w:space="0" w:color="000000"/>
            </w:tcBorders>
          </w:tcPr>
          <w:p>
            <w:pPr>
              <w:pStyle w:val="TableContents"/>
              <w:bidi w:val="0"/>
              <w:jc w:val="start"/>
              <w:rPr/>
            </w:pPr>
            <w:r>
              <w:rPr/>
              <w:t>Win with discovery + community; partner/integrate rather than recreate mature back-office depth early</w:t>
            </w:r>
          </w:p>
        </w:tc>
      </w:tr>
      <w:tr>
        <w:trPr/>
        <w:tc>
          <w:tcPr>
            <w:tcW w:w="2493" w:type="dxa"/>
            <w:tcBorders>
              <w:start w:val="single" w:sz="4" w:space="0" w:color="000000"/>
              <w:bottom w:val="single" w:sz="4" w:space="0" w:color="000000"/>
            </w:tcBorders>
          </w:tcPr>
          <w:p>
            <w:pPr>
              <w:pStyle w:val="TableContents"/>
              <w:bidi w:val="0"/>
              <w:jc w:val="start"/>
              <w:rPr/>
            </w:pPr>
            <w:r>
              <w:rPr/>
              <w:t>Instagram/TikTok/WhatsApp</w:t>
            </w:r>
          </w:p>
        </w:tc>
        <w:tc>
          <w:tcPr>
            <w:tcW w:w="2493" w:type="dxa"/>
            <w:tcBorders>
              <w:start w:val="single" w:sz="4" w:space="0" w:color="000000"/>
              <w:bottom w:val="single" w:sz="4" w:space="0" w:color="000000"/>
            </w:tcBorders>
          </w:tcPr>
          <w:p>
            <w:pPr>
              <w:pStyle w:val="TableContents"/>
              <w:bidi w:val="0"/>
              <w:jc w:val="start"/>
              <w:rPr/>
            </w:pPr>
            <w:r>
              <w:rPr/>
              <w:t>Discovery, creators, habit-forming communication</w:t>
            </w:r>
          </w:p>
        </w:tc>
        <w:tc>
          <w:tcPr>
            <w:tcW w:w="2493" w:type="dxa"/>
            <w:tcBorders>
              <w:start w:val="single" w:sz="4" w:space="0" w:color="000000"/>
              <w:bottom w:val="single" w:sz="4" w:space="0" w:color="000000"/>
            </w:tcBorders>
          </w:tcPr>
          <w:p>
            <w:pPr>
              <w:pStyle w:val="TableContents"/>
              <w:bidi w:val="0"/>
              <w:jc w:val="start"/>
              <w:rPr/>
            </w:pPr>
            <w:r>
              <w:rPr/>
              <w:t>No fitness-specific trust, attendance, scheduling or controlled transactions</w:t>
            </w:r>
          </w:p>
        </w:tc>
        <w:tc>
          <w:tcPr>
            <w:tcW w:w="2493" w:type="dxa"/>
            <w:tcBorders>
              <w:start w:val="single" w:sz="4" w:space="0" w:color="000000"/>
              <w:bottom w:val="single" w:sz="4" w:space="0" w:color="000000"/>
              <w:end w:val="single" w:sz="4" w:space="0" w:color="000000"/>
            </w:tcBorders>
          </w:tcPr>
          <w:p>
            <w:pPr>
              <w:pStyle w:val="TableContents"/>
              <w:bidi w:val="0"/>
              <w:jc w:val="start"/>
              <w:rPr/>
            </w:pPr>
            <w:r>
              <w:rPr/>
              <w:t>Use as acquisition channels; offer the action layer they lack</w:t>
            </w:r>
          </w:p>
        </w:tc>
      </w:tr>
      <w:tr>
        <w:trPr/>
        <w:tc>
          <w:tcPr>
            <w:tcW w:w="2493" w:type="dxa"/>
            <w:tcBorders>
              <w:start w:val="single" w:sz="4" w:space="0" w:color="000000"/>
              <w:bottom w:val="single" w:sz="4" w:space="0" w:color="000000"/>
            </w:tcBorders>
          </w:tcPr>
          <w:p>
            <w:pPr>
              <w:pStyle w:val="TableContents"/>
              <w:bidi w:val="0"/>
              <w:jc w:val="start"/>
              <w:rPr/>
            </w:pPr>
            <w:r>
              <w:rPr/>
              <w:t>Fitbit / Apple Health / MyFitnessPal</w:t>
            </w:r>
          </w:p>
        </w:tc>
        <w:tc>
          <w:tcPr>
            <w:tcW w:w="2493" w:type="dxa"/>
            <w:tcBorders>
              <w:start w:val="single" w:sz="4" w:space="0" w:color="000000"/>
              <w:bottom w:val="single" w:sz="4" w:space="0" w:color="000000"/>
            </w:tcBorders>
          </w:tcPr>
          <w:p>
            <w:pPr>
              <w:pStyle w:val="TableContents"/>
              <w:bidi w:val="0"/>
              <w:jc w:val="start"/>
              <w:rPr/>
            </w:pPr>
            <w:r>
              <w:rPr/>
              <w:t>Tracking, wearables, nutrition</w:t>
            </w:r>
          </w:p>
        </w:tc>
        <w:tc>
          <w:tcPr>
            <w:tcW w:w="2493" w:type="dxa"/>
            <w:tcBorders>
              <w:start w:val="single" w:sz="4" w:space="0" w:color="000000"/>
              <w:bottom w:val="single" w:sz="4" w:space="0" w:color="000000"/>
            </w:tcBorders>
          </w:tcPr>
          <w:p>
            <w:pPr>
              <w:pStyle w:val="TableContents"/>
              <w:bidi w:val="0"/>
              <w:jc w:val="start"/>
              <w:rPr/>
            </w:pPr>
            <w:r>
              <w:rPr/>
              <w:t>Personal dashboards with no accountability layer</w:t>
            </w:r>
          </w:p>
        </w:tc>
        <w:tc>
          <w:tcPr>
            <w:tcW w:w="2493" w:type="dxa"/>
            <w:tcBorders>
              <w:start w:val="single" w:sz="4" w:space="0" w:color="000000"/>
              <w:bottom w:val="single" w:sz="4" w:space="0" w:color="000000"/>
              <w:end w:val="single" w:sz="4" w:space="0" w:color="000000"/>
            </w:tcBorders>
          </w:tcPr>
          <w:p>
            <w:pPr>
              <w:pStyle w:val="TableContents"/>
              <w:bidi w:val="0"/>
              <w:jc w:val="start"/>
              <w:rPr/>
            </w:pPr>
            <w:r>
              <w:rPr/>
              <w:t>Integrate wearables; do not compete on solo tracking</w:t>
            </w:r>
          </w:p>
        </w:tc>
      </w:tr>
      <w:tr>
        <w:trPr/>
        <w:tc>
          <w:tcPr>
            <w:tcW w:w="2493" w:type="dxa"/>
            <w:tcBorders>
              <w:start w:val="single" w:sz="4" w:space="0" w:color="000000"/>
              <w:bottom w:val="single" w:sz="4" w:space="0" w:color="000000"/>
            </w:tcBorders>
          </w:tcPr>
          <w:p>
            <w:pPr>
              <w:pStyle w:val="TableContents"/>
              <w:bidi w:val="0"/>
              <w:jc w:val="start"/>
              <w:rPr/>
            </w:pPr>
            <w:r>
              <w:rPr/>
              <w:t>Twitch (fitness category)</w:t>
            </w:r>
          </w:p>
        </w:tc>
        <w:tc>
          <w:tcPr>
            <w:tcW w:w="2493" w:type="dxa"/>
            <w:tcBorders>
              <w:start w:val="single" w:sz="4" w:space="0" w:color="000000"/>
              <w:bottom w:val="single" w:sz="4" w:space="0" w:color="000000"/>
            </w:tcBorders>
          </w:tcPr>
          <w:p>
            <w:pPr>
              <w:pStyle w:val="TableContents"/>
              <w:bidi w:val="0"/>
              <w:jc w:val="start"/>
              <w:rPr/>
            </w:pPr>
            <w:r>
              <w:rPr/>
              <w:t>Live streaming + chat</w:t>
            </w:r>
          </w:p>
        </w:tc>
        <w:tc>
          <w:tcPr>
            <w:tcW w:w="2493" w:type="dxa"/>
            <w:tcBorders>
              <w:start w:val="single" w:sz="4" w:space="0" w:color="000000"/>
              <w:bottom w:val="single" w:sz="4" w:space="0" w:color="000000"/>
            </w:tcBorders>
          </w:tcPr>
          <w:p>
            <w:pPr>
              <w:pStyle w:val="TableContents"/>
              <w:bidi w:val="0"/>
              <w:jc w:val="start"/>
              <w:rPr/>
            </w:pPr>
            <w:r>
              <w:rPr/>
              <w:t>Not purpose-built for fitness; no accountability or commerce</w:t>
            </w:r>
          </w:p>
        </w:tc>
        <w:tc>
          <w:tcPr>
            <w:tcW w:w="2493" w:type="dxa"/>
            <w:tcBorders>
              <w:start w:val="single" w:sz="4" w:space="0" w:color="000000"/>
              <w:bottom w:val="single" w:sz="4" w:space="0" w:color="000000"/>
              <w:end w:val="single" w:sz="4" w:space="0" w:color="000000"/>
            </w:tcBorders>
          </w:tcPr>
          <w:p>
            <w:pPr>
              <w:pStyle w:val="TableContents"/>
              <w:bidi w:val="0"/>
              <w:jc w:val="start"/>
              <w:rPr/>
            </w:pPr>
            <w:r>
              <w:rPr/>
              <w:t>Reference for live engagement, not a direct competitor</w:t>
            </w:r>
          </w:p>
        </w:tc>
      </w:tr>
    </w:tbl>
    <w:p>
      <w:pPr>
        <w:pStyle w:val="BodyText"/>
        <w:bidi w:val="0"/>
        <w:jc w:val="start"/>
        <w:rPr/>
      </w:pPr>
      <w:r>
        <w:rPr/>
      </w:r>
    </w:p>
    <w:p>
      <w:pPr>
        <w:pStyle w:val="Heading3"/>
        <w:bidi w:val="0"/>
        <w:ind w:hanging="0" w:start="0"/>
        <w:jc w:val="start"/>
        <w:rPr/>
      </w:pPr>
      <w:r>
        <w:rPr/>
        <w:t>8.2 Pan-African and local competition</w:t>
      </w:r>
    </w:p>
    <w:p>
      <w:pPr>
        <w:pStyle w:val="BodyText"/>
        <w:bidi w:val="0"/>
        <w:jc w:val="start"/>
        <w:rPr/>
      </w:pPr>
      <w:r>
        <w:rPr/>
        <w:t>The immediate local competitors are often not branded apps: gym front desks, WhatsApp groups, Instagram coach pages, M-PESA till payments, spreadsheets and informal referrals. Their advantages are familiarity and zero switching cost. Bud must import member data/events quickly, work on low-to-mid-range phones, make mobile-money payment simple, and show a gym an early retention result.</w:t>
      </w:r>
    </w:p>
    <w:p>
      <w:pPr>
        <w:pStyle w:val="BodyText"/>
        <w:bidi w:val="0"/>
        <w:jc w:val="start"/>
        <w:rPr/>
      </w:pPr>
      <w:r>
        <w:rPr/>
        <w:t>Pan-African competitors of note (to monitor as they scale): regional fitness and gym-management SaaS, mobile-wallet-adjacent wellness products, and global platforms entering via acquisition of local supply. The defensive posture is partner density and operating proof, not brand spend.</w:t>
      </w:r>
    </w:p>
    <w:tbl>
      <w:tblPr>
        <w:tblW w:w="5000" w:type="pct"/>
        <w:jc w:val="start"/>
        <w:tblInd w:w="-5" w:type="dxa"/>
        <w:tblLayout w:type="fixed"/>
        <w:tblCellMar>
          <w:top w:w="55" w:type="dxa"/>
          <w:start w:w="55" w:type="dxa"/>
          <w:bottom w:w="55" w:type="dxa"/>
          <w:end w:w="55" w:type="dxa"/>
        </w:tblCellMar>
      </w:tblPr>
      <w:tblGrid>
        <w:gridCol w:w="3324"/>
        <w:gridCol w:w="3324"/>
        <w:gridCol w:w="3324"/>
      </w:tblGrid>
      <w:tr>
        <w:trPr>
          <w:tblHeader w:val="true"/>
        </w:trPr>
        <w:tc>
          <w:tcPr>
            <w:tcW w:w="3324" w:type="dxa"/>
            <w:tcBorders>
              <w:top w:val="single" w:sz="4" w:space="0" w:color="000000"/>
              <w:start w:val="single" w:sz="4" w:space="0" w:color="000000"/>
              <w:bottom w:val="single" w:sz="4" w:space="0" w:color="000000"/>
            </w:tcBorders>
          </w:tcPr>
          <w:p>
            <w:pPr>
              <w:pStyle w:val="TableHeading"/>
              <w:bidi w:val="0"/>
              <w:jc w:val="start"/>
              <w:rPr/>
            </w:pPr>
            <w:r>
              <w:rPr/>
              <w:t>Local substitute</w:t>
            </w:r>
          </w:p>
        </w:tc>
        <w:tc>
          <w:tcPr>
            <w:tcW w:w="3324" w:type="dxa"/>
            <w:tcBorders>
              <w:top w:val="single" w:sz="4" w:space="0" w:color="000000"/>
              <w:start w:val="single" w:sz="4" w:space="0" w:color="000000"/>
              <w:bottom w:val="single" w:sz="4" w:space="0" w:color="000000"/>
            </w:tcBorders>
          </w:tcPr>
          <w:p>
            <w:pPr>
              <w:pStyle w:val="TableHeading"/>
              <w:bidi w:val="0"/>
              <w:jc w:val="start"/>
              <w:rPr/>
            </w:pPr>
            <w:r>
              <w:rPr/>
              <w:t>Advantage</w:t>
            </w:r>
          </w:p>
        </w:tc>
        <w:tc>
          <w:tcPr>
            <w:tcW w:w="3324"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Bud response</w:t>
            </w:r>
          </w:p>
        </w:tc>
      </w:tr>
      <w:tr>
        <w:trPr/>
        <w:tc>
          <w:tcPr>
            <w:tcW w:w="3324" w:type="dxa"/>
            <w:tcBorders>
              <w:start w:val="single" w:sz="4" w:space="0" w:color="000000"/>
              <w:bottom w:val="single" w:sz="4" w:space="0" w:color="000000"/>
            </w:tcBorders>
          </w:tcPr>
          <w:p>
            <w:pPr>
              <w:pStyle w:val="TableContents"/>
              <w:bidi w:val="0"/>
              <w:jc w:val="start"/>
              <w:rPr/>
            </w:pPr>
            <w:r>
              <w:rPr/>
              <w:t>WhatsApp groups</w:t>
            </w:r>
          </w:p>
        </w:tc>
        <w:tc>
          <w:tcPr>
            <w:tcW w:w="3324" w:type="dxa"/>
            <w:tcBorders>
              <w:start w:val="single" w:sz="4" w:space="0" w:color="000000"/>
              <w:bottom w:val="single" w:sz="4" w:space="0" w:color="000000"/>
            </w:tcBorders>
          </w:tcPr>
          <w:p>
            <w:pPr>
              <w:pStyle w:val="TableContents"/>
              <w:bidi w:val="0"/>
              <w:jc w:val="start"/>
              <w:rPr/>
            </w:pPr>
            <w:r>
              <w:rPr/>
              <w:t>Familiar, free, zero switching cost</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Offer attendance, scheduling, payments and safety the group lacks; import/export events</w:t>
            </w:r>
          </w:p>
        </w:tc>
      </w:tr>
      <w:tr>
        <w:trPr/>
        <w:tc>
          <w:tcPr>
            <w:tcW w:w="3324" w:type="dxa"/>
            <w:tcBorders>
              <w:start w:val="single" w:sz="4" w:space="0" w:color="000000"/>
              <w:bottom w:val="single" w:sz="4" w:space="0" w:color="000000"/>
            </w:tcBorders>
          </w:tcPr>
          <w:p>
            <w:pPr>
              <w:pStyle w:val="TableContents"/>
              <w:bidi w:val="0"/>
              <w:jc w:val="start"/>
              <w:rPr/>
            </w:pPr>
            <w:r>
              <w:rPr/>
              <w:t>Gym front desk + spreadsheets</w:t>
            </w:r>
          </w:p>
        </w:tc>
        <w:tc>
          <w:tcPr>
            <w:tcW w:w="3324" w:type="dxa"/>
            <w:tcBorders>
              <w:start w:val="single" w:sz="4" w:space="0" w:color="000000"/>
              <w:bottom w:val="single" w:sz="4" w:space="0" w:color="000000"/>
            </w:tcBorders>
          </w:tcPr>
          <w:p>
            <w:pPr>
              <w:pStyle w:val="TableContents"/>
              <w:bidi w:val="0"/>
              <w:jc w:val="start"/>
              <w:rPr/>
            </w:pPr>
            <w:r>
              <w:rPr/>
              <w:t>Trusted, in-person</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QR join, member management, retention dashboard, check-in</w:t>
            </w:r>
          </w:p>
        </w:tc>
      </w:tr>
      <w:tr>
        <w:trPr/>
        <w:tc>
          <w:tcPr>
            <w:tcW w:w="3324" w:type="dxa"/>
            <w:tcBorders>
              <w:start w:val="single" w:sz="4" w:space="0" w:color="000000"/>
              <w:bottom w:val="single" w:sz="4" w:space="0" w:color="000000"/>
            </w:tcBorders>
          </w:tcPr>
          <w:p>
            <w:pPr>
              <w:pStyle w:val="TableContents"/>
              <w:bidi w:val="0"/>
              <w:jc w:val="start"/>
              <w:rPr/>
            </w:pPr>
            <w:r>
              <w:rPr/>
              <w:t>Instagram coach pages</w:t>
            </w:r>
          </w:p>
        </w:tc>
        <w:tc>
          <w:tcPr>
            <w:tcW w:w="3324" w:type="dxa"/>
            <w:tcBorders>
              <w:start w:val="single" w:sz="4" w:space="0" w:color="000000"/>
              <w:bottom w:val="single" w:sz="4" w:space="0" w:color="000000"/>
            </w:tcBorders>
          </w:tcPr>
          <w:p>
            <w:pPr>
              <w:pStyle w:val="TableContents"/>
              <w:bidi w:val="0"/>
              <w:jc w:val="start"/>
              <w:rPr/>
            </w:pPr>
            <w:r>
              <w:rPr/>
              <w:t>Distribution and trust via social</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Verified profiles, booking, payments, client follow-through</w:t>
            </w:r>
          </w:p>
        </w:tc>
      </w:tr>
      <w:tr>
        <w:trPr/>
        <w:tc>
          <w:tcPr>
            <w:tcW w:w="3324" w:type="dxa"/>
            <w:tcBorders>
              <w:start w:val="single" w:sz="4" w:space="0" w:color="000000"/>
              <w:bottom w:val="single" w:sz="4" w:space="0" w:color="000000"/>
            </w:tcBorders>
          </w:tcPr>
          <w:p>
            <w:pPr>
              <w:pStyle w:val="TableContents"/>
              <w:bidi w:val="0"/>
              <w:jc w:val="start"/>
              <w:rPr/>
            </w:pPr>
            <w:r>
              <w:rPr/>
              <w:t>M-PESA till + informal payments</w:t>
            </w:r>
          </w:p>
        </w:tc>
        <w:tc>
          <w:tcPr>
            <w:tcW w:w="3324" w:type="dxa"/>
            <w:tcBorders>
              <w:start w:val="single" w:sz="4" w:space="0" w:color="000000"/>
              <w:bottom w:val="single" w:sz="4" w:space="0" w:color="000000"/>
            </w:tcBorders>
          </w:tcPr>
          <w:p>
            <w:pPr>
              <w:pStyle w:val="TableContents"/>
              <w:bidi w:val="0"/>
              <w:jc w:val="start"/>
              <w:rPr/>
            </w:pPr>
            <w:r>
              <w:rPr/>
              <w:t>Ubiquitous</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Native M-PESA collection with reconciliation and payouts</w:t>
            </w:r>
          </w:p>
        </w:tc>
      </w:tr>
    </w:tbl>
    <w:p>
      <w:pPr>
        <w:pStyle w:val="BodyText"/>
        <w:bidi w:val="0"/>
        <w:jc w:val="start"/>
        <w:rPr/>
      </w:pPr>
      <w:r>
        <w:rPr/>
      </w:r>
    </w:p>
    <w:p>
      <w:pPr>
        <w:pStyle w:val="Heading3"/>
        <w:bidi w:val="0"/>
        <w:ind w:hanging="0" w:start="0"/>
        <w:jc w:val="start"/>
        <w:rPr/>
      </w:pPr>
      <w:r>
        <w:rPr/>
        <w:t>8.3 Competitive advantage—earned, not assumed</w:t>
      </w:r>
    </w:p>
    <w:p>
      <w:pPr>
        <w:pStyle w:val="BodyText"/>
        <w:bidi w:val="0"/>
        <w:jc w:val="start"/>
        <w:rPr/>
      </w:pPr>
      <w:r>
        <w:rPr/>
        <w:t>Potential moats: (1) a dense, consented local buddy/community graph; (2) verified, well-rated supply; (3) partner operating data that proves retention; (4) payment/reconciliation and dispute operations; (5) locally relevant service design. None is a moat at launch. It becomes one only when the platform reaches repeated participation and partners would lose a meaningful community workflow by leaving.</w:t>
      </w:r>
    </w:p>
    <w:p>
      <w:pPr>
        <w:pStyle w:val="BodyText"/>
        <w:bidi w:val="0"/>
        <w:jc w:val="start"/>
        <w:rPr/>
      </w:pPr>
      <w:r>
        <w:rPr>
          <w:b/>
        </w:rPr>
        <w:t>Differentiators versus global apps:</w:t>
      </w:r>
      <w:r>
        <w:rPr/>
        <w:t xml:space="preserve"> mutual-consent accountability (vs one-directional follow); live Random Drop matching (vs solo tracking); participation-rewarding economy (vs content-virality economy); gym-as-community (vs venue listing); African-native payments from day one (vs North America/Europe-first); an integrated catalog (social + live + marketplace + community + booking in one).</w:t>
      </w:r>
    </w:p>
    <w:p>
      <w:pPr>
        <w:pStyle w:val="HorizontalLine"/>
        <w:bidi w:val="0"/>
        <w:jc w:val="start"/>
        <w:rPr/>
      </w:pPr>
      <w:r>
        <w:rPr/>
      </w:r>
    </w:p>
    <w:p>
      <w:pPr>
        <w:pStyle w:val="Heading2"/>
        <w:bidi w:val="0"/>
        <w:ind w:hanging="0" w:start="0"/>
        <w:jc w:val="start"/>
        <w:rPr/>
      </w:pPr>
      <w:r>
        <w:rPr/>
        <w:t>9. Revenue model and pricing architecture</w:t>
      </w:r>
    </w:p>
    <w:p>
      <w:pPr>
        <w:pStyle w:val="Heading3"/>
        <w:bidi w:val="0"/>
        <w:ind w:hanging="0" w:start="0"/>
        <w:jc w:val="start"/>
        <w:rPr/>
      </w:pPr>
      <w:r>
        <w:rPr/>
        <w:t>9.1 Recommended revenue sequence</w:t>
      </w:r>
    </w:p>
    <w:p>
      <w:pPr>
        <w:pStyle w:val="BodyText"/>
        <w:numPr>
          <w:ilvl w:val="0"/>
          <w:numId w:val="22"/>
        </w:numPr>
        <w:tabs>
          <w:tab w:val="clear" w:pos="709"/>
          <w:tab w:val="left" w:pos="709" w:leader="none"/>
        </w:tabs>
        <w:bidi w:val="0"/>
        <w:ind w:hanging="283" w:start="709"/>
        <w:jc w:val="start"/>
        <w:rPr/>
      </w:pPr>
      <w:r>
        <w:rPr>
          <w:b/>
        </w:rPr>
        <w:t>Partner SaaS</w:t>
      </w:r>
      <w:r>
        <w:rPr/>
        <w:t xml:space="preserve"> creates predictable gross profit and aligns Bud with partner retention.</w:t>
      </w:r>
    </w:p>
    <w:p>
      <w:pPr>
        <w:pStyle w:val="BodyText"/>
        <w:numPr>
          <w:ilvl w:val="0"/>
          <w:numId w:val="22"/>
        </w:numPr>
        <w:tabs>
          <w:tab w:val="clear" w:pos="709"/>
          <w:tab w:val="left" w:pos="709" w:leader="none"/>
        </w:tabs>
        <w:bidi w:val="0"/>
        <w:ind w:hanging="283" w:start="709"/>
        <w:jc w:val="start"/>
        <w:rPr/>
      </w:pPr>
      <w:r>
        <w:rPr>
          <w:b/>
        </w:rPr>
        <w:t>Booking/programme commissions</w:t>
      </w:r>
      <w:r>
        <w:rPr/>
        <w:t xml:space="preserve"> monetise transactions where Bud provides discovery, payment and support.</w:t>
      </w:r>
    </w:p>
    <w:p>
      <w:pPr>
        <w:pStyle w:val="BodyText"/>
        <w:numPr>
          <w:ilvl w:val="0"/>
          <w:numId w:val="22"/>
        </w:numPr>
        <w:tabs>
          <w:tab w:val="clear" w:pos="709"/>
          <w:tab w:val="left" w:pos="709" w:leader="none"/>
        </w:tabs>
        <w:bidi w:val="0"/>
        <w:ind w:hanging="283" w:start="709"/>
        <w:jc w:val="start"/>
        <w:rPr/>
      </w:pPr>
      <w:r>
        <w:rPr>
          <w:b/>
        </w:rPr>
        <w:t>Member Plus</w:t>
      </w:r>
      <w:r>
        <w:rPr/>
        <w:t xml:space="preserve"> sells a clear outcome bundle after the free loop is valuable.</w:t>
      </w:r>
    </w:p>
    <w:p>
      <w:pPr>
        <w:pStyle w:val="BodyText"/>
        <w:numPr>
          <w:ilvl w:val="0"/>
          <w:numId w:val="22"/>
        </w:numPr>
        <w:tabs>
          <w:tab w:val="clear" w:pos="709"/>
          <w:tab w:val="left" w:pos="709" w:leader="none"/>
        </w:tabs>
        <w:bidi w:val="0"/>
        <w:ind w:hanging="283" w:start="709"/>
        <w:jc w:val="start"/>
        <w:rPr/>
      </w:pPr>
      <w:r>
        <w:rPr>
          <w:b/>
        </w:rPr>
        <w:t>Curated commerce and workplace contracts</w:t>
      </w:r>
      <w:r>
        <w:rPr/>
        <w:t xml:space="preserve"> follow verified supply and operational capability.</w:t>
      </w:r>
    </w:p>
    <w:p>
      <w:pPr>
        <w:pStyle w:val="BodyText"/>
        <w:bidi w:val="0"/>
        <w:jc w:val="start"/>
        <w:rPr/>
      </w:pPr>
      <w:r>
        <w:rPr/>
        <w:t>Bud does not depend on advertising early; it conflicts with the trust proposition and makes the value of intimate health/community data ambiguous.</w:t>
      </w:r>
    </w:p>
    <w:p>
      <w:pPr>
        <w:pStyle w:val="Heading3"/>
        <w:bidi w:val="0"/>
        <w:ind w:hanging="0" w:start="0"/>
        <w:jc w:val="start"/>
        <w:rPr/>
      </w:pPr>
      <w:r>
        <w:rPr/>
        <w:t>9.2 Pricing architecture (H1 — Kenya)</w:t>
      </w:r>
    </w:p>
    <w:tbl>
      <w:tblPr>
        <w:tblW w:w="5000" w:type="pct"/>
        <w:jc w:val="start"/>
        <w:tblInd w:w="-5" w:type="dxa"/>
        <w:tblLayout w:type="fixed"/>
        <w:tblCellMar>
          <w:top w:w="55" w:type="dxa"/>
          <w:start w:w="55" w:type="dxa"/>
          <w:bottom w:w="55" w:type="dxa"/>
          <w:end w:w="55" w:type="dxa"/>
        </w:tblCellMar>
      </w:tblPr>
      <w:tblGrid>
        <w:gridCol w:w="2493"/>
        <w:gridCol w:w="2493"/>
        <w:gridCol w:w="2493"/>
        <w:gridCol w:w="2493"/>
      </w:tblGrid>
      <w:tr>
        <w:trPr>
          <w:tblHeader w:val="true"/>
        </w:trPr>
        <w:tc>
          <w:tcPr>
            <w:tcW w:w="2493" w:type="dxa"/>
            <w:tcBorders>
              <w:top w:val="single" w:sz="4" w:space="0" w:color="000000"/>
              <w:start w:val="single" w:sz="4" w:space="0" w:color="000000"/>
              <w:bottom w:val="single" w:sz="4" w:space="0" w:color="000000"/>
            </w:tcBorders>
          </w:tcPr>
          <w:p>
            <w:pPr>
              <w:pStyle w:val="TableHeading"/>
              <w:bidi w:val="0"/>
              <w:jc w:val="start"/>
              <w:rPr/>
            </w:pPr>
            <w:r>
              <w:rPr/>
              <w:t>Revenue stream</w:t>
            </w:r>
          </w:p>
        </w:tc>
        <w:tc>
          <w:tcPr>
            <w:tcW w:w="2493" w:type="dxa"/>
            <w:tcBorders>
              <w:top w:val="single" w:sz="4" w:space="0" w:color="000000"/>
              <w:start w:val="single" w:sz="4" w:space="0" w:color="000000"/>
              <w:bottom w:val="single" w:sz="4" w:space="0" w:color="000000"/>
            </w:tcBorders>
          </w:tcPr>
          <w:p>
            <w:pPr>
              <w:pStyle w:val="TableHeading"/>
              <w:bidi w:val="0"/>
              <w:jc w:val="end"/>
              <w:rPr/>
            </w:pPr>
            <w:r>
              <w:rPr/>
              <w:t>Indicative Kenya pricing</w:t>
            </w:r>
          </w:p>
        </w:tc>
        <w:tc>
          <w:tcPr>
            <w:tcW w:w="2493" w:type="dxa"/>
            <w:tcBorders>
              <w:top w:val="single" w:sz="4" w:space="0" w:color="000000"/>
              <w:start w:val="single" w:sz="4" w:space="0" w:color="000000"/>
              <w:bottom w:val="single" w:sz="4" w:space="0" w:color="000000"/>
            </w:tcBorders>
          </w:tcPr>
          <w:p>
            <w:pPr>
              <w:pStyle w:val="TableHeading"/>
              <w:bidi w:val="0"/>
              <w:jc w:val="start"/>
              <w:rPr/>
            </w:pPr>
            <w:r>
              <w:rPr/>
              <w:t>Recognition and economics</w:t>
            </w:r>
          </w:p>
        </w:tc>
        <w:tc>
          <w:tcPr>
            <w:tcW w:w="249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Guardrail</w:t>
            </w:r>
          </w:p>
        </w:tc>
      </w:tr>
      <w:tr>
        <w:trPr/>
        <w:tc>
          <w:tcPr>
            <w:tcW w:w="2493" w:type="dxa"/>
            <w:tcBorders>
              <w:start w:val="single" w:sz="4" w:space="0" w:color="000000"/>
              <w:bottom w:val="single" w:sz="4" w:space="0" w:color="000000"/>
            </w:tcBorders>
          </w:tcPr>
          <w:p>
            <w:pPr>
              <w:pStyle w:val="TableContents"/>
              <w:bidi w:val="0"/>
              <w:jc w:val="start"/>
              <w:rPr/>
            </w:pPr>
            <w:r>
              <w:rPr/>
              <w:t>Gym Core</w:t>
            </w:r>
          </w:p>
        </w:tc>
        <w:tc>
          <w:tcPr>
            <w:tcW w:w="2493" w:type="dxa"/>
            <w:tcBorders>
              <w:start w:val="single" w:sz="4" w:space="0" w:color="000000"/>
              <w:bottom w:val="single" w:sz="4" w:space="0" w:color="000000"/>
            </w:tcBorders>
          </w:tcPr>
          <w:p>
            <w:pPr>
              <w:pStyle w:val="TableContents"/>
              <w:bidi w:val="0"/>
              <w:jc w:val="end"/>
              <w:rPr/>
            </w:pPr>
            <w:r>
              <w:rPr/>
              <w:t>KSh 4,000/month/location</w:t>
            </w:r>
          </w:p>
        </w:tc>
        <w:tc>
          <w:tcPr>
            <w:tcW w:w="2493" w:type="dxa"/>
            <w:tcBorders>
              <w:start w:val="single" w:sz="4" w:space="0" w:color="000000"/>
              <w:bottom w:val="single" w:sz="4" w:space="0" w:color="000000"/>
            </w:tcBorders>
          </w:tcPr>
          <w:p>
            <w:pPr>
              <w:pStyle w:val="TableContents"/>
              <w:bidi w:val="0"/>
              <w:jc w:val="start"/>
              <w:rPr/>
            </w:pPr>
            <w:r>
              <w:rPr/>
              <w:t>Recurring SaaS</w:t>
            </w:r>
          </w:p>
        </w:tc>
        <w:tc>
          <w:tcPr>
            <w:tcW w:w="2493" w:type="dxa"/>
            <w:tcBorders>
              <w:start w:val="single" w:sz="4" w:space="0" w:color="000000"/>
              <w:bottom w:val="single" w:sz="4" w:space="0" w:color="000000"/>
              <w:end w:val="single" w:sz="4" w:space="0" w:color="000000"/>
            </w:tcBorders>
          </w:tcPr>
          <w:p>
            <w:pPr>
              <w:pStyle w:val="TableContents"/>
              <w:bidi w:val="0"/>
              <w:jc w:val="start"/>
              <w:rPr/>
            </w:pPr>
            <w:r>
              <w:rPr/>
              <w:t>Pilot free 60–90 days only against activation commitments</w:t>
            </w:r>
          </w:p>
        </w:tc>
      </w:tr>
      <w:tr>
        <w:trPr/>
        <w:tc>
          <w:tcPr>
            <w:tcW w:w="2493" w:type="dxa"/>
            <w:tcBorders>
              <w:start w:val="single" w:sz="4" w:space="0" w:color="000000"/>
              <w:bottom w:val="single" w:sz="4" w:space="0" w:color="000000"/>
            </w:tcBorders>
          </w:tcPr>
          <w:p>
            <w:pPr>
              <w:pStyle w:val="TableContents"/>
              <w:bidi w:val="0"/>
              <w:jc w:val="start"/>
              <w:rPr/>
            </w:pPr>
            <w:r>
              <w:rPr/>
              <w:t>Gym Growth</w:t>
            </w:r>
          </w:p>
        </w:tc>
        <w:tc>
          <w:tcPr>
            <w:tcW w:w="2493" w:type="dxa"/>
            <w:tcBorders>
              <w:start w:val="single" w:sz="4" w:space="0" w:color="000000"/>
              <w:bottom w:val="single" w:sz="4" w:space="0" w:color="000000"/>
            </w:tcBorders>
          </w:tcPr>
          <w:p>
            <w:pPr>
              <w:pStyle w:val="TableContents"/>
              <w:bidi w:val="0"/>
              <w:jc w:val="end"/>
              <w:rPr/>
            </w:pPr>
            <w:r>
              <w:rPr/>
              <w:t>KSh 12,000/month/location + 5% on in-app paid events</w:t>
            </w:r>
          </w:p>
        </w:tc>
        <w:tc>
          <w:tcPr>
            <w:tcW w:w="2493" w:type="dxa"/>
            <w:tcBorders>
              <w:start w:val="single" w:sz="4" w:space="0" w:color="000000"/>
              <w:bottom w:val="single" w:sz="4" w:space="0" w:color="000000"/>
            </w:tcBorders>
          </w:tcPr>
          <w:p>
            <w:pPr>
              <w:pStyle w:val="TableContents"/>
              <w:bidi w:val="0"/>
              <w:jc w:val="start"/>
              <w:rPr/>
            </w:pPr>
            <w:r>
              <w:rPr/>
              <w:t>SaaS + transaction commission</w:t>
            </w:r>
          </w:p>
        </w:tc>
        <w:tc>
          <w:tcPr>
            <w:tcW w:w="2493" w:type="dxa"/>
            <w:tcBorders>
              <w:start w:val="single" w:sz="4" w:space="0" w:color="000000"/>
              <w:bottom w:val="single" w:sz="4" w:space="0" w:color="000000"/>
              <w:end w:val="single" w:sz="4" w:space="0" w:color="000000"/>
            </w:tcBorders>
          </w:tcPr>
          <w:p>
            <w:pPr>
              <w:pStyle w:val="TableContents"/>
              <w:bidi w:val="0"/>
              <w:jc w:val="start"/>
              <w:rPr/>
            </w:pPr>
            <w:r>
              <w:rPr/>
              <w:t>Do not charge a percentage on membership revenue outside Bud</w:t>
            </w:r>
          </w:p>
        </w:tc>
      </w:tr>
      <w:tr>
        <w:trPr/>
        <w:tc>
          <w:tcPr>
            <w:tcW w:w="2493" w:type="dxa"/>
            <w:tcBorders>
              <w:start w:val="single" w:sz="4" w:space="0" w:color="000000"/>
              <w:bottom w:val="single" w:sz="4" w:space="0" w:color="000000"/>
            </w:tcBorders>
          </w:tcPr>
          <w:p>
            <w:pPr>
              <w:pStyle w:val="TableContents"/>
              <w:bidi w:val="0"/>
              <w:jc w:val="start"/>
              <w:rPr/>
            </w:pPr>
            <w:r>
              <w:rPr/>
              <w:t>Coach Pro</w:t>
            </w:r>
          </w:p>
        </w:tc>
        <w:tc>
          <w:tcPr>
            <w:tcW w:w="2493" w:type="dxa"/>
            <w:tcBorders>
              <w:start w:val="single" w:sz="4" w:space="0" w:color="000000"/>
              <w:bottom w:val="single" w:sz="4" w:space="0" w:color="000000"/>
            </w:tcBorders>
          </w:tcPr>
          <w:p>
            <w:pPr>
              <w:pStyle w:val="TableContents"/>
              <w:bidi w:val="0"/>
              <w:jc w:val="end"/>
              <w:rPr/>
            </w:pPr>
            <w:r>
              <w:rPr/>
              <w:t>KSh 1,500/month</w:t>
            </w:r>
          </w:p>
        </w:tc>
        <w:tc>
          <w:tcPr>
            <w:tcW w:w="2493" w:type="dxa"/>
            <w:tcBorders>
              <w:start w:val="single" w:sz="4" w:space="0" w:color="000000"/>
              <w:bottom w:val="single" w:sz="4" w:space="0" w:color="000000"/>
            </w:tcBorders>
          </w:tcPr>
          <w:p>
            <w:pPr>
              <w:pStyle w:val="TableContents"/>
              <w:bidi w:val="0"/>
              <w:jc w:val="start"/>
              <w:rPr/>
            </w:pPr>
            <w:r>
              <w:rPr/>
              <w:t>Recurring SaaS</w:t>
            </w:r>
          </w:p>
        </w:tc>
        <w:tc>
          <w:tcPr>
            <w:tcW w:w="2493" w:type="dxa"/>
            <w:tcBorders>
              <w:start w:val="single" w:sz="4" w:space="0" w:color="000000"/>
              <w:bottom w:val="single" w:sz="4" w:space="0" w:color="000000"/>
              <w:end w:val="single" w:sz="4" w:space="0" w:color="000000"/>
            </w:tcBorders>
          </w:tcPr>
          <w:p>
            <w:pPr>
              <w:pStyle w:val="TableContents"/>
              <w:bidi w:val="0"/>
              <w:jc w:val="start"/>
              <w:rPr/>
            </w:pPr>
            <w:r>
              <w:rPr/>
              <w:t>Offer a low-friction verified launch cohort</w:t>
            </w:r>
          </w:p>
        </w:tc>
      </w:tr>
      <w:tr>
        <w:trPr/>
        <w:tc>
          <w:tcPr>
            <w:tcW w:w="2493" w:type="dxa"/>
            <w:tcBorders>
              <w:start w:val="single" w:sz="4" w:space="0" w:color="000000"/>
              <w:bottom w:val="single" w:sz="4" w:space="0" w:color="000000"/>
            </w:tcBorders>
          </w:tcPr>
          <w:p>
            <w:pPr>
              <w:pStyle w:val="TableContents"/>
              <w:bidi w:val="0"/>
              <w:jc w:val="start"/>
              <w:rPr/>
            </w:pPr>
            <w:r>
              <w:rPr/>
              <w:t>Booking/programme fee</w:t>
            </w:r>
          </w:p>
        </w:tc>
        <w:tc>
          <w:tcPr>
            <w:tcW w:w="2493" w:type="dxa"/>
            <w:tcBorders>
              <w:start w:val="single" w:sz="4" w:space="0" w:color="000000"/>
              <w:bottom w:val="single" w:sz="4" w:space="0" w:color="000000"/>
            </w:tcBorders>
          </w:tcPr>
          <w:p>
            <w:pPr>
              <w:pStyle w:val="TableContents"/>
              <w:bidi w:val="0"/>
              <w:jc w:val="end"/>
              <w:rPr/>
            </w:pPr>
            <w:r>
              <w:rPr/>
              <w:t>10% of completed paid booking/digital programme GMV</w:t>
            </w:r>
          </w:p>
        </w:tc>
        <w:tc>
          <w:tcPr>
            <w:tcW w:w="2493" w:type="dxa"/>
            <w:tcBorders>
              <w:start w:val="single" w:sz="4" w:space="0" w:color="000000"/>
              <w:bottom w:val="single" w:sz="4" w:space="0" w:color="000000"/>
            </w:tcBorders>
          </w:tcPr>
          <w:p>
            <w:pPr>
              <w:pStyle w:val="TableContents"/>
              <w:bidi w:val="0"/>
              <w:jc w:val="start"/>
              <w:rPr/>
            </w:pPr>
            <w:r>
              <w:rPr/>
              <w:t>Net commission; payment fees deducted from gross margin</w:t>
            </w:r>
          </w:p>
        </w:tc>
        <w:tc>
          <w:tcPr>
            <w:tcW w:w="2493" w:type="dxa"/>
            <w:tcBorders>
              <w:start w:val="single" w:sz="4" w:space="0" w:color="000000"/>
              <w:bottom w:val="single" w:sz="4" w:space="0" w:color="000000"/>
              <w:end w:val="single" w:sz="4" w:space="0" w:color="000000"/>
            </w:tcBorders>
          </w:tcPr>
          <w:p>
            <w:pPr>
              <w:pStyle w:val="TableContents"/>
              <w:bidi w:val="0"/>
              <w:jc w:val="start"/>
              <w:rPr/>
            </w:pPr>
            <w:r>
              <w:rPr/>
              <w:t>Clear refund, cancellation and payout policies</w:t>
            </w:r>
          </w:p>
        </w:tc>
      </w:tr>
      <w:tr>
        <w:trPr/>
        <w:tc>
          <w:tcPr>
            <w:tcW w:w="2493" w:type="dxa"/>
            <w:tcBorders>
              <w:start w:val="single" w:sz="4" w:space="0" w:color="000000"/>
              <w:bottom w:val="single" w:sz="4" w:space="0" w:color="000000"/>
            </w:tcBorders>
          </w:tcPr>
          <w:p>
            <w:pPr>
              <w:pStyle w:val="TableContents"/>
              <w:bidi w:val="0"/>
              <w:jc w:val="start"/>
              <w:rPr/>
            </w:pPr>
            <w:r>
              <w:rPr/>
              <w:t>Bud Plus</w:t>
            </w:r>
          </w:p>
        </w:tc>
        <w:tc>
          <w:tcPr>
            <w:tcW w:w="2493" w:type="dxa"/>
            <w:tcBorders>
              <w:start w:val="single" w:sz="4" w:space="0" w:color="000000"/>
              <w:bottom w:val="single" w:sz="4" w:space="0" w:color="000000"/>
            </w:tcBorders>
          </w:tcPr>
          <w:p>
            <w:pPr>
              <w:pStyle w:val="TableContents"/>
              <w:bidi w:val="0"/>
              <w:jc w:val="end"/>
              <w:rPr/>
            </w:pPr>
            <w:r>
              <w:rPr/>
              <w:t>KSh 300/month or KSh 2,990/year</w:t>
            </w:r>
          </w:p>
        </w:tc>
        <w:tc>
          <w:tcPr>
            <w:tcW w:w="2493" w:type="dxa"/>
            <w:tcBorders>
              <w:start w:val="single" w:sz="4" w:space="0" w:color="000000"/>
              <w:bottom w:val="single" w:sz="4" w:space="0" w:color="000000"/>
            </w:tcBorders>
          </w:tcPr>
          <w:p>
            <w:pPr>
              <w:pStyle w:val="TableContents"/>
              <w:bidi w:val="0"/>
              <w:jc w:val="start"/>
              <w:rPr/>
            </w:pPr>
            <w:r>
              <w:rPr/>
              <w:t>Subscription</w:t>
            </w:r>
          </w:p>
        </w:tc>
        <w:tc>
          <w:tcPr>
            <w:tcW w:w="2493" w:type="dxa"/>
            <w:tcBorders>
              <w:start w:val="single" w:sz="4" w:space="0" w:color="000000"/>
              <w:bottom w:val="single" w:sz="4" w:space="0" w:color="000000"/>
              <w:end w:val="single" w:sz="4" w:space="0" w:color="000000"/>
            </w:tcBorders>
          </w:tcPr>
          <w:p>
            <w:pPr>
              <w:pStyle w:val="TableContents"/>
              <w:bidi w:val="0"/>
              <w:jc w:val="start"/>
              <w:rPr/>
            </w:pPr>
            <w:r>
              <w:rPr/>
              <w:t>Include tangible features/benefits; no "unlimited currency" promise</w:t>
            </w:r>
          </w:p>
        </w:tc>
      </w:tr>
      <w:tr>
        <w:trPr/>
        <w:tc>
          <w:tcPr>
            <w:tcW w:w="2493" w:type="dxa"/>
            <w:tcBorders>
              <w:start w:val="single" w:sz="4" w:space="0" w:color="000000"/>
              <w:bottom w:val="single" w:sz="4" w:space="0" w:color="000000"/>
            </w:tcBorders>
          </w:tcPr>
          <w:p>
            <w:pPr>
              <w:pStyle w:val="TableContents"/>
              <w:bidi w:val="0"/>
              <w:jc w:val="start"/>
              <w:rPr/>
            </w:pPr>
            <w:r>
              <w:rPr/>
              <w:t>Workplace</w:t>
            </w:r>
          </w:p>
        </w:tc>
        <w:tc>
          <w:tcPr>
            <w:tcW w:w="2493" w:type="dxa"/>
            <w:tcBorders>
              <w:start w:val="single" w:sz="4" w:space="0" w:color="000000"/>
              <w:bottom w:val="single" w:sz="4" w:space="0" w:color="000000"/>
            </w:tcBorders>
          </w:tcPr>
          <w:p>
            <w:pPr>
              <w:pStyle w:val="TableContents"/>
              <w:bidi w:val="0"/>
              <w:jc w:val="end"/>
              <w:rPr/>
            </w:pPr>
            <w:r>
              <w:rPr/>
              <w:t>KSh 150–300/eligible employee/month, annual commitment</w:t>
            </w:r>
          </w:p>
        </w:tc>
        <w:tc>
          <w:tcPr>
            <w:tcW w:w="2493" w:type="dxa"/>
            <w:tcBorders>
              <w:start w:val="single" w:sz="4" w:space="0" w:color="000000"/>
              <w:bottom w:val="single" w:sz="4" w:space="0" w:color="000000"/>
            </w:tcBorders>
          </w:tcPr>
          <w:p>
            <w:pPr>
              <w:pStyle w:val="TableContents"/>
              <w:bidi w:val="0"/>
              <w:jc w:val="start"/>
              <w:rPr/>
            </w:pPr>
            <w:r>
              <w:rPr/>
              <w:t>Contracted recurring revenue</w:t>
            </w:r>
          </w:p>
        </w:tc>
        <w:tc>
          <w:tcPr>
            <w:tcW w:w="2493" w:type="dxa"/>
            <w:tcBorders>
              <w:start w:val="single" w:sz="4" w:space="0" w:color="000000"/>
              <w:bottom w:val="single" w:sz="4" w:space="0" w:color="000000"/>
              <w:end w:val="single" w:sz="4" w:space="0" w:color="000000"/>
            </w:tcBorders>
          </w:tcPr>
          <w:p>
            <w:pPr>
              <w:pStyle w:val="TableContents"/>
              <w:bidi w:val="0"/>
              <w:jc w:val="start"/>
              <w:rPr/>
            </w:pPr>
            <w:r>
              <w:rPr/>
              <w:t>Report participation aggregates only; explicit employee opt-in</w:t>
            </w:r>
          </w:p>
        </w:tc>
      </w:tr>
      <w:tr>
        <w:trPr/>
        <w:tc>
          <w:tcPr>
            <w:tcW w:w="2493" w:type="dxa"/>
            <w:tcBorders>
              <w:start w:val="single" w:sz="4" w:space="0" w:color="000000"/>
              <w:bottom w:val="single" w:sz="4" w:space="0" w:color="000000"/>
            </w:tcBorders>
          </w:tcPr>
          <w:p>
            <w:pPr>
              <w:pStyle w:val="TableContents"/>
              <w:bidi w:val="0"/>
              <w:jc w:val="start"/>
              <w:rPr/>
            </w:pPr>
            <w:r>
              <w:rPr/>
              <w:t>Curated marketplace</w:t>
            </w:r>
          </w:p>
        </w:tc>
        <w:tc>
          <w:tcPr>
            <w:tcW w:w="2493" w:type="dxa"/>
            <w:tcBorders>
              <w:start w:val="single" w:sz="4" w:space="0" w:color="000000"/>
              <w:bottom w:val="single" w:sz="4" w:space="0" w:color="000000"/>
            </w:tcBorders>
          </w:tcPr>
          <w:p>
            <w:pPr>
              <w:pStyle w:val="TableContents"/>
              <w:bidi w:val="0"/>
              <w:jc w:val="end"/>
              <w:rPr/>
            </w:pPr>
            <w:r>
              <w:rPr/>
              <w:t>8–15% of completed GMV</w:t>
            </w:r>
          </w:p>
        </w:tc>
        <w:tc>
          <w:tcPr>
            <w:tcW w:w="2493" w:type="dxa"/>
            <w:tcBorders>
              <w:start w:val="single" w:sz="4" w:space="0" w:color="000000"/>
              <w:bottom w:val="single" w:sz="4" w:space="0" w:color="000000"/>
            </w:tcBorders>
          </w:tcPr>
          <w:p>
            <w:pPr>
              <w:pStyle w:val="TableContents"/>
              <w:bidi w:val="0"/>
              <w:jc w:val="start"/>
              <w:rPr/>
            </w:pPr>
            <w:r>
              <w:rPr/>
              <w:t>Net commission or affiliate fee</w:t>
            </w:r>
          </w:p>
        </w:tc>
        <w:tc>
          <w:tcPr>
            <w:tcW w:w="2493" w:type="dxa"/>
            <w:tcBorders>
              <w:start w:val="single" w:sz="4" w:space="0" w:color="000000"/>
              <w:bottom w:val="single" w:sz="4" w:space="0" w:color="000000"/>
              <w:end w:val="single" w:sz="4" w:space="0" w:color="000000"/>
            </w:tcBorders>
          </w:tcPr>
          <w:p>
            <w:pPr>
              <w:pStyle w:val="TableContents"/>
              <w:bidi w:val="0"/>
              <w:jc w:val="start"/>
              <w:rPr/>
            </w:pPr>
            <w:r>
              <w:rPr/>
              <w:t>Start with digital goods; vet physical merchants and claims</w:t>
            </w:r>
          </w:p>
        </w:tc>
      </w:tr>
    </w:tbl>
    <w:p>
      <w:pPr>
        <w:pStyle w:val="BodyText"/>
        <w:bidi w:val="0"/>
        <w:jc w:val="start"/>
        <w:rPr/>
      </w:pPr>
      <w:r>
        <w:rPr/>
      </w:r>
    </w:p>
    <w:p>
      <w:pPr>
        <w:pStyle w:val="Heading3"/>
        <w:bidi w:val="0"/>
        <w:ind w:hanging="0" w:start="0"/>
        <w:jc w:val="start"/>
        <w:rPr/>
      </w:pPr>
      <w:r>
        <w:rPr/>
        <w:t>9.3 Pricing architecture (H2/H3 — Pan-Africa and Global)</w:t>
      </w:r>
    </w:p>
    <w:p>
      <w:pPr>
        <w:pStyle w:val="BodyText"/>
        <w:bidi w:val="0"/>
        <w:jc w:val="start"/>
        <w:rPr/>
      </w:pPr>
      <w:r>
        <w:rPr/>
        <w:t xml:space="preserve">Country entities localise pricing to local rails and willingness-to-pay using the same structure (SaaS tiers, commission, Plus, workplace). Indicative anchors: Nigeria (₦), South Africa (R), Ghana (GH₵). Global partner-tier pricing is set per region and gated on local cost-of-sale review. Bud does not apply Kenya prices elsewhere; it applies the Kenya </w:t>
      </w:r>
      <w:r>
        <w:rPr>
          <w:i/>
        </w:rPr>
        <w:t>structure</w:t>
      </w:r>
      <w:r>
        <w:rPr/>
        <w:t>.</w:t>
      </w:r>
    </w:p>
    <w:p>
      <w:pPr>
        <w:pStyle w:val="Heading3"/>
        <w:bidi w:val="0"/>
        <w:ind w:hanging="0" w:start="0"/>
        <w:jc w:val="start"/>
        <w:rPr/>
      </w:pPr>
      <w:r>
        <w:rPr/>
        <w:t>9.4 Payment and wallet design</w:t>
      </w:r>
    </w:p>
    <w:p>
      <w:pPr>
        <w:pStyle w:val="BodyText"/>
        <w:bidi w:val="0"/>
        <w:jc w:val="start"/>
        <w:rPr/>
      </w:pPr>
      <w:r>
        <w:rPr/>
        <w:t>The existing artifacts concept is creatively aligned to fitness, but a purchasable balance that can be transferred, used widely and withdrawn may trigger payment, stored-value, consumer-protection, AML/KYC, tax and accounting obligations—and makes revenue recognition materially different from cash collection.</w:t>
      </w:r>
    </w:p>
    <w:p>
      <w:pPr>
        <w:pStyle w:val="BodyText"/>
        <w:bidi w:val="0"/>
        <w:jc w:val="start"/>
        <w:rPr/>
      </w:pPr>
      <w:r>
        <w:rPr>
          <w:b/>
        </w:rPr>
        <w:t>Recommended launch design:</w:t>
      </w:r>
      <w:r>
        <w:rPr/>
        <w:t xml:space="preserve"> accept M-PESA/cards directly in KSh (and local rails per country); use non-transferable, non-redeemable "Rep Points" only as free loyalty rewards; settle coach/gym earnings from completed KSh transactions through a licensed payment partner. Any stored balance is a restricted, non-cash voucher with explicit expiry/refund terms only after specialist advice. The Central Bank of Kenya and payments counsel confirm the final structure before release; each new country repeats this review.</w:t>
      </w:r>
    </w:p>
    <w:p>
      <w:pPr>
        <w:pStyle w:val="HorizontalLine"/>
        <w:bidi w:val="0"/>
        <w:jc w:val="start"/>
        <w:rPr/>
      </w:pPr>
      <w:r>
        <w:rPr/>
      </w:r>
    </w:p>
    <w:p>
      <w:pPr>
        <w:pStyle w:val="Heading2"/>
        <w:bidi w:val="0"/>
        <w:ind w:hanging="0" w:start="0"/>
        <w:jc w:val="start"/>
        <w:rPr/>
      </w:pPr>
      <w:r>
        <w:rPr/>
        <w:t>10. Go-to-market plan</w:t>
      </w:r>
    </w:p>
    <w:p>
      <w:pPr>
        <w:pStyle w:val="Heading3"/>
        <w:bidi w:val="0"/>
        <w:ind w:hanging="0" w:start="0"/>
        <w:jc w:val="start"/>
        <w:rPr/>
      </w:pPr>
      <w:r>
        <w:rPr/>
        <w:t>10.1 Phase 0 — validation (0–3 months)</w:t>
      </w:r>
    </w:p>
    <w:p>
      <w:pPr>
        <w:pStyle w:val="BodyText"/>
        <w:bidi w:val="0"/>
        <w:jc w:val="start"/>
        <w:rPr/>
      </w:pPr>
      <w:r>
        <w:rPr/>
        <w:t>Recruit 10 design partners (5 gyms/studios, ~20 coaches, 3–5 community leaders). Run a concierge-assisted pilot in two Nairobi neighbourhood clusters. Success is evidence that members form connections and return to activities—not a press launch.</w:t>
      </w:r>
    </w:p>
    <w:p>
      <w:pPr>
        <w:pStyle w:val="BodyText"/>
        <w:bidi w:val="0"/>
        <w:jc w:val="start"/>
        <w:rPr/>
      </w:pPr>
      <w:r>
        <w:rPr/>
        <w:t>Deliver a partner onboarding kit: data-import template, branded community setup, staff training, event calendar, safety/moderation contact, 30-day activation campaign. Partner QR join flow at reception and classes.</w:t>
      </w:r>
    </w:p>
    <w:p>
      <w:pPr>
        <w:pStyle w:val="Heading3"/>
        <w:bidi w:val="0"/>
        <w:ind w:hanging="0" w:start="0"/>
        <w:jc w:val="start"/>
        <w:rPr/>
      </w:pPr>
      <w:r>
        <w:rPr/>
        <w:t>10.2 Phase 1 — repeatable cluster (3–9 months)</w:t>
      </w:r>
    </w:p>
    <w:p>
      <w:pPr>
        <w:pStyle w:val="BodyText"/>
        <w:bidi w:val="0"/>
        <w:jc w:val="start"/>
        <w:rPr/>
      </w:pPr>
      <w:r>
        <w:rPr/>
        <w:t>Add 30 paying partners once 60% of pilots meet the activation threshold. Build ambassador/referral loops around pairs and small groups, creator-led "starter cohorts," university/office partnerships and coach bundles. Use paid acquisition sparingly; measure activation, not installs.</w:t>
      </w:r>
    </w:p>
    <w:p>
      <w:pPr>
        <w:pStyle w:val="Heading3"/>
        <w:bidi w:val="0"/>
        <w:ind w:hanging="0" w:start="0"/>
        <w:jc w:val="start"/>
        <w:rPr/>
      </w:pPr>
      <w:r>
        <w:rPr/>
        <w:t>10.3 Phase 2 — city/country expansion (9–24 months)</w:t>
      </w:r>
    </w:p>
    <w:p>
      <w:pPr>
        <w:pStyle w:val="BodyText"/>
        <w:bidi w:val="0"/>
        <w:jc w:val="start"/>
        <w:rPr/>
      </w:pPr>
      <w:r>
        <w:rPr/>
        <w:t>Expand only to cities where at least five anchor partners launch together. Add workplace pilots through existing gym/coach relationships. Localise payment/support before entering another country.</w:t>
      </w:r>
    </w:p>
    <w:p>
      <w:pPr>
        <w:pStyle w:val="Heading3"/>
        <w:bidi w:val="0"/>
        <w:ind w:hanging="0" w:start="0"/>
        <w:jc w:val="start"/>
        <w:rPr/>
      </w:pPr>
      <w:r>
        <w:rPr/>
        <w:t>10.4 Phase 3 — Pan-Africa (years 3–5)</w:t>
      </w:r>
    </w:p>
    <w:p>
      <w:pPr>
        <w:pStyle w:val="BodyText"/>
        <w:bidi w:val="0"/>
        <w:jc w:val="start"/>
        <w:rPr/>
      </w:pPr>
      <w:r>
        <w:rPr/>
        <w:t>Country-by-country replication: five+ anchor partners, local entity, local compliance review, local pricing. Prioritise Nigeria and South Africa, then Ghana and others, gated on the Kenya playbook's evidence.</w:t>
      </w:r>
    </w:p>
    <w:p>
      <w:pPr>
        <w:pStyle w:val="Heading3"/>
        <w:bidi w:val="0"/>
        <w:ind w:hanging="0" w:start="0"/>
        <w:jc w:val="start"/>
        <w:rPr/>
      </w:pPr>
      <w:r>
        <w:rPr/>
        <w:t>10.5 Phase 4 — Global (years 5–8)</w:t>
      </w:r>
    </w:p>
    <w:p>
      <w:pPr>
        <w:pStyle w:val="BodyText"/>
        <w:bidi w:val="0"/>
        <w:jc w:val="start"/>
        <w:rPr/>
      </w:pPr>
      <w:r>
        <w:rPr/>
        <w:t>Export the partner-operating layer to selected regions through partner-led density and regional partnerships; never consumer-app-land in a saturated market without a density wedge.</w:t>
      </w:r>
    </w:p>
    <w:p>
      <w:pPr>
        <w:pStyle w:val="Heading3"/>
        <w:bidi w:val="0"/>
        <w:ind w:hanging="0" w:start="0"/>
        <w:jc w:val="start"/>
        <w:rPr/>
      </w:pPr>
      <w:r>
        <w:rPr/>
        <w:t>10.6 North-star metric and operating KPIs</w:t>
      </w:r>
    </w:p>
    <w:p>
      <w:pPr>
        <w:pStyle w:val="BodyText"/>
        <w:bidi w:val="0"/>
        <w:jc w:val="start"/>
        <w:rPr/>
      </w:pPr>
      <w:r>
        <w:rPr>
          <w:b/>
        </w:rPr>
        <w:t>North-star metric:</w:t>
      </w:r>
      <w:r>
        <w:rPr/>
        <w:t xml:space="preserve"> weekly active members who complete a meaningful activity with a buddy, group or verified partner (WAAP).</w:t>
      </w:r>
    </w:p>
    <w:tbl>
      <w:tblPr>
        <w:tblW w:w="5000" w:type="pct"/>
        <w:jc w:val="start"/>
        <w:tblInd w:w="-5" w:type="dxa"/>
        <w:tblLayout w:type="fixed"/>
        <w:tblCellMar>
          <w:top w:w="55" w:type="dxa"/>
          <w:start w:w="55" w:type="dxa"/>
          <w:bottom w:w="55" w:type="dxa"/>
          <w:end w:w="55" w:type="dxa"/>
        </w:tblCellMar>
      </w:tblPr>
      <w:tblGrid>
        <w:gridCol w:w="3324"/>
        <w:gridCol w:w="3324"/>
        <w:gridCol w:w="3324"/>
      </w:tblGrid>
      <w:tr>
        <w:trPr>
          <w:tblHeader w:val="true"/>
        </w:trPr>
        <w:tc>
          <w:tcPr>
            <w:tcW w:w="3324" w:type="dxa"/>
            <w:tcBorders>
              <w:top w:val="single" w:sz="4" w:space="0" w:color="000000"/>
              <w:start w:val="single" w:sz="4" w:space="0" w:color="000000"/>
              <w:bottom w:val="single" w:sz="4" w:space="0" w:color="000000"/>
            </w:tcBorders>
          </w:tcPr>
          <w:p>
            <w:pPr>
              <w:pStyle w:val="TableHeading"/>
              <w:bidi w:val="0"/>
              <w:jc w:val="start"/>
              <w:rPr/>
            </w:pPr>
            <w:r>
              <w:rPr/>
              <w:t>Area</w:t>
            </w:r>
          </w:p>
        </w:tc>
        <w:tc>
          <w:tcPr>
            <w:tcW w:w="3324" w:type="dxa"/>
            <w:tcBorders>
              <w:top w:val="single" w:sz="4" w:space="0" w:color="000000"/>
              <w:start w:val="single" w:sz="4" w:space="0" w:color="000000"/>
              <w:bottom w:val="single" w:sz="4" w:space="0" w:color="000000"/>
            </w:tcBorders>
          </w:tcPr>
          <w:p>
            <w:pPr>
              <w:pStyle w:val="TableHeading"/>
              <w:bidi w:val="0"/>
              <w:jc w:val="end"/>
              <w:rPr/>
            </w:pPr>
            <w:r>
              <w:rPr/>
              <w:t>Metric</w:t>
            </w:r>
          </w:p>
        </w:tc>
        <w:tc>
          <w:tcPr>
            <w:tcW w:w="3324" w:type="dxa"/>
            <w:tcBorders>
              <w:top w:val="single" w:sz="4" w:space="0" w:color="000000"/>
              <w:start w:val="single" w:sz="4" w:space="0" w:color="000000"/>
              <w:bottom w:val="single" w:sz="4" w:space="0" w:color="000000"/>
              <w:end w:val="single" w:sz="4" w:space="0" w:color="000000"/>
            </w:tcBorders>
          </w:tcPr>
          <w:p>
            <w:pPr>
              <w:pStyle w:val="TableHeading"/>
              <w:bidi w:val="0"/>
              <w:jc w:val="end"/>
              <w:rPr/>
            </w:pPr>
            <w:r>
              <w:rPr/>
              <w:t>Initial target to validate</w:t>
            </w:r>
          </w:p>
        </w:tc>
      </w:tr>
      <w:tr>
        <w:trPr/>
        <w:tc>
          <w:tcPr>
            <w:tcW w:w="3324" w:type="dxa"/>
            <w:tcBorders>
              <w:start w:val="single" w:sz="4" w:space="0" w:color="000000"/>
              <w:bottom w:val="single" w:sz="4" w:space="0" w:color="000000"/>
            </w:tcBorders>
          </w:tcPr>
          <w:p>
            <w:pPr>
              <w:pStyle w:val="TableContents"/>
              <w:bidi w:val="0"/>
              <w:jc w:val="start"/>
              <w:rPr/>
            </w:pPr>
            <w:r>
              <w:rPr/>
              <w:t>Activation</w:t>
            </w:r>
          </w:p>
        </w:tc>
        <w:tc>
          <w:tcPr>
            <w:tcW w:w="3324" w:type="dxa"/>
            <w:tcBorders>
              <w:start w:val="single" w:sz="4" w:space="0" w:color="000000"/>
              <w:bottom w:val="single" w:sz="4" w:space="0" w:color="000000"/>
            </w:tcBorders>
          </w:tcPr>
          <w:p>
            <w:pPr>
              <w:pStyle w:val="TableContents"/>
              <w:bidi w:val="0"/>
              <w:jc w:val="end"/>
              <w:rPr/>
            </w:pPr>
            <w:r>
              <w:rPr/>
              <w:t>New users with 2 buddies + 1 planned activity in 14 days</w:t>
            </w:r>
          </w:p>
        </w:tc>
        <w:tc>
          <w:tcPr>
            <w:tcW w:w="3324" w:type="dxa"/>
            <w:tcBorders>
              <w:start w:val="single" w:sz="4" w:space="0" w:color="000000"/>
              <w:bottom w:val="single" w:sz="4" w:space="0" w:color="000000"/>
              <w:end w:val="single" w:sz="4" w:space="0" w:color="000000"/>
            </w:tcBorders>
          </w:tcPr>
          <w:p>
            <w:pPr>
              <w:pStyle w:val="TableContents"/>
              <w:bidi w:val="0"/>
              <w:jc w:val="end"/>
              <w:rPr/>
            </w:pPr>
            <w:r>
              <w:rPr/>
              <w:t>≥</w:t>
            </w:r>
            <w:r>
              <w:rPr/>
              <w:t>35%</w:t>
            </w:r>
          </w:p>
        </w:tc>
      </w:tr>
      <w:tr>
        <w:trPr/>
        <w:tc>
          <w:tcPr>
            <w:tcW w:w="3324" w:type="dxa"/>
            <w:tcBorders>
              <w:start w:val="single" w:sz="4" w:space="0" w:color="000000"/>
              <w:bottom w:val="single" w:sz="4" w:space="0" w:color="000000"/>
            </w:tcBorders>
          </w:tcPr>
          <w:p>
            <w:pPr>
              <w:pStyle w:val="TableContents"/>
              <w:bidi w:val="0"/>
              <w:jc w:val="start"/>
              <w:rPr/>
            </w:pPr>
            <w:r>
              <w:rPr/>
              <w:t>Engagement</w:t>
            </w:r>
          </w:p>
        </w:tc>
        <w:tc>
          <w:tcPr>
            <w:tcW w:w="3324" w:type="dxa"/>
            <w:tcBorders>
              <w:start w:val="single" w:sz="4" w:space="0" w:color="000000"/>
              <w:bottom w:val="single" w:sz="4" w:space="0" w:color="000000"/>
            </w:tcBorders>
          </w:tcPr>
          <w:p>
            <w:pPr>
              <w:pStyle w:val="TableContents"/>
              <w:bidi w:val="0"/>
              <w:jc w:val="end"/>
              <w:rPr/>
            </w:pPr>
            <w:r>
              <w:rPr/>
              <w:t>WAAP / MAU</w:t>
            </w:r>
          </w:p>
        </w:tc>
        <w:tc>
          <w:tcPr>
            <w:tcW w:w="3324" w:type="dxa"/>
            <w:tcBorders>
              <w:start w:val="single" w:sz="4" w:space="0" w:color="000000"/>
              <w:bottom w:val="single" w:sz="4" w:space="0" w:color="000000"/>
              <w:end w:val="single" w:sz="4" w:space="0" w:color="000000"/>
            </w:tcBorders>
          </w:tcPr>
          <w:p>
            <w:pPr>
              <w:pStyle w:val="TableContents"/>
              <w:bidi w:val="0"/>
              <w:jc w:val="end"/>
              <w:rPr/>
            </w:pPr>
            <w:r>
              <w:rPr/>
              <w:t>≥</w:t>
            </w:r>
            <w:r>
              <w:rPr/>
              <w:t>30%</w:t>
            </w:r>
          </w:p>
        </w:tc>
      </w:tr>
      <w:tr>
        <w:trPr/>
        <w:tc>
          <w:tcPr>
            <w:tcW w:w="3324" w:type="dxa"/>
            <w:tcBorders>
              <w:start w:val="single" w:sz="4" w:space="0" w:color="000000"/>
              <w:bottom w:val="single" w:sz="4" w:space="0" w:color="000000"/>
            </w:tcBorders>
          </w:tcPr>
          <w:p>
            <w:pPr>
              <w:pStyle w:val="TableContents"/>
              <w:bidi w:val="0"/>
              <w:jc w:val="start"/>
              <w:rPr/>
            </w:pPr>
            <w:r>
              <w:rPr/>
              <w:t>Retention</w:t>
            </w:r>
          </w:p>
        </w:tc>
        <w:tc>
          <w:tcPr>
            <w:tcW w:w="3324" w:type="dxa"/>
            <w:tcBorders>
              <w:start w:val="single" w:sz="4" w:space="0" w:color="000000"/>
              <w:bottom w:val="single" w:sz="4" w:space="0" w:color="000000"/>
            </w:tcBorders>
          </w:tcPr>
          <w:p>
            <w:pPr>
              <w:pStyle w:val="TableContents"/>
              <w:bidi w:val="0"/>
              <w:jc w:val="end"/>
              <w:rPr/>
            </w:pPr>
            <w:r>
              <w:rPr/>
              <w:t>Week-4 retained activated members</w:t>
            </w:r>
          </w:p>
        </w:tc>
        <w:tc>
          <w:tcPr>
            <w:tcW w:w="3324" w:type="dxa"/>
            <w:tcBorders>
              <w:start w:val="single" w:sz="4" w:space="0" w:color="000000"/>
              <w:bottom w:val="single" w:sz="4" w:space="0" w:color="000000"/>
              <w:end w:val="single" w:sz="4" w:space="0" w:color="000000"/>
            </w:tcBorders>
          </w:tcPr>
          <w:p>
            <w:pPr>
              <w:pStyle w:val="TableContents"/>
              <w:bidi w:val="0"/>
              <w:jc w:val="end"/>
              <w:rPr/>
            </w:pPr>
            <w:r>
              <w:rPr/>
              <w:t>≥</w:t>
            </w:r>
            <w:r>
              <w:rPr/>
              <w:t>35%</w:t>
            </w:r>
          </w:p>
        </w:tc>
      </w:tr>
      <w:tr>
        <w:trPr/>
        <w:tc>
          <w:tcPr>
            <w:tcW w:w="3324" w:type="dxa"/>
            <w:tcBorders>
              <w:start w:val="single" w:sz="4" w:space="0" w:color="000000"/>
              <w:bottom w:val="single" w:sz="4" w:space="0" w:color="000000"/>
            </w:tcBorders>
          </w:tcPr>
          <w:p>
            <w:pPr>
              <w:pStyle w:val="TableContents"/>
              <w:bidi w:val="0"/>
              <w:jc w:val="start"/>
              <w:rPr/>
            </w:pPr>
            <w:r>
              <w:rPr/>
              <w:t>Partner value</w:t>
            </w:r>
          </w:p>
        </w:tc>
        <w:tc>
          <w:tcPr>
            <w:tcW w:w="3324" w:type="dxa"/>
            <w:tcBorders>
              <w:start w:val="single" w:sz="4" w:space="0" w:color="000000"/>
              <w:bottom w:val="single" w:sz="4" w:space="0" w:color="000000"/>
            </w:tcBorders>
          </w:tcPr>
          <w:p>
            <w:pPr>
              <w:pStyle w:val="TableContents"/>
              <w:bidi w:val="0"/>
              <w:jc w:val="end"/>
              <w:rPr/>
            </w:pPr>
            <w:r>
              <w:rPr/>
              <w:t>Partner members active monthly</w:t>
            </w:r>
          </w:p>
        </w:tc>
        <w:tc>
          <w:tcPr>
            <w:tcW w:w="3324" w:type="dxa"/>
            <w:tcBorders>
              <w:start w:val="single" w:sz="4" w:space="0" w:color="000000"/>
              <w:bottom w:val="single" w:sz="4" w:space="0" w:color="000000"/>
              <w:end w:val="single" w:sz="4" w:space="0" w:color="000000"/>
            </w:tcBorders>
          </w:tcPr>
          <w:p>
            <w:pPr>
              <w:pStyle w:val="TableContents"/>
              <w:bidi w:val="0"/>
              <w:jc w:val="end"/>
              <w:rPr/>
            </w:pPr>
            <w:r>
              <w:rPr/>
              <w:t>≥</w:t>
            </w:r>
            <w:r>
              <w:rPr/>
              <w:t>25% by month 3</w:t>
            </w:r>
          </w:p>
        </w:tc>
      </w:tr>
      <w:tr>
        <w:trPr/>
        <w:tc>
          <w:tcPr>
            <w:tcW w:w="3324" w:type="dxa"/>
            <w:tcBorders>
              <w:start w:val="single" w:sz="4" w:space="0" w:color="000000"/>
              <w:bottom w:val="single" w:sz="4" w:space="0" w:color="000000"/>
            </w:tcBorders>
          </w:tcPr>
          <w:p>
            <w:pPr>
              <w:pStyle w:val="TableContents"/>
              <w:bidi w:val="0"/>
              <w:jc w:val="start"/>
              <w:rPr/>
            </w:pPr>
            <w:r>
              <w:rPr/>
              <w:t>Supply quality</w:t>
            </w:r>
          </w:p>
        </w:tc>
        <w:tc>
          <w:tcPr>
            <w:tcW w:w="3324" w:type="dxa"/>
            <w:tcBorders>
              <w:start w:val="single" w:sz="4" w:space="0" w:color="000000"/>
              <w:bottom w:val="single" w:sz="4" w:space="0" w:color="000000"/>
            </w:tcBorders>
          </w:tcPr>
          <w:p>
            <w:pPr>
              <w:pStyle w:val="TableContents"/>
              <w:bidi w:val="0"/>
              <w:jc w:val="end"/>
              <w:rPr/>
            </w:pPr>
            <w:r>
              <w:rPr/>
              <w:t>Completed booking rate</w:t>
            </w:r>
          </w:p>
        </w:tc>
        <w:tc>
          <w:tcPr>
            <w:tcW w:w="3324" w:type="dxa"/>
            <w:tcBorders>
              <w:start w:val="single" w:sz="4" w:space="0" w:color="000000"/>
              <w:bottom w:val="single" w:sz="4" w:space="0" w:color="000000"/>
              <w:end w:val="single" w:sz="4" w:space="0" w:color="000000"/>
            </w:tcBorders>
          </w:tcPr>
          <w:p>
            <w:pPr>
              <w:pStyle w:val="TableContents"/>
              <w:bidi w:val="0"/>
              <w:jc w:val="end"/>
              <w:rPr/>
            </w:pPr>
            <w:r>
              <w:rPr/>
              <w:t>≥</w:t>
            </w:r>
            <w:r>
              <w:rPr/>
              <w:t>90%</w:t>
            </w:r>
          </w:p>
        </w:tc>
      </w:tr>
      <w:tr>
        <w:trPr/>
        <w:tc>
          <w:tcPr>
            <w:tcW w:w="3324" w:type="dxa"/>
            <w:tcBorders>
              <w:start w:val="single" w:sz="4" w:space="0" w:color="000000"/>
              <w:bottom w:val="single" w:sz="4" w:space="0" w:color="000000"/>
            </w:tcBorders>
          </w:tcPr>
          <w:p>
            <w:pPr>
              <w:pStyle w:val="TableContents"/>
              <w:bidi w:val="0"/>
              <w:jc w:val="start"/>
              <w:rPr/>
            </w:pPr>
            <w:r>
              <w:rPr/>
              <w:t>Unit economics</w:t>
            </w:r>
          </w:p>
        </w:tc>
        <w:tc>
          <w:tcPr>
            <w:tcW w:w="3324" w:type="dxa"/>
            <w:tcBorders>
              <w:start w:val="single" w:sz="4" w:space="0" w:color="000000"/>
              <w:bottom w:val="single" w:sz="4" w:space="0" w:color="000000"/>
            </w:tcBorders>
          </w:tcPr>
          <w:p>
            <w:pPr>
              <w:pStyle w:val="TableContents"/>
              <w:bidi w:val="0"/>
              <w:jc w:val="end"/>
              <w:rPr/>
            </w:pPr>
            <w:r>
              <w:rPr/>
              <w:t>Blended 90-day contribution margin after acquisition</w:t>
            </w:r>
          </w:p>
        </w:tc>
        <w:tc>
          <w:tcPr>
            <w:tcW w:w="3324" w:type="dxa"/>
            <w:tcBorders>
              <w:start w:val="single" w:sz="4" w:space="0" w:color="000000"/>
              <w:bottom w:val="single" w:sz="4" w:space="0" w:color="000000"/>
              <w:end w:val="single" w:sz="4" w:space="0" w:color="000000"/>
            </w:tcBorders>
          </w:tcPr>
          <w:p>
            <w:pPr>
              <w:pStyle w:val="TableContents"/>
              <w:bidi w:val="0"/>
              <w:jc w:val="end"/>
              <w:rPr/>
            </w:pPr>
            <w:r>
              <w:rPr/>
              <w:t>Positive by month 12</w:t>
            </w:r>
          </w:p>
        </w:tc>
      </w:tr>
      <w:tr>
        <w:trPr/>
        <w:tc>
          <w:tcPr>
            <w:tcW w:w="3324" w:type="dxa"/>
            <w:tcBorders>
              <w:start w:val="single" w:sz="4" w:space="0" w:color="000000"/>
              <w:bottom w:val="single" w:sz="4" w:space="0" w:color="000000"/>
            </w:tcBorders>
          </w:tcPr>
          <w:p>
            <w:pPr>
              <w:pStyle w:val="TableContents"/>
              <w:bidi w:val="0"/>
              <w:jc w:val="start"/>
              <w:rPr/>
            </w:pPr>
            <w:r>
              <w:rPr/>
              <w:t>Safety</w:t>
            </w:r>
          </w:p>
        </w:tc>
        <w:tc>
          <w:tcPr>
            <w:tcW w:w="3324" w:type="dxa"/>
            <w:tcBorders>
              <w:start w:val="single" w:sz="4" w:space="0" w:color="000000"/>
              <w:bottom w:val="single" w:sz="4" w:space="0" w:color="000000"/>
            </w:tcBorders>
          </w:tcPr>
          <w:p>
            <w:pPr>
              <w:pStyle w:val="TableContents"/>
              <w:bidi w:val="0"/>
              <w:jc w:val="end"/>
              <w:rPr/>
            </w:pPr>
            <w:r>
              <w:rPr/>
              <w:t>Critical reports actioned within 24 hours</w:t>
            </w:r>
          </w:p>
        </w:tc>
        <w:tc>
          <w:tcPr>
            <w:tcW w:w="3324" w:type="dxa"/>
            <w:tcBorders>
              <w:start w:val="single" w:sz="4" w:space="0" w:color="000000"/>
              <w:bottom w:val="single" w:sz="4" w:space="0" w:color="000000"/>
              <w:end w:val="single" w:sz="4" w:space="0" w:color="000000"/>
            </w:tcBorders>
          </w:tcPr>
          <w:p>
            <w:pPr>
              <w:pStyle w:val="TableContents"/>
              <w:bidi w:val="0"/>
              <w:jc w:val="end"/>
              <w:rPr/>
            </w:pPr>
            <w:r>
              <w:rPr/>
              <w:t>≥</w:t>
            </w:r>
            <w:r>
              <w:rPr/>
              <w:t>95%</w:t>
            </w:r>
          </w:p>
        </w:tc>
      </w:tr>
    </w:tbl>
    <w:p>
      <w:pPr>
        <w:pStyle w:val="BodyText"/>
        <w:bidi w:val="0"/>
        <w:jc w:val="start"/>
        <w:rPr/>
      </w:pPr>
      <w:r>
        <w:rPr/>
      </w:r>
    </w:p>
    <w:p>
      <w:pPr>
        <w:pStyle w:val="BodyText"/>
        <w:bidi w:val="0"/>
        <w:jc w:val="start"/>
        <w:rPr/>
      </w:pPr>
      <w:r>
        <w:rPr/>
        <w:t>Targets are hypotheses and are replaced by cohort data after the pilot.</w:t>
      </w:r>
    </w:p>
    <w:p>
      <w:pPr>
        <w:pStyle w:val="HorizontalLine"/>
        <w:bidi w:val="0"/>
        <w:jc w:val="start"/>
        <w:rPr/>
      </w:pPr>
      <w:r>
        <w:rPr/>
      </w:r>
    </w:p>
    <w:p>
      <w:pPr>
        <w:pStyle w:val="Heading2"/>
        <w:bidi w:val="0"/>
        <w:ind w:hanging="0" w:start="0"/>
        <w:jc w:val="start"/>
        <w:rPr/>
      </w:pPr>
      <w:r>
        <w:rPr/>
        <w:t>11. Operations, trust, compliance and risk</w:t>
      </w:r>
    </w:p>
    <w:p>
      <w:pPr>
        <w:pStyle w:val="Heading3"/>
        <w:bidi w:val="0"/>
        <w:ind w:hanging="0" w:start="0"/>
        <w:jc w:val="start"/>
        <w:rPr/>
      </w:pPr>
      <w:r>
        <w:rPr/>
        <w:t>11.1 Operating model</w:t>
      </w:r>
    </w:p>
    <w:p>
      <w:pPr>
        <w:pStyle w:val="BodyText"/>
        <w:bidi w:val="0"/>
        <w:jc w:val="start"/>
        <w:rPr/>
      </w:pPr>
      <w:r>
        <w:rPr/>
        <w:t>See §3.2 for function-level accountability. Two additional operational commitments underpin all horizons:</w:t>
      </w:r>
    </w:p>
    <w:p>
      <w:pPr>
        <w:pStyle w:val="BodyText"/>
        <w:numPr>
          <w:ilvl w:val="0"/>
          <w:numId w:val="23"/>
        </w:numPr>
        <w:tabs>
          <w:tab w:val="clear" w:pos="709"/>
          <w:tab w:val="left" w:pos="709" w:leader="none"/>
        </w:tabs>
        <w:bidi w:val="0"/>
        <w:ind w:hanging="283" w:start="709"/>
        <w:jc w:val="start"/>
        <w:rPr/>
      </w:pPr>
      <w:r>
        <w:rPr>
          <w:b/>
        </w:rPr>
        <w:t>Partner success is a service, not a support ticket.</w:t>
      </w:r>
      <w:r>
        <w:rPr/>
        <w:t xml:space="preserve"> Onboarding, training, activation and retention dashboards are how Bud converts free pilots into paying partners.</w:t>
      </w:r>
    </w:p>
    <w:p>
      <w:pPr>
        <w:pStyle w:val="BodyText"/>
        <w:numPr>
          <w:ilvl w:val="0"/>
          <w:numId w:val="23"/>
        </w:numPr>
        <w:tabs>
          <w:tab w:val="clear" w:pos="709"/>
          <w:tab w:val="left" w:pos="709" w:leader="none"/>
        </w:tabs>
        <w:bidi w:val="0"/>
        <w:ind w:hanging="283" w:start="709"/>
        <w:jc w:val="start"/>
        <w:rPr/>
      </w:pPr>
      <w:r>
        <w:rPr>
          <w:b/>
        </w:rPr>
        <w:t>Safety is an operating budget line, not a feature.</w:t>
      </w:r>
      <w:r>
        <w:rPr/>
        <w:t xml:space="preserve"> Moderation, verification, incidents and disputes are funded and staffed from day one.</w:t>
      </w:r>
    </w:p>
    <w:p>
      <w:pPr>
        <w:pStyle w:val="Heading3"/>
        <w:numPr>
          <w:ilvl w:val="0"/>
          <w:numId w:val="0"/>
        </w:numPr>
        <w:bidi w:val="0"/>
        <w:ind w:hanging="0" w:start="0"/>
        <w:jc w:val="start"/>
        <w:rPr/>
      </w:pPr>
      <w:r>
        <w:rPr/>
        <w:t>11.2 Compliance requirements</w:t>
      </w:r>
    </w:p>
    <w:p>
      <w:pPr>
        <w:pStyle w:val="BodyText"/>
        <w:bidi w:val="0"/>
        <w:jc w:val="start"/>
        <w:rPr/>
      </w:pPr>
      <w:r>
        <w:rPr/>
        <w:t xml:space="preserve">Bud processes profile, location, behavioural and potentially health-related information. Kenya's Data Protection Act requires a lawful basis for processing; health data receives special treatment and may only be processed under specified conditions, including by/under the responsibility of a health-care provider or a person bound by professional secrecy. </w:t>
      </w:r>
      <w:hyperlink r:id="rId5">
        <w:r>
          <w:rPr>
            <w:rStyle w:val="Hyperlink"/>
          </w:rPr>
          <w:t>Kenya Data Protection Act</w:t>
        </w:r>
      </w:hyperlink>
      <w:r>
        <w:rPr/>
        <w:t xml:space="preserve"> The ODPC has issued health-data guidance. </w:t>
      </w:r>
      <w:hyperlink r:id="rId6">
        <w:r>
          <w:rPr>
            <w:rStyle w:val="Hyperlink"/>
          </w:rPr>
          <w:t>ODPC guidance</w:t>
        </w:r>
      </w:hyperlink>
    </w:p>
    <w:p>
      <w:pPr>
        <w:pStyle w:val="BodyText"/>
        <w:bidi w:val="0"/>
        <w:jc w:val="start"/>
        <w:rPr/>
      </w:pPr>
      <w:r>
        <w:rPr/>
        <w:t>Before launch, obtain Kenyan legal advice and implement: data mapping; documented lawful bases and granular consent; a data-protection impact assessment; processor/vendor contracts and cross-border transfer controls; retention/deletion schedules; access/export/deletion flows; incident response; role-based controls; encryption and audit logging. Confirm whether data controller/processor registration, a data protection officer and further health-sector obligations apply.</w:t>
      </w:r>
    </w:p>
    <w:p>
      <w:pPr>
        <w:pStyle w:val="BodyText"/>
        <w:bidi w:val="0"/>
        <w:jc w:val="start"/>
        <w:rPr/>
      </w:pPr>
      <w:r>
        <w:rPr/>
        <w:t>Each H2/H3 country repeats a localised compliance workstream (e.g., Nigeria NDPR/NITDA, South Africa POPIA, Ghana Data Protection Act).</w:t>
      </w:r>
    </w:p>
    <w:p>
      <w:pPr>
        <w:pStyle w:val="BodyText"/>
        <w:bidi w:val="0"/>
        <w:jc w:val="start"/>
        <w:rPr/>
      </w:pPr>
      <w:r>
        <w:rPr/>
        <w:t>Professional verification needs a local registry/credential process, an explicit scope-of-practice policy and indemnity/terms review. Practitioner content is labelled education, not individual medical advice, unless delivered within an approved professional relationship. AI output carries limitations, allows correction/escalation and is never the sole basis for health or safety decisions.</w:t>
      </w:r>
    </w:p>
    <w:p>
      <w:pPr>
        <w:pStyle w:val="Heading3"/>
        <w:bidi w:val="0"/>
        <w:ind w:hanging="0" w:start="0"/>
        <w:jc w:val="start"/>
        <w:rPr/>
      </w:pPr>
      <w:r>
        <w:rPr/>
        <w:t>11.3 Top risks and mitigations</w:t>
      </w:r>
    </w:p>
    <w:tbl>
      <w:tblPr>
        <w:tblW w:w="5000" w:type="pct"/>
        <w:jc w:val="start"/>
        <w:tblInd w:w="-5" w:type="dxa"/>
        <w:tblLayout w:type="fixed"/>
        <w:tblCellMar>
          <w:top w:w="55" w:type="dxa"/>
          <w:start w:w="55" w:type="dxa"/>
          <w:bottom w:w="55" w:type="dxa"/>
          <w:end w:w="55" w:type="dxa"/>
        </w:tblCellMar>
      </w:tblPr>
      <w:tblGrid>
        <w:gridCol w:w="3324"/>
        <w:gridCol w:w="3324"/>
        <w:gridCol w:w="3324"/>
      </w:tblGrid>
      <w:tr>
        <w:trPr>
          <w:tblHeader w:val="true"/>
        </w:trPr>
        <w:tc>
          <w:tcPr>
            <w:tcW w:w="3324" w:type="dxa"/>
            <w:tcBorders>
              <w:top w:val="single" w:sz="4" w:space="0" w:color="000000"/>
              <w:start w:val="single" w:sz="4" w:space="0" w:color="000000"/>
              <w:bottom w:val="single" w:sz="4" w:space="0" w:color="000000"/>
            </w:tcBorders>
          </w:tcPr>
          <w:p>
            <w:pPr>
              <w:pStyle w:val="TableHeading"/>
              <w:bidi w:val="0"/>
              <w:jc w:val="start"/>
              <w:rPr/>
            </w:pPr>
            <w:r>
              <w:rPr/>
              <w:t>Risk</w:t>
            </w:r>
          </w:p>
        </w:tc>
        <w:tc>
          <w:tcPr>
            <w:tcW w:w="3324" w:type="dxa"/>
            <w:tcBorders>
              <w:top w:val="single" w:sz="4" w:space="0" w:color="000000"/>
              <w:start w:val="single" w:sz="4" w:space="0" w:color="000000"/>
              <w:bottom w:val="single" w:sz="4" w:space="0" w:color="000000"/>
            </w:tcBorders>
          </w:tcPr>
          <w:p>
            <w:pPr>
              <w:pStyle w:val="TableHeading"/>
              <w:bidi w:val="0"/>
              <w:jc w:val="start"/>
              <w:rPr/>
            </w:pPr>
            <w:r>
              <w:rPr/>
              <w:t>Why it matters</w:t>
            </w:r>
          </w:p>
        </w:tc>
        <w:tc>
          <w:tcPr>
            <w:tcW w:w="3324"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Mitigation</w:t>
            </w:r>
          </w:p>
        </w:tc>
      </w:tr>
      <w:tr>
        <w:trPr/>
        <w:tc>
          <w:tcPr>
            <w:tcW w:w="3324" w:type="dxa"/>
            <w:tcBorders>
              <w:start w:val="single" w:sz="4" w:space="0" w:color="000000"/>
              <w:bottom w:val="single" w:sz="4" w:space="0" w:color="000000"/>
            </w:tcBorders>
          </w:tcPr>
          <w:p>
            <w:pPr>
              <w:pStyle w:val="TableContents"/>
              <w:bidi w:val="0"/>
              <w:jc w:val="start"/>
              <w:rPr/>
            </w:pPr>
            <w:r>
              <w:rPr/>
              <w:t>Marketplace cold start</w:t>
            </w:r>
          </w:p>
        </w:tc>
        <w:tc>
          <w:tcPr>
            <w:tcW w:w="3324" w:type="dxa"/>
            <w:tcBorders>
              <w:start w:val="single" w:sz="4" w:space="0" w:color="000000"/>
              <w:bottom w:val="single" w:sz="4" w:space="0" w:color="000000"/>
            </w:tcBorders>
          </w:tcPr>
          <w:p>
            <w:pPr>
              <w:pStyle w:val="TableContents"/>
              <w:bidi w:val="0"/>
              <w:jc w:val="start"/>
              <w:rPr/>
            </w:pPr>
            <w:r>
              <w:rPr/>
              <w:t>Members need activity and supply at the same time</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Launch dense partner clusters; do not open every category nationwide</w:t>
            </w:r>
          </w:p>
        </w:tc>
      </w:tr>
      <w:tr>
        <w:trPr/>
        <w:tc>
          <w:tcPr>
            <w:tcW w:w="3324" w:type="dxa"/>
            <w:tcBorders>
              <w:start w:val="single" w:sz="4" w:space="0" w:color="000000"/>
              <w:bottom w:val="single" w:sz="4" w:space="0" w:color="000000"/>
            </w:tcBorders>
          </w:tcPr>
          <w:p>
            <w:pPr>
              <w:pStyle w:val="TableContents"/>
              <w:bidi w:val="0"/>
              <w:jc w:val="start"/>
              <w:rPr/>
            </w:pPr>
            <w:r>
              <w:rPr/>
              <w:t>Safety/harassment</w:t>
            </w:r>
          </w:p>
        </w:tc>
        <w:tc>
          <w:tcPr>
            <w:tcW w:w="3324" w:type="dxa"/>
            <w:tcBorders>
              <w:start w:val="single" w:sz="4" w:space="0" w:color="000000"/>
              <w:bottom w:val="single" w:sz="4" w:space="0" w:color="000000"/>
            </w:tcBorders>
          </w:tcPr>
          <w:p>
            <w:pPr>
              <w:pStyle w:val="TableContents"/>
              <w:bidi w:val="0"/>
              <w:jc w:val="start"/>
              <w:rPr/>
            </w:pPr>
            <w:r>
              <w:rPr/>
              <w:t>Offline meetups, DMs and live video increase harm exposure</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Mutual messaging, blocking/reporting, verified partners, moderation SLAs, emergency escalation guidance</w:t>
            </w:r>
          </w:p>
        </w:tc>
      </w:tr>
      <w:tr>
        <w:trPr/>
        <w:tc>
          <w:tcPr>
            <w:tcW w:w="3324" w:type="dxa"/>
            <w:tcBorders>
              <w:start w:val="single" w:sz="4" w:space="0" w:color="000000"/>
              <w:bottom w:val="single" w:sz="4" w:space="0" w:color="000000"/>
            </w:tcBorders>
          </w:tcPr>
          <w:p>
            <w:pPr>
              <w:pStyle w:val="TableContents"/>
              <w:bidi w:val="0"/>
              <w:jc w:val="start"/>
              <w:rPr/>
            </w:pPr>
            <w:r>
              <w:rPr/>
              <w:t>Payment/stored-value regulation</w:t>
            </w:r>
          </w:p>
        </w:tc>
        <w:tc>
          <w:tcPr>
            <w:tcW w:w="3324" w:type="dxa"/>
            <w:tcBorders>
              <w:start w:val="single" w:sz="4" w:space="0" w:color="000000"/>
              <w:bottom w:val="single" w:sz="4" w:space="0" w:color="000000"/>
            </w:tcBorders>
          </w:tcPr>
          <w:p>
            <w:pPr>
              <w:pStyle w:val="TableContents"/>
              <w:bidi w:val="0"/>
              <w:jc w:val="start"/>
              <w:rPr/>
            </w:pPr>
            <w:r>
              <w:rPr/>
              <w:t>Wallet/cash-out can be regulated and creates settlement risk</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Direct local-currency payments first; licensed partners; legal review before wallet release</w:t>
            </w:r>
          </w:p>
        </w:tc>
      </w:tr>
      <w:tr>
        <w:trPr/>
        <w:tc>
          <w:tcPr>
            <w:tcW w:w="3324" w:type="dxa"/>
            <w:tcBorders>
              <w:start w:val="single" w:sz="4" w:space="0" w:color="000000"/>
              <w:bottom w:val="single" w:sz="4" w:space="0" w:color="000000"/>
            </w:tcBorders>
          </w:tcPr>
          <w:p>
            <w:pPr>
              <w:pStyle w:val="TableContents"/>
              <w:bidi w:val="0"/>
              <w:jc w:val="start"/>
              <w:rPr/>
            </w:pPr>
            <w:r>
              <w:rPr/>
              <w:t>Medical misinformation</w:t>
            </w:r>
          </w:p>
        </w:tc>
        <w:tc>
          <w:tcPr>
            <w:tcW w:w="3324" w:type="dxa"/>
            <w:tcBorders>
              <w:start w:val="single" w:sz="4" w:space="0" w:color="000000"/>
              <w:bottom w:val="single" w:sz="4" w:space="0" w:color="000000"/>
            </w:tcBorders>
          </w:tcPr>
          <w:p>
            <w:pPr>
              <w:pStyle w:val="TableContents"/>
              <w:bidi w:val="0"/>
              <w:jc w:val="start"/>
              <w:rPr/>
            </w:pPr>
            <w:r>
              <w:rPr/>
              <w:t>Health claims can harm users and damage trust</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Verified credentials, clear scopes, review pathways, restrictive content policy</w:t>
            </w:r>
          </w:p>
        </w:tc>
      </w:tr>
      <w:tr>
        <w:trPr/>
        <w:tc>
          <w:tcPr>
            <w:tcW w:w="3324" w:type="dxa"/>
            <w:tcBorders>
              <w:start w:val="single" w:sz="4" w:space="0" w:color="000000"/>
              <w:bottom w:val="single" w:sz="4" w:space="0" w:color="000000"/>
            </w:tcBorders>
          </w:tcPr>
          <w:p>
            <w:pPr>
              <w:pStyle w:val="TableContents"/>
              <w:bidi w:val="0"/>
              <w:jc w:val="start"/>
              <w:rPr/>
            </w:pPr>
            <w:r>
              <w:rPr/>
              <w:t>Unit economics of video/AI</w:t>
            </w:r>
          </w:p>
        </w:tc>
        <w:tc>
          <w:tcPr>
            <w:tcW w:w="3324" w:type="dxa"/>
            <w:tcBorders>
              <w:start w:val="single" w:sz="4" w:space="0" w:color="000000"/>
              <w:bottom w:val="single" w:sz="4" w:space="0" w:color="000000"/>
            </w:tcBorders>
          </w:tcPr>
          <w:p>
            <w:pPr>
              <w:pStyle w:val="TableContents"/>
              <w:bidi w:val="0"/>
              <w:jc w:val="start"/>
              <w:rPr/>
            </w:pPr>
            <w:r>
              <w:rPr/>
              <w:t>Live/video and model calls can outpace early revenue</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Cap/price premium live features, recording retention limits, usage monitoring, fallback paths</w:t>
            </w:r>
          </w:p>
        </w:tc>
      </w:tr>
      <w:tr>
        <w:trPr/>
        <w:tc>
          <w:tcPr>
            <w:tcW w:w="3324" w:type="dxa"/>
            <w:tcBorders>
              <w:start w:val="single" w:sz="4" w:space="0" w:color="000000"/>
              <w:bottom w:val="single" w:sz="4" w:space="0" w:color="000000"/>
            </w:tcBorders>
          </w:tcPr>
          <w:p>
            <w:pPr>
              <w:pStyle w:val="TableContents"/>
              <w:bidi w:val="0"/>
              <w:jc w:val="start"/>
              <w:rPr/>
            </w:pPr>
            <w:r>
              <w:rPr/>
              <w:t>Partner churn</w:t>
            </w:r>
          </w:p>
        </w:tc>
        <w:tc>
          <w:tcPr>
            <w:tcW w:w="3324" w:type="dxa"/>
            <w:tcBorders>
              <w:start w:val="single" w:sz="4" w:space="0" w:color="000000"/>
              <w:bottom w:val="single" w:sz="4" w:space="0" w:color="000000"/>
            </w:tcBorders>
          </w:tcPr>
          <w:p>
            <w:pPr>
              <w:pStyle w:val="TableContents"/>
              <w:bidi w:val="0"/>
              <w:jc w:val="start"/>
              <w:rPr/>
            </w:pPr>
            <w:r>
              <w:rPr/>
              <w:t>Gyms retain familiar WhatsApp/spreadsheet processes</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Fast onboarding, measurable retention dashboard, human partner support, month-to-month early contracts</w:t>
            </w:r>
          </w:p>
        </w:tc>
      </w:tr>
      <w:tr>
        <w:trPr/>
        <w:tc>
          <w:tcPr>
            <w:tcW w:w="3324" w:type="dxa"/>
            <w:tcBorders>
              <w:start w:val="single" w:sz="4" w:space="0" w:color="000000"/>
              <w:bottom w:val="single" w:sz="4" w:space="0" w:color="000000"/>
            </w:tcBorders>
          </w:tcPr>
          <w:p>
            <w:pPr>
              <w:pStyle w:val="TableContents"/>
              <w:bidi w:val="0"/>
              <w:jc w:val="start"/>
              <w:rPr/>
            </w:pPr>
            <w:r>
              <w:rPr/>
              <w:t>Data breach/reputation</w:t>
            </w:r>
          </w:p>
        </w:tc>
        <w:tc>
          <w:tcPr>
            <w:tcW w:w="3324" w:type="dxa"/>
            <w:tcBorders>
              <w:start w:val="single" w:sz="4" w:space="0" w:color="000000"/>
              <w:bottom w:val="single" w:sz="4" w:space="0" w:color="000000"/>
            </w:tcBorders>
          </w:tcPr>
          <w:p>
            <w:pPr>
              <w:pStyle w:val="TableContents"/>
              <w:bidi w:val="0"/>
              <w:jc w:val="start"/>
              <w:rPr/>
            </w:pPr>
            <w:r>
              <w:rPr/>
              <w:t>The platform holds sensitive relationships and health-adjacent data</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Minimise data, secure defaults, testing, incident plan, vendor control</w:t>
            </w:r>
          </w:p>
        </w:tc>
      </w:tr>
      <w:tr>
        <w:trPr/>
        <w:tc>
          <w:tcPr>
            <w:tcW w:w="3324" w:type="dxa"/>
            <w:tcBorders>
              <w:start w:val="single" w:sz="4" w:space="0" w:color="000000"/>
              <w:bottom w:val="single" w:sz="4" w:space="0" w:color="000000"/>
            </w:tcBorders>
          </w:tcPr>
          <w:p>
            <w:pPr>
              <w:pStyle w:val="TableContents"/>
              <w:bidi w:val="0"/>
              <w:jc w:val="start"/>
              <w:rPr/>
            </w:pPr>
            <w:r>
              <w:rPr/>
              <w:t>Regulatory divergence across countries</w:t>
            </w:r>
          </w:p>
        </w:tc>
        <w:tc>
          <w:tcPr>
            <w:tcW w:w="3324" w:type="dxa"/>
            <w:tcBorders>
              <w:start w:val="single" w:sz="4" w:space="0" w:color="000000"/>
              <w:bottom w:val="single" w:sz="4" w:space="0" w:color="000000"/>
            </w:tcBorders>
          </w:tcPr>
          <w:p>
            <w:pPr>
              <w:pStyle w:val="TableContents"/>
              <w:bidi w:val="0"/>
              <w:jc w:val="start"/>
              <w:rPr/>
            </w:pPr>
            <w:r>
              <w:rPr/>
              <w:t>Compliance is not one-size-fits-all in Pan-Africa</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Country entities, local legal review as a launch gate, shared group playbooks</w:t>
            </w:r>
          </w:p>
        </w:tc>
      </w:tr>
    </w:tbl>
    <w:p>
      <w:pPr>
        <w:pStyle w:val="BodyText"/>
        <w:bidi w:val="0"/>
        <w:jc w:val="start"/>
        <w:rPr/>
      </w:pPr>
      <w:r>
        <w:rPr/>
      </w:r>
    </w:p>
    <w:p>
      <w:pPr>
        <w:pStyle w:val="HorizontalLine"/>
        <w:bidi w:val="0"/>
        <w:jc w:val="start"/>
        <w:rPr/>
      </w:pPr>
      <w:r>
        <w:rPr/>
      </w:r>
    </w:p>
    <w:p>
      <w:pPr>
        <w:pStyle w:val="Heading2"/>
        <w:bidi w:val="0"/>
        <w:ind w:hanging="0" w:start="0"/>
        <w:jc w:val="start"/>
        <w:rPr/>
      </w:pPr>
      <w:r>
        <w:rPr/>
        <w:t>12. Financial plan</w:t>
      </w:r>
    </w:p>
    <w:p>
      <w:pPr>
        <w:pStyle w:val="Heading3"/>
        <w:bidi w:val="0"/>
        <w:ind w:hanging="0" w:start="0"/>
        <w:jc w:val="start"/>
        <w:rPr/>
      </w:pPr>
      <w:r>
        <w:rPr/>
        <w:t>12.1 Planning assumptions</w:t>
      </w:r>
    </w:p>
    <w:p>
      <w:pPr>
        <w:pStyle w:val="BodyText"/>
        <w:bidi w:val="0"/>
        <w:jc w:val="start"/>
        <w:rPr/>
      </w:pPr>
      <w:r>
        <w:rPr/>
        <w:t xml:space="preserve">This is a conservative operating model, not a prediction. It assumes a partner-led Kenya launch, direct local-currency payments, no advertising revenue and no cash-out wallet. Revenue is net of refunds but </w:t>
      </w:r>
      <w:r>
        <w:rPr>
          <w:b/>
        </w:rPr>
        <w:t>before</w:t>
      </w:r>
      <w:r>
        <w:rPr/>
        <w:t xml:space="preserve"> payment processing cost. GMV is not revenue. Amounts are rounded, exclude VAT/tax treatment and need finance review.</w:t>
      </w:r>
    </w:p>
    <w:p>
      <w:pPr>
        <w:pStyle w:val="Heading3"/>
        <w:bidi w:val="0"/>
        <w:ind w:hanging="0" w:start="0"/>
        <w:jc w:val="start"/>
        <w:rPr/>
      </w:pPr>
      <w:r>
        <w:rPr/>
        <w:t>12.2 Horizon 1 (Kenya, years 1–3) — planning inputs</w:t>
      </w:r>
    </w:p>
    <w:tbl>
      <w:tblPr>
        <w:tblW w:w="5000" w:type="pct"/>
        <w:jc w:val="start"/>
        <w:tblInd w:w="-5" w:type="dxa"/>
        <w:tblLayout w:type="fixed"/>
        <w:tblCellMar>
          <w:top w:w="55" w:type="dxa"/>
          <w:start w:w="55" w:type="dxa"/>
          <w:bottom w:w="55" w:type="dxa"/>
          <w:end w:w="55" w:type="dxa"/>
        </w:tblCellMar>
      </w:tblPr>
      <w:tblGrid>
        <w:gridCol w:w="2493"/>
        <w:gridCol w:w="2493"/>
        <w:gridCol w:w="2493"/>
        <w:gridCol w:w="2493"/>
      </w:tblGrid>
      <w:tr>
        <w:trPr>
          <w:tblHeader w:val="true"/>
        </w:trPr>
        <w:tc>
          <w:tcPr>
            <w:tcW w:w="2493" w:type="dxa"/>
            <w:tcBorders>
              <w:top w:val="single" w:sz="4" w:space="0" w:color="000000"/>
              <w:start w:val="single" w:sz="4" w:space="0" w:color="000000"/>
              <w:bottom w:val="single" w:sz="4" w:space="0" w:color="000000"/>
            </w:tcBorders>
          </w:tcPr>
          <w:p>
            <w:pPr>
              <w:pStyle w:val="TableHeading"/>
              <w:bidi w:val="0"/>
              <w:jc w:val="start"/>
              <w:rPr/>
            </w:pPr>
            <w:r>
              <w:rPr/>
              <w:t>Input</w:t>
            </w:r>
          </w:p>
        </w:tc>
        <w:tc>
          <w:tcPr>
            <w:tcW w:w="2493" w:type="dxa"/>
            <w:tcBorders>
              <w:top w:val="single" w:sz="4" w:space="0" w:color="000000"/>
              <w:start w:val="single" w:sz="4" w:space="0" w:color="000000"/>
              <w:bottom w:val="single" w:sz="4" w:space="0" w:color="000000"/>
            </w:tcBorders>
          </w:tcPr>
          <w:p>
            <w:pPr>
              <w:pStyle w:val="TableHeading"/>
              <w:bidi w:val="0"/>
              <w:jc w:val="end"/>
              <w:rPr/>
            </w:pPr>
            <w:r>
              <w:rPr/>
              <w:t>Year 1</w:t>
            </w:r>
          </w:p>
        </w:tc>
        <w:tc>
          <w:tcPr>
            <w:tcW w:w="2493" w:type="dxa"/>
            <w:tcBorders>
              <w:top w:val="single" w:sz="4" w:space="0" w:color="000000"/>
              <w:start w:val="single" w:sz="4" w:space="0" w:color="000000"/>
              <w:bottom w:val="single" w:sz="4" w:space="0" w:color="000000"/>
            </w:tcBorders>
          </w:tcPr>
          <w:p>
            <w:pPr>
              <w:pStyle w:val="TableHeading"/>
              <w:bidi w:val="0"/>
              <w:jc w:val="end"/>
              <w:rPr/>
            </w:pPr>
            <w:r>
              <w:rPr/>
              <w:t>Year 2</w:t>
            </w:r>
          </w:p>
        </w:tc>
        <w:tc>
          <w:tcPr>
            <w:tcW w:w="2493" w:type="dxa"/>
            <w:tcBorders>
              <w:top w:val="single" w:sz="4" w:space="0" w:color="000000"/>
              <w:start w:val="single" w:sz="4" w:space="0" w:color="000000"/>
              <w:bottom w:val="single" w:sz="4" w:space="0" w:color="000000"/>
              <w:end w:val="single" w:sz="4" w:space="0" w:color="000000"/>
            </w:tcBorders>
          </w:tcPr>
          <w:p>
            <w:pPr>
              <w:pStyle w:val="TableHeading"/>
              <w:bidi w:val="0"/>
              <w:jc w:val="end"/>
              <w:rPr/>
            </w:pPr>
            <w:r>
              <w:rPr/>
              <w:t>Year 3</w:t>
            </w:r>
          </w:p>
        </w:tc>
      </w:tr>
      <w:tr>
        <w:trPr/>
        <w:tc>
          <w:tcPr>
            <w:tcW w:w="2493" w:type="dxa"/>
            <w:tcBorders>
              <w:start w:val="single" w:sz="4" w:space="0" w:color="000000"/>
              <w:bottom w:val="single" w:sz="4" w:space="0" w:color="000000"/>
            </w:tcBorders>
          </w:tcPr>
          <w:p>
            <w:pPr>
              <w:pStyle w:val="TableContents"/>
              <w:bidi w:val="0"/>
              <w:jc w:val="start"/>
              <w:rPr/>
            </w:pPr>
            <w:r>
              <w:rPr/>
              <w:t>End-of-year paying gym/studio partners</w:t>
            </w:r>
          </w:p>
        </w:tc>
        <w:tc>
          <w:tcPr>
            <w:tcW w:w="2493" w:type="dxa"/>
            <w:tcBorders>
              <w:start w:val="single" w:sz="4" w:space="0" w:color="000000"/>
              <w:bottom w:val="single" w:sz="4" w:space="0" w:color="000000"/>
            </w:tcBorders>
          </w:tcPr>
          <w:p>
            <w:pPr>
              <w:pStyle w:val="TableContents"/>
              <w:bidi w:val="0"/>
              <w:jc w:val="end"/>
              <w:rPr/>
            </w:pPr>
            <w:r>
              <w:rPr/>
              <w:t>20</w:t>
            </w:r>
          </w:p>
        </w:tc>
        <w:tc>
          <w:tcPr>
            <w:tcW w:w="2493" w:type="dxa"/>
            <w:tcBorders>
              <w:start w:val="single" w:sz="4" w:space="0" w:color="000000"/>
              <w:bottom w:val="single" w:sz="4" w:space="0" w:color="000000"/>
            </w:tcBorders>
          </w:tcPr>
          <w:p>
            <w:pPr>
              <w:pStyle w:val="TableContents"/>
              <w:bidi w:val="0"/>
              <w:jc w:val="end"/>
              <w:rPr/>
            </w:pPr>
            <w:r>
              <w:rPr/>
              <w:t>70</w:t>
            </w:r>
          </w:p>
        </w:tc>
        <w:tc>
          <w:tcPr>
            <w:tcW w:w="2493" w:type="dxa"/>
            <w:tcBorders>
              <w:start w:val="single" w:sz="4" w:space="0" w:color="000000"/>
              <w:bottom w:val="single" w:sz="4" w:space="0" w:color="000000"/>
              <w:end w:val="single" w:sz="4" w:space="0" w:color="000000"/>
            </w:tcBorders>
          </w:tcPr>
          <w:p>
            <w:pPr>
              <w:pStyle w:val="TableContents"/>
              <w:bidi w:val="0"/>
              <w:jc w:val="end"/>
              <w:rPr/>
            </w:pPr>
            <w:r>
              <w:rPr/>
              <w:t>180</w:t>
            </w:r>
          </w:p>
        </w:tc>
      </w:tr>
      <w:tr>
        <w:trPr/>
        <w:tc>
          <w:tcPr>
            <w:tcW w:w="2493" w:type="dxa"/>
            <w:tcBorders>
              <w:start w:val="single" w:sz="4" w:space="0" w:color="000000"/>
              <w:bottom w:val="single" w:sz="4" w:space="0" w:color="000000"/>
            </w:tcBorders>
          </w:tcPr>
          <w:p>
            <w:pPr>
              <w:pStyle w:val="TableContents"/>
              <w:bidi w:val="0"/>
              <w:jc w:val="start"/>
              <w:rPr/>
            </w:pPr>
            <w:r>
              <w:rPr/>
              <w:t>End-of-year Coach Pro accounts</w:t>
            </w:r>
          </w:p>
        </w:tc>
        <w:tc>
          <w:tcPr>
            <w:tcW w:w="2493" w:type="dxa"/>
            <w:tcBorders>
              <w:start w:val="single" w:sz="4" w:space="0" w:color="000000"/>
              <w:bottom w:val="single" w:sz="4" w:space="0" w:color="000000"/>
            </w:tcBorders>
          </w:tcPr>
          <w:p>
            <w:pPr>
              <w:pStyle w:val="TableContents"/>
              <w:bidi w:val="0"/>
              <w:jc w:val="end"/>
              <w:rPr/>
            </w:pPr>
            <w:r>
              <w:rPr/>
              <w:t>80</w:t>
            </w:r>
          </w:p>
        </w:tc>
        <w:tc>
          <w:tcPr>
            <w:tcW w:w="2493" w:type="dxa"/>
            <w:tcBorders>
              <w:start w:val="single" w:sz="4" w:space="0" w:color="000000"/>
              <w:bottom w:val="single" w:sz="4" w:space="0" w:color="000000"/>
            </w:tcBorders>
          </w:tcPr>
          <w:p>
            <w:pPr>
              <w:pStyle w:val="TableContents"/>
              <w:bidi w:val="0"/>
              <w:jc w:val="end"/>
              <w:rPr/>
            </w:pPr>
            <w:r>
              <w:rPr/>
              <w:t>250</w:t>
            </w:r>
          </w:p>
        </w:tc>
        <w:tc>
          <w:tcPr>
            <w:tcW w:w="2493" w:type="dxa"/>
            <w:tcBorders>
              <w:start w:val="single" w:sz="4" w:space="0" w:color="000000"/>
              <w:bottom w:val="single" w:sz="4" w:space="0" w:color="000000"/>
              <w:end w:val="single" w:sz="4" w:space="0" w:color="000000"/>
            </w:tcBorders>
          </w:tcPr>
          <w:p>
            <w:pPr>
              <w:pStyle w:val="TableContents"/>
              <w:bidi w:val="0"/>
              <w:jc w:val="end"/>
              <w:rPr/>
            </w:pPr>
            <w:r>
              <w:rPr/>
              <w:t>650</w:t>
            </w:r>
          </w:p>
        </w:tc>
      </w:tr>
      <w:tr>
        <w:trPr/>
        <w:tc>
          <w:tcPr>
            <w:tcW w:w="2493" w:type="dxa"/>
            <w:tcBorders>
              <w:start w:val="single" w:sz="4" w:space="0" w:color="000000"/>
              <w:bottom w:val="single" w:sz="4" w:space="0" w:color="000000"/>
            </w:tcBorders>
          </w:tcPr>
          <w:p>
            <w:pPr>
              <w:pStyle w:val="TableContents"/>
              <w:bidi w:val="0"/>
              <w:jc w:val="start"/>
              <w:rPr/>
            </w:pPr>
            <w:r>
              <w:rPr/>
              <w:t>End-of-year MAU</w:t>
            </w:r>
          </w:p>
        </w:tc>
        <w:tc>
          <w:tcPr>
            <w:tcW w:w="2493" w:type="dxa"/>
            <w:tcBorders>
              <w:start w:val="single" w:sz="4" w:space="0" w:color="000000"/>
              <w:bottom w:val="single" w:sz="4" w:space="0" w:color="000000"/>
            </w:tcBorders>
          </w:tcPr>
          <w:p>
            <w:pPr>
              <w:pStyle w:val="TableContents"/>
              <w:bidi w:val="0"/>
              <w:jc w:val="end"/>
              <w:rPr/>
            </w:pPr>
            <w:r>
              <w:rPr/>
              <w:t>6,000</w:t>
            </w:r>
          </w:p>
        </w:tc>
        <w:tc>
          <w:tcPr>
            <w:tcW w:w="2493" w:type="dxa"/>
            <w:tcBorders>
              <w:start w:val="single" w:sz="4" w:space="0" w:color="000000"/>
              <w:bottom w:val="single" w:sz="4" w:space="0" w:color="000000"/>
            </w:tcBorders>
          </w:tcPr>
          <w:p>
            <w:pPr>
              <w:pStyle w:val="TableContents"/>
              <w:bidi w:val="0"/>
              <w:jc w:val="end"/>
              <w:rPr/>
            </w:pPr>
            <w:r>
              <w:rPr/>
              <w:t>24,000</w:t>
            </w:r>
          </w:p>
        </w:tc>
        <w:tc>
          <w:tcPr>
            <w:tcW w:w="2493" w:type="dxa"/>
            <w:tcBorders>
              <w:start w:val="single" w:sz="4" w:space="0" w:color="000000"/>
              <w:bottom w:val="single" w:sz="4" w:space="0" w:color="000000"/>
              <w:end w:val="single" w:sz="4" w:space="0" w:color="000000"/>
            </w:tcBorders>
          </w:tcPr>
          <w:p>
            <w:pPr>
              <w:pStyle w:val="TableContents"/>
              <w:bidi w:val="0"/>
              <w:jc w:val="end"/>
              <w:rPr/>
            </w:pPr>
            <w:r>
              <w:rPr/>
              <w:t>75,000</w:t>
            </w:r>
          </w:p>
        </w:tc>
      </w:tr>
      <w:tr>
        <w:trPr/>
        <w:tc>
          <w:tcPr>
            <w:tcW w:w="2493" w:type="dxa"/>
            <w:tcBorders>
              <w:start w:val="single" w:sz="4" w:space="0" w:color="000000"/>
              <w:bottom w:val="single" w:sz="4" w:space="0" w:color="000000"/>
            </w:tcBorders>
          </w:tcPr>
          <w:p>
            <w:pPr>
              <w:pStyle w:val="TableContents"/>
              <w:bidi w:val="0"/>
              <w:jc w:val="start"/>
              <w:rPr/>
            </w:pPr>
            <w:r>
              <w:rPr/>
              <w:t>Member Plus conversion (average MAU)</w:t>
            </w:r>
          </w:p>
        </w:tc>
        <w:tc>
          <w:tcPr>
            <w:tcW w:w="2493" w:type="dxa"/>
            <w:tcBorders>
              <w:start w:val="single" w:sz="4" w:space="0" w:color="000000"/>
              <w:bottom w:val="single" w:sz="4" w:space="0" w:color="000000"/>
            </w:tcBorders>
          </w:tcPr>
          <w:p>
            <w:pPr>
              <w:pStyle w:val="TableContents"/>
              <w:bidi w:val="0"/>
              <w:jc w:val="end"/>
              <w:rPr/>
            </w:pPr>
            <w:r>
              <w:rPr/>
              <w:t>3%</w:t>
            </w:r>
          </w:p>
        </w:tc>
        <w:tc>
          <w:tcPr>
            <w:tcW w:w="2493" w:type="dxa"/>
            <w:tcBorders>
              <w:start w:val="single" w:sz="4" w:space="0" w:color="000000"/>
              <w:bottom w:val="single" w:sz="4" w:space="0" w:color="000000"/>
            </w:tcBorders>
          </w:tcPr>
          <w:p>
            <w:pPr>
              <w:pStyle w:val="TableContents"/>
              <w:bidi w:val="0"/>
              <w:jc w:val="end"/>
              <w:rPr/>
            </w:pPr>
            <w:r>
              <w:rPr/>
              <w:t>5%</w:t>
            </w:r>
          </w:p>
        </w:tc>
        <w:tc>
          <w:tcPr>
            <w:tcW w:w="2493" w:type="dxa"/>
            <w:tcBorders>
              <w:start w:val="single" w:sz="4" w:space="0" w:color="000000"/>
              <w:bottom w:val="single" w:sz="4" w:space="0" w:color="000000"/>
              <w:end w:val="single" w:sz="4" w:space="0" w:color="000000"/>
            </w:tcBorders>
          </w:tcPr>
          <w:p>
            <w:pPr>
              <w:pStyle w:val="TableContents"/>
              <w:bidi w:val="0"/>
              <w:jc w:val="end"/>
              <w:rPr/>
            </w:pPr>
            <w:r>
              <w:rPr/>
              <w:t>7%</w:t>
            </w:r>
          </w:p>
        </w:tc>
      </w:tr>
      <w:tr>
        <w:trPr/>
        <w:tc>
          <w:tcPr>
            <w:tcW w:w="2493" w:type="dxa"/>
            <w:tcBorders>
              <w:start w:val="single" w:sz="4" w:space="0" w:color="000000"/>
              <w:bottom w:val="single" w:sz="4" w:space="0" w:color="000000"/>
            </w:tcBorders>
          </w:tcPr>
          <w:p>
            <w:pPr>
              <w:pStyle w:val="TableContents"/>
              <w:bidi w:val="0"/>
              <w:jc w:val="start"/>
              <w:rPr/>
            </w:pPr>
            <w:r>
              <w:rPr/>
              <w:t>Completed bookings/programme GMV</w:t>
            </w:r>
          </w:p>
        </w:tc>
        <w:tc>
          <w:tcPr>
            <w:tcW w:w="2493" w:type="dxa"/>
            <w:tcBorders>
              <w:start w:val="single" w:sz="4" w:space="0" w:color="000000"/>
              <w:bottom w:val="single" w:sz="4" w:space="0" w:color="000000"/>
            </w:tcBorders>
          </w:tcPr>
          <w:p>
            <w:pPr>
              <w:pStyle w:val="TableContents"/>
              <w:bidi w:val="0"/>
              <w:jc w:val="end"/>
              <w:rPr/>
            </w:pPr>
            <w:r>
              <w:rPr/>
              <w:t>KSh 7.0m</w:t>
            </w:r>
          </w:p>
        </w:tc>
        <w:tc>
          <w:tcPr>
            <w:tcW w:w="2493" w:type="dxa"/>
            <w:tcBorders>
              <w:start w:val="single" w:sz="4" w:space="0" w:color="000000"/>
              <w:bottom w:val="single" w:sz="4" w:space="0" w:color="000000"/>
            </w:tcBorders>
          </w:tcPr>
          <w:p>
            <w:pPr>
              <w:pStyle w:val="TableContents"/>
              <w:bidi w:val="0"/>
              <w:jc w:val="end"/>
              <w:rPr/>
            </w:pPr>
            <w:r>
              <w:rPr/>
              <w:t>KSh 30.0m</w:t>
            </w:r>
          </w:p>
        </w:tc>
        <w:tc>
          <w:tcPr>
            <w:tcW w:w="2493" w:type="dxa"/>
            <w:tcBorders>
              <w:start w:val="single" w:sz="4" w:space="0" w:color="000000"/>
              <w:bottom w:val="single" w:sz="4" w:space="0" w:color="000000"/>
              <w:end w:val="single" w:sz="4" w:space="0" w:color="000000"/>
            </w:tcBorders>
          </w:tcPr>
          <w:p>
            <w:pPr>
              <w:pStyle w:val="TableContents"/>
              <w:bidi w:val="0"/>
              <w:jc w:val="end"/>
              <w:rPr/>
            </w:pPr>
            <w:r>
              <w:rPr/>
              <w:t>KSh 85.0m</w:t>
            </w:r>
          </w:p>
        </w:tc>
      </w:tr>
      <w:tr>
        <w:trPr/>
        <w:tc>
          <w:tcPr>
            <w:tcW w:w="2493" w:type="dxa"/>
            <w:tcBorders>
              <w:start w:val="single" w:sz="4" w:space="0" w:color="000000"/>
              <w:bottom w:val="single" w:sz="4" w:space="0" w:color="000000"/>
            </w:tcBorders>
          </w:tcPr>
          <w:p>
            <w:pPr>
              <w:pStyle w:val="TableContents"/>
              <w:bidi w:val="0"/>
              <w:jc w:val="start"/>
              <w:rPr/>
            </w:pPr>
            <w:r>
              <w:rPr/>
              <w:t>Transaction take rate</w:t>
            </w:r>
          </w:p>
        </w:tc>
        <w:tc>
          <w:tcPr>
            <w:tcW w:w="2493" w:type="dxa"/>
            <w:tcBorders>
              <w:start w:val="single" w:sz="4" w:space="0" w:color="000000"/>
              <w:bottom w:val="single" w:sz="4" w:space="0" w:color="000000"/>
            </w:tcBorders>
          </w:tcPr>
          <w:p>
            <w:pPr>
              <w:pStyle w:val="TableContents"/>
              <w:bidi w:val="0"/>
              <w:jc w:val="end"/>
              <w:rPr/>
            </w:pPr>
            <w:r>
              <w:rPr/>
              <w:t>10%</w:t>
            </w:r>
          </w:p>
        </w:tc>
        <w:tc>
          <w:tcPr>
            <w:tcW w:w="2493" w:type="dxa"/>
            <w:tcBorders>
              <w:start w:val="single" w:sz="4" w:space="0" w:color="000000"/>
              <w:bottom w:val="single" w:sz="4" w:space="0" w:color="000000"/>
            </w:tcBorders>
          </w:tcPr>
          <w:p>
            <w:pPr>
              <w:pStyle w:val="TableContents"/>
              <w:bidi w:val="0"/>
              <w:jc w:val="end"/>
              <w:rPr/>
            </w:pPr>
            <w:r>
              <w:rPr/>
              <w:t>10%</w:t>
            </w:r>
          </w:p>
        </w:tc>
        <w:tc>
          <w:tcPr>
            <w:tcW w:w="2493" w:type="dxa"/>
            <w:tcBorders>
              <w:start w:val="single" w:sz="4" w:space="0" w:color="000000"/>
              <w:bottom w:val="single" w:sz="4" w:space="0" w:color="000000"/>
              <w:end w:val="single" w:sz="4" w:space="0" w:color="000000"/>
            </w:tcBorders>
          </w:tcPr>
          <w:p>
            <w:pPr>
              <w:pStyle w:val="TableContents"/>
              <w:bidi w:val="0"/>
              <w:jc w:val="end"/>
              <w:rPr/>
            </w:pPr>
            <w:r>
              <w:rPr/>
              <w:t>10%</w:t>
            </w:r>
          </w:p>
        </w:tc>
      </w:tr>
    </w:tbl>
    <w:p>
      <w:pPr>
        <w:pStyle w:val="BodyText"/>
        <w:bidi w:val="0"/>
        <w:jc w:val="start"/>
        <w:rPr/>
      </w:pPr>
      <w:r>
        <w:rPr/>
      </w:r>
    </w:p>
    <w:p>
      <w:pPr>
        <w:pStyle w:val="BodyText"/>
        <w:bidi w:val="0"/>
        <w:jc w:val="start"/>
        <w:rPr/>
      </w:pPr>
      <w:r>
        <w:rPr/>
        <w:t>The model intentionally assumes a smaller launch than earlier internal aspirational estimates. It prioritises density sufficient to observe retention and partner ROI before pursuing scale.</w:t>
      </w:r>
    </w:p>
    <w:p>
      <w:pPr>
        <w:pStyle w:val="Heading3"/>
        <w:bidi w:val="0"/>
        <w:ind w:hanging="0" w:start="0"/>
        <w:jc w:val="start"/>
        <w:rPr/>
      </w:pPr>
      <w:r>
        <w:rPr/>
        <w:t>12.3 Horizon 1 — illustrative P&amp;L (KSh millions)</w:t>
      </w:r>
    </w:p>
    <w:tbl>
      <w:tblPr>
        <w:tblW w:w="5000" w:type="pct"/>
        <w:jc w:val="start"/>
        <w:tblInd w:w="-5" w:type="dxa"/>
        <w:tblLayout w:type="fixed"/>
        <w:tblCellMar>
          <w:top w:w="55" w:type="dxa"/>
          <w:start w:w="55" w:type="dxa"/>
          <w:bottom w:w="55" w:type="dxa"/>
          <w:end w:w="55" w:type="dxa"/>
        </w:tblCellMar>
      </w:tblPr>
      <w:tblGrid>
        <w:gridCol w:w="2493"/>
        <w:gridCol w:w="2493"/>
        <w:gridCol w:w="2493"/>
        <w:gridCol w:w="2493"/>
      </w:tblGrid>
      <w:tr>
        <w:trPr>
          <w:tblHeader w:val="true"/>
        </w:trPr>
        <w:tc>
          <w:tcPr>
            <w:tcW w:w="2493" w:type="dxa"/>
            <w:tcBorders>
              <w:top w:val="single" w:sz="4" w:space="0" w:color="000000"/>
              <w:start w:val="single" w:sz="4" w:space="0" w:color="000000"/>
              <w:bottom w:val="single" w:sz="4" w:space="0" w:color="000000"/>
            </w:tcBorders>
          </w:tcPr>
          <w:p>
            <w:pPr>
              <w:pStyle w:val="TableHeading"/>
              <w:bidi w:val="0"/>
              <w:jc w:val="start"/>
              <w:rPr/>
            </w:pPr>
            <w:r>
              <w:rPr/>
              <w:t>KSh m</w:t>
            </w:r>
          </w:p>
        </w:tc>
        <w:tc>
          <w:tcPr>
            <w:tcW w:w="2493" w:type="dxa"/>
            <w:tcBorders>
              <w:top w:val="single" w:sz="4" w:space="0" w:color="000000"/>
              <w:start w:val="single" w:sz="4" w:space="0" w:color="000000"/>
              <w:bottom w:val="single" w:sz="4" w:space="0" w:color="000000"/>
            </w:tcBorders>
          </w:tcPr>
          <w:p>
            <w:pPr>
              <w:pStyle w:val="TableHeading"/>
              <w:bidi w:val="0"/>
              <w:jc w:val="end"/>
              <w:rPr/>
            </w:pPr>
            <w:r>
              <w:rPr/>
              <w:t>Year 1</w:t>
            </w:r>
          </w:p>
        </w:tc>
        <w:tc>
          <w:tcPr>
            <w:tcW w:w="2493" w:type="dxa"/>
            <w:tcBorders>
              <w:top w:val="single" w:sz="4" w:space="0" w:color="000000"/>
              <w:start w:val="single" w:sz="4" w:space="0" w:color="000000"/>
              <w:bottom w:val="single" w:sz="4" w:space="0" w:color="000000"/>
            </w:tcBorders>
          </w:tcPr>
          <w:p>
            <w:pPr>
              <w:pStyle w:val="TableHeading"/>
              <w:bidi w:val="0"/>
              <w:jc w:val="end"/>
              <w:rPr/>
            </w:pPr>
            <w:r>
              <w:rPr/>
              <w:t>Year 2</w:t>
            </w:r>
          </w:p>
        </w:tc>
        <w:tc>
          <w:tcPr>
            <w:tcW w:w="2493" w:type="dxa"/>
            <w:tcBorders>
              <w:top w:val="single" w:sz="4" w:space="0" w:color="000000"/>
              <w:start w:val="single" w:sz="4" w:space="0" w:color="000000"/>
              <w:bottom w:val="single" w:sz="4" w:space="0" w:color="000000"/>
              <w:end w:val="single" w:sz="4" w:space="0" w:color="000000"/>
            </w:tcBorders>
          </w:tcPr>
          <w:p>
            <w:pPr>
              <w:pStyle w:val="TableHeading"/>
              <w:bidi w:val="0"/>
              <w:jc w:val="end"/>
              <w:rPr/>
            </w:pPr>
            <w:r>
              <w:rPr/>
              <w:t>Year 3</w:t>
            </w:r>
          </w:p>
        </w:tc>
      </w:tr>
      <w:tr>
        <w:trPr/>
        <w:tc>
          <w:tcPr>
            <w:tcW w:w="2493" w:type="dxa"/>
            <w:tcBorders>
              <w:start w:val="single" w:sz="4" w:space="0" w:color="000000"/>
              <w:bottom w:val="single" w:sz="4" w:space="0" w:color="000000"/>
            </w:tcBorders>
          </w:tcPr>
          <w:p>
            <w:pPr>
              <w:pStyle w:val="TableContents"/>
              <w:bidi w:val="0"/>
              <w:jc w:val="start"/>
              <w:rPr/>
            </w:pPr>
            <w:r>
              <w:rPr/>
              <w:t>Partner SaaS (gyms + coaches)</w:t>
            </w:r>
          </w:p>
        </w:tc>
        <w:tc>
          <w:tcPr>
            <w:tcW w:w="2493" w:type="dxa"/>
            <w:tcBorders>
              <w:start w:val="single" w:sz="4" w:space="0" w:color="000000"/>
              <w:bottom w:val="single" w:sz="4" w:space="0" w:color="000000"/>
            </w:tcBorders>
          </w:tcPr>
          <w:p>
            <w:pPr>
              <w:pStyle w:val="TableContents"/>
              <w:bidi w:val="0"/>
              <w:jc w:val="end"/>
              <w:rPr/>
            </w:pPr>
            <w:r>
              <w:rPr/>
              <w:t>1.9</w:t>
            </w:r>
          </w:p>
        </w:tc>
        <w:tc>
          <w:tcPr>
            <w:tcW w:w="2493" w:type="dxa"/>
            <w:tcBorders>
              <w:start w:val="single" w:sz="4" w:space="0" w:color="000000"/>
              <w:bottom w:val="single" w:sz="4" w:space="0" w:color="000000"/>
            </w:tcBorders>
          </w:tcPr>
          <w:p>
            <w:pPr>
              <w:pStyle w:val="TableContents"/>
              <w:bidi w:val="0"/>
              <w:jc w:val="end"/>
              <w:rPr/>
            </w:pPr>
            <w:r>
              <w:rPr/>
              <w:t>8.3</w:t>
            </w:r>
          </w:p>
        </w:tc>
        <w:tc>
          <w:tcPr>
            <w:tcW w:w="2493" w:type="dxa"/>
            <w:tcBorders>
              <w:start w:val="single" w:sz="4" w:space="0" w:color="000000"/>
              <w:bottom w:val="single" w:sz="4" w:space="0" w:color="000000"/>
              <w:end w:val="single" w:sz="4" w:space="0" w:color="000000"/>
            </w:tcBorders>
          </w:tcPr>
          <w:p>
            <w:pPr>
              <w:pStyle w:val="TableContents"/>
              <w:bidi w:val="0"/>
              <w:jc w:val="end"/>
              <w:rPr/>
            </w:pPr>
            <w:r>
              <w:rPr/>
              <w:t>23.6</w:t>
            </w:r>
          </w:p>
        </w:tc>
      </w:tr>
      <w:tr>
        <w:trPr/>
        <w:tc>
          <w:tcPr>
            <w:tcW w:w="2493" w:type="dxa"/>
            <w:tcBorders>
              <w:start w:val="single" w:sz="4" w:space="0" w:color="000000"/>
              <w:bottom w:val="single" w:sz="4" w:space="0" w:color="000000"/>
            </w:tcBorders>
          </w:tcPr>
          <w:p>
            <w:pPr>
              <w:pStyle w:val="TableContents"/>
              <w:bidi w:val="0"/>
              <w:jc w:val="start"/>
              <w:rPr/>
            </w:pPr>
            <w:r>
              <w:rPr/>
              <w:t>Member Plus subscriptions</w:t>
            </w:r>
          </w:p>
        </w:tc>
        <w:tc>
          <w:tcPr>
            <w:tcW w:w="2493" w:type="dxa"/>
            <w:tcBorders>
              <w:start w:val="single" w:sz="4" w:space="0" w:color="000000"/>
              <w:bottom w:val="single" w:sz="4" w:space="0" w:color="000000"/>
            </w:tcBorders>
          </w:tcPr>
          <w:p>
            <w:pPr>
              <w:pStyle w:val="TableContents"/>
              <w:bidi w:val="0"/>
              <w:jc w:val="end"/>
              <w:rPr/>
            </w:pPr>
            <w:r>
              <w:rPr/>
              <w:t>0.3</w:t>
            </w:r>
          </w:p>
        </w:tc>
        <w:tc>
          <w:tcPr>
            <w:tcW w:w="2493" w:type="dxa"/>
            <w:tcBorders>
              <w:start w:val="single" w:sz="4" w:space="0" w:color="000000"/>
              <w:bottom w:val="single" w:sz="4" w:space="0" w:color="000000"/>
            </w:tcBorders>
          </w:tcPr>
          <w:p>
            <w:pPr>
              <w:pStyle w:val="TableContents"/>
              <w:bidi w:val="0"/>
              <w:jc w:val="end"/>
              <w:rPr/>
            </w:pPr>
            <w:r>
              <w:rPr/>
              <w:t>2.2</w:t>
            </w:r>
          </w:p>
        </w:tc>
        <w:tc>
          <w:tcPr>
            <w:tcW w:w="2493" w:type="dxa"/>
            <w:tcBorders>
              <w:start w:val="single" w:sz="4" w:space="0" w:color="000000"/>
              <w:bottom w:val="single" w:sz="4" w:space="0" w:color="000000"/>
              <w:end w:val="single" w:sz="4" w:space="0" w:color="000000"/>
            </w:tcBorders>
          </w:tcPr>
          <w:p>
            <w:pPr>
              <w:pStyle w:val="TableContents"/>
              <w:bidi w:val="0"/>
              <w:jc w:val="end"/>
              <w:rPr/>
            </w:pPr>
            <w:r>
              <w:rPr/>
              <w:t>8.8</w:t>
            </w:r>
          </w:p>
        </w:tc>
      </w:tr>
      <w:tr>
        <w:trPr/>
        <w:tc>
          <w:tcPr>
            <w:tcW w:w="2493" w:type="dxa"/>
            <w:tcBorders>
              <w:start w:val="single" w:sz="4" w:space="0" w:color="000000"/>
              <w:bottom w:val="single" w:sz="4" w:space="0" w:color="000000"/>
            </w:tcBorders>
          </w:tcPr>
          <w:p>
            <w:pPr>
              <w:pStyle w:val="TableContents"/>
              <w:bidi w:val="0"/>
              <w:jc w:val="start"/>
              <w:rPr/>
            </w:pPr>
            <w:r>
              <w:rPr/>
              <w:t>Booking/programme commissions</w:t>
            </w:r>
          </w:p>
        </w:tc>
        <w:tc>
          <w:tcPr>
            <w:tcW w:w="2493" w:type="dxa"/>
            <w:tcBorders>
              <w:start w:val="single" w:sz="4" w:space="0" w:color="000000"/>
              <w:bottom w:val="single" w:sz="4" w:space="0" w:color="000000"/>
            </w:tcBorders>
          </w:tcPr>
          <w:p>
            <w:pPr>
              <w:pStyle w:val="TableContents"/>
              <w:bidi w:val="0"/>
              <w:jc w:val="end"/>
              <w:rPr/>
            </w:pPr>
            <w:r>
              <w:rPr/>
              <w:t>0.7</w:t>
            </w:r>
          </w:p>
        </w:tc>
        <w:tc>
          <w:tcPr>
            <w:tcW w:w="2493" w:type="dxa"/>
            <w:tcBorders>
              <w:start w:val="single" w:sz="4" w:space="0" w:color="000000"/>
              <w:bottom w:val="single" w:sz="4" w:space="0" w:color="000000"/>
            </w:tcBorders>
          </w:tcPr>
          <w:p>
            <w:pPr>
              <w:pStyle w:val="TableContents"/>
              <w:bidi w:val="0"/>
              <w:jc w:val="end"/>
              <w:rPr/>
            </w:pPr>
            <w:r>
              <w:rPr/>
              <w:t>3.0</w:t>
            </w:r>
          </w:p>
        </w:tc>
        <w:tc>
          <w:tcPr>
            <w:tcW w:w="2493" w:type="dxa"/>
            <w:tcBorders>
              <w:start w:val="single" w:sz="4" w:space="0" w:color="000000"/>
              <w:bottom w:val="single" w:sz="4" w:space="0" w:color="000000"/>
              <w:end w:val="single" w:sz="4" w:space="0" w:color="000000"/>
            </w:tcBorders>
          </w:tcPr>
          <w:p>
            <w:pPr>
              <w:pStyle w:val="TableContents"/>
              <w:bidi w:val="0"/>
              <w:jc w:val="end"/>
              <w:rPr/>
            </w:pPr>
            <w:r>
              <w:rPr/>
              <w:t>8.5</w:t>
            </w:r>
          </w:p>
        </w:tc>
      </w:tr>
      <w:tr>
        <w:trPr/>
        <w:tc>
          <w:tcPr>
            <w:tcW w:w="2493" w:type="dxa"/>
            <w:tcBorders>
              <w:start w:val="single" w:sz="4" w:space="0" w:color="000000"/>
              <w:bottom w:val="single" w:sz="4" w:space="0" w:color="000000"/>
            </w:tcBorders>
          </w:tcPr>
          <w:p>
            <w:pPr>
              <w:pStyle w:val="TableContents"/>
              <w:bidi w:val="0"/>
              <w:jc w:val="start"/>
              <w:rPr/>
            </w:pPr>
            <w:r>
              <w:rPr/>
              <w:t>Workplace and curated commerce</w:t>
            </w:r>
          </w:p>
        </w:tc>
        <w:tc>
          <w:tcPr>
            <w:tcW w:w="2493" w:type="dxa"/>
            <w:tcBorders>
              <w:start w:val="single" w:sz="4" w:space="0" w:color="000000"/>
              <w:bottom w:val="single" w:sz="4" w:space="0" w:color="000000"/>
            </w:tcBorders>
          </w:tcPr>
          <w:p>
            <w:pPr>
              <w:pStyle w:val="TableContents"/>
              <w:bidi w:val="0"/>
              <w:jc w:val="end"/>
              <w:rPr/>
            </w:pPr>
            <w:r>
              <w:rPr/>
              <w:t>0.0</w:t>
            </w:r>
          </w:p>
        </w:tc>
        <w:tc>
          <w:tcPr>
            <w:tcW w:w="2493" w:type="dxa"/>
            <w:tcBorders>
              <w:start w:val="single" w:sz="4" w:space="0" w:color="000000"/>
              <w:bottom w:val="single" w:sz="4" w:space="0" w:color="000000"/>
            </w:tcBorders>
          </w:tcPr>
          <w:p>
            <w:pPr>
              <w:pStyle w:val="TableContents"/>
              <w:bidi w:val="0"/>
              <w:jc w:val="end"/>
              <w:rPr/>
            </w:pPr>
            <w:r>
              <w:rPr/>
              <w:t>1.5</w:t>
            </w:r>
          </w:p>
        </w:tc>
        <w:tc>
          <w:tcPr>
            <w:tcW w:w="2493" w:type="dxa"/>
            <w:tcBorders>
              <w:start w:val="single" w:sz="4" w:space="0" w:color="000000"/>
              <w:bottom w:val="single" w:sz="4" w:space="0" w:color="000000"/>
              <w:end w:val="single" w:sz="4" w:space="0" w:color="000000"/>
            </w:tcBorders>
          </w:tcPr>
          <w:p>
            <w:pPr>
              <w:pStyle w:val="TableContents"/>
              <w:bidi w:val="0"/>
              <w:jc w:val="end"/>
              <w:rPr/>
            </w:pPr>
            <w:r>
              <w:rPr/>
              <w:t>6.0</w:t>
            </w:r>
          </w:p>
        </w:tc>
      </w:tr>
      <w:tr>
        <w:trPr/>
        <w:tc>
          <w:tcPr>
            <w:tcW w:w="2493" w:type="dxa"/>
            <w:tcBorders>
              <w:start w:val="single" w:sz="4" w:space="0" w:color="000000"/>
              <w:bottom w:val="single" w:sz="4" w:space="0" w:color="000000"/>
            </w:tcBorders>
          </w:tcPr>
          <w:p>
            <w:pPr>
              <w:pStyle w:val="TableContents"/>
              <w:bidi w:val="0"/>
              <w:jc w:val="start"/>
              <w:rPr/>
            </w:pPr>
            <w:r>
              <w:rPr>
                <w:b/>
              </w:rPr>
              <w:t>Net revenue</w:t>
            </w:r>
          </w:p>
        </w:tc>
        <w:tc>
          <w:tcPr>
            <w:tcW w:w="2493" w:type="dxa"/>
            <w:tcBorders>
              <w:start w:val="single" w:sz="4" w:space="0" w:color="000000"/>
              <w:bottom w:val="single" w:sz="4" w:space="0" w:color="000000"/>
            </w:tcBorders>
          </w:tcPr>
          <w:p>
            <w:pPr>
              <w:pStyle w:val="TableContents"/>
              <w:bidi w:val="0"/>
              <w:jc w:val="start"/>
              <w:rPr/>
            </w:pPr>
            <w:r>
              <w:rPr>
                <w:b/>
              </w:rPr>
              <w:t>2.9</w:t>
            </w:r>
          </w:p>
        </w:tc>
        <w:tc>
          <w:tcPr>
            <w:tcW w:w="2493" w:type="dxa"/>
            <w:tcBorders>
              <w:start w:val="single" w:sz="4" w:space="0" w:color="000000"/>
              <w:bottom w:val="single" w:sz="4" w:space="0" w:color="000000"/>
            </w:tcBorders>
          </w:tcPr>
          <w:p>
            <w:pPr>
              <w:pStyle w:val="TableContents"/>
              <w:bidi w:val="0"/>
              <w:jc w:val="start"/>
              <w:rPr/>
            </w:pPr>
            <w:r>
              <w:rPr>
                <w:b/>
              </w:rPr>
              <w:t>15.0</w:t>
            </w:r>
          </w:p>
        </w:tc>
        <w:tc>
          <w:tcPr>
            <w:tcW w:w="2493" w:type="dxa"/>
            <w:tcBorders>
              <w:start w:val="single" w:sz="4" w:space="0" w:color="000000"/>
              <w:bottom w:val="single" w:sz="4" w:space="0" w:color="000000"/>
              <w:end w:val="single" w:sz="4" w:space="0" w:color="000000"/>
            </w:tcBorders>
          </w:tcPr>
          <w:p>
            <w:pPr>
              <w:pStyle w:val="TableContents"/>
              <w:bidi w:val="0"/>
              <w:jc w:val="start"/>
              <w:rPr/>
            </w:pPr>
            <w:r>
              <w:rPr>
                <w:b/>
              </w:rPr>
              <w:t>46.9</w:t>
            </w:r>
          </w:p>
        </w:tc>
      </w:tr>
      <w:tr>
        <w:trPr/>
        <w:tc>
          <w:tcPr>
            <w:tcW w:w="2493" w:type="dxa"/>
            <w:tcBorders>
              <w:start w:val="single" w:sz="4" w:space="0" w:color="000000"/>
              <w:bottom w:val="single" w:sz="4" w:space="0" w:color="000000"/>
            </w:tcBorders>
          </w:tcPr>
          <w:p>
            <w:pPr>
              <w:pStyle w:val="TableContents"/>
              <w:bidi w:val="0"/>
              <w:jc w:val="start"/>
              <w:rPr/>
            </w:pPr>
            <w:r>
              <w:rPr/>
              <w:t>Payment, support and service delivery</w:t>
            </w:r>
          </w:p>
        </w:tc>
        <w:tc>
          <w:tcPr>
            <w:tcW w:w="2493" w:type="dxa"/>
            <w:tcBorders>
              <w:start w:val="single" w:sz="4" w:space="0" w:color="000000"/>
              <w:bottom w:val="single" w:sz="4" w:space="0" w:color="000000"/>
            </w:tcBorders>
          </w:tcPr>
          <w:p>
            <w:pPr>
              <w:pStyle w:val="TableContents"/>
              <w:bidi w:val="0"/>
              <w:jc w:val="end"/>
              <w:rPr/>
            </w:pPr>
            <w:r>
              <w:rPr/>
              <w:t>(0.6)</w:t>
            </w:r>
          </w:p>
        </w:tc>
        <w:tc>
          <w:tcPr>
            <w:tcW w:w="2493" w:type="dxa"/>
            <w:tcBorders>
              <w:start w:val="single" w:sz="4" w:space="0" w:color="000000"/>
              <w:bottom w:val="single" w:sz="4" w:space="0" w:color="000000"/>
            </w:tcBorders>
          </w:tcPr>
          <w:p>
            <w:pPr>
              <w:pStyle w:val="TableContents"/>
              <w:bidi w:val="0"/>
              <w:jc w:val="end"/>
              <w:rPr/>
            </w:pPr>
            <w:r>
              <w:rPr/>
              <w:t>(2.7)</w:t>
            </w:r>
          </w:p>
        </w:tc>
        <w:tc>
          <w:tcPr>
            <w:tcW w:w="2493" w:type="dxa"/>
            <w:tcBorders>
              <w:start w:val="single" w:sz="4" w:space="0" w:color="000000"/>
              <w:bottom w:val="single" w:sz="4" w:space="0" w:color="000000"/>
              <w:end w:val="single" w:sz="4" w:space="0" w:color="000000"/>
            </w:tcBorders>
          </w:tcPr>
          <w:p>
            <w:pPr>
              <w:pStyle w:val="TableContents"/>
              <w:bidi w:val="0"/>
              <w:jc w:val="end"/>
              <w:rPr/>
            </w:pPr>
            <w:r>
              <w:rPr/>
              <w:t>(7.5)</w:t>
            </w:r>
          </w:p>
        </w:tc>
      </w:tr>
      <w:tr>
        <w:trPr/>
        <w:tc>
          <w:tcPr>
            <w:tcW w:w="2493" w:type="dxa"/>
            <w:tcBorders>
              <w:start w:val="single" w:sz="4" w:space="0" w:color="000000"/>
              <w:bottom w:val="single" w:sz="4" w:space="0" w:color="000000"/>
            </w:tcBorders>
          </w:tcPr>
          <w:p>
            <w:pPr>
              <w:pStyle w:val="TableContents"/>
              <w:bidi w:val="0"/>
              <w:jc w:val="start"/>
              <w:rPr/>
            </w:pPr>
            <w:r>
              <w:rPr>
                <w:b/>
              </w:rPr>
              <w:t>Gross profit</w:t>
            </w:r>
          </w:p>
        </w:tc>
        <w:tc>
          <w:tcPr>
            <w:tcW w:w="2493" w:type="dxa"/>
            <w:tcBorders>
              <w:start w:val="single" w:sz="4" w:space="0" w:color="000000"/>
              <w:bottom w:val="single" w:sz="4" w:space="0" w:color="000000"/>
            </w:tcBorders>
          </w:tcPr>
          <w:p>
            <w:pPr>
              <w:pStyle w:val="TableContents"/>
              <w:bidi w:val="0"/>
              <w:jc w:val="start"/>
              <w:rPr/>
            </w:pPr>
            <w:r>
              <w:rPr>
                <w:b/>
              </w:rPr>
              <w:t>2.3</w:t>
            </w:r>
          </w:p>
        </w:tc>
        <w:tc>
          <w:tcPr>
            <w:tcW w:w="2493" w:type="dxa"/>
            <w:tcBorders>
              <w:start w:val="single" w:sz="4" w:space="0" w:color="000000"/>
              <w:bottom w:val="single" w:sz="4" w:space="0" w:color="000000"/>
            </w:tcBorders>
          </w:tcPr>
          <w:p>
            <w:pPr>
              <w:pStyle w:val="TableContents"/>
              <w:bidi w:val="0"/>
              <w:jc w:val="start"/>
              <w:rPr/>
            </w:pPr>
            <w:r>
              <w:rPr>
                <w:b/>
              </w:rPr>
              <w:t>12.3</w:t>
            </w:r>
          </w:p>
        </w:tc>
        <w:tc>
          <w:tcPr>
            <w:tcW w:w="2493" w:type="dxa"/>
            <w:tcBorders>
              <w:start w:val="single" w:sz="4" w:space="0" w:color="000000"/>
              <w:bottom w:val="single" w:sz="4" w:space="0" w:color="000000"/>
              <w:end w:val="single" w:sz="4" w:space="0" w:color="000000"/>
            </w:tcBorders>
          </w:tcPr>
          <w:p>
            <w:pPr>
              <w:pStyle w:val="TableContents"/>
              <w:bidi w:val="0"/>
              <w:jc w:val="start"/>
              <w:rPr/>
            </w:pPr>
            <w:r>
              <w:rPr>
                <w:b/>
              </w:rPr>
              <w:t>39.4</w:t>
            </w:r>
          </w:p>
        </w:tc>
      </w:tr>
      <w:tr>
        <w:trPr/>
        <w:tc>
          <w:tcPr>
            <w:tcW w:w="2493" w:type="dxa"/>
            <w:tcBorders>
              <w:start w:val="single" w:sz="4" w:space="0" w:color="000000"/>
              <w:bottom w:val="single" w:sz="4" w:space="0" w:color="000000"/>
            </w:tcBorders>
          </w:tcPr>
          <w:p>
            <w:pPr>
              <w:pStyle w:val="TableContents"/>
              <w:bidi w:val="0"/>
              <w:jc w:val="start"/>
              <w:rPr/>
            </w:pPr>
            <w:r>
              <w:rPr/>
              <w:t>Team (lean core + contractors)</w:t>
            </w:r>
          </w:p>
        </w:tc>
        <w:tc>
          <w:tcPr>
            <w:tcW w:w="2493" w:type="dxa"/>
            <w:tcBorders>
              <w:start w:val="single" w:sz="4" w:space="0" w:color="000000"/>
              <w:bottom w:val="single" w:sz="4" w:space="0" w:color="000000"/>
            </w:tcBorders>
          </w:tcPr>
          <w:p>
            <w:pPr>
              <w:pStyle w:val="TableContents"/>
              <w:bidi w:val="0"/>
              <w:jc w:val="end"/>
              <w:rPr/>
            </w:pPr>
            <w:r>
              <w:rPr/>
              <w:t>(14.0)</w:t>
            </w:r>
          </w:p>
        </w:tc>
        <w:tc>
          <w:tcPr>
            <w:tcW w:w="2493" w:type="dxa"/>
            <w:tcBorders>
              <w:start w:val="single" w:sz="4" w:space="0" w:color="000000"/>
              <w:bottom w:val="single" w:sz="4" w:space="0" w:color="000000"/>
            </w:tcBorders>
          </w:tcPr>
          <w:p>
            <w:pPr>
              <w:pStyle w:val="TableContents"/>
              <w:bidi w:val="0"/>
              <w:jc w:val="end"/>
              <w:rPr/>
            </w:pPr>
            <w:r>
              <w:rPr/>
              <w:t>(21.0)</w:t>
            </w:r>
          </w:p>
        </w:tc>
        <w:tc>
          <w:tcPr>
            <w:tcW w:w="2493" w:type="dxa"/>
            <w:tcBorders>
              <w:start w:val="single" w:sz="4" w:space="0" w:color="000000"/>
              <w:bottom w:val="single" w:sz="4" w:space="0" w:color="000000"/>
              <w:end w:val="single" w:sz="4" w:space="0" w:color="000000"/>
            </w:tcBorders>
          </w:tcPr>
          <w:p>
            <w:pPr>
              <w:pStyle w:val="TableContents"/>
              <w:bidi w:val="0"/>
              <w:jc w:val="end"/>
              <w:rPr/>
            </w:pPr>
            <w:r>
              <w:rPr/>
              <w:t>(32.0)</w:t>
            </w:r>
          </w:p>
        </w:tc>
      </w:tr>
      <w:tr>
        <w:trPr/>
        <w:tc>
          <w:tcPr>
            <w:tcW w:w="2493" w:type="dxa"/>
            <w:tcBorders>
              <w:start w:val="single" w:sz="4" w:space="0" w:color="000000"/>
              <w:bottom w:val="single" w:sz="4" w:space="0" w:color="000000"/>
            </w:tcBorders>
          </w:tcPr>
          <w:p>
            <w:pPr>
              <w:pStyle w:val="TableContents"/>
              <w:bidi w:val="0"/>
              <w:jc w:val="start"/>
              <w:rPr/>
            </w:pPr>
            <w:r>
              <w:rPr/>
              <w:t>Cloud/video/AI/security</w:t>
            </w:r>
          </w:p>
        </w:tc>
        <w:tc>
          <w:tcPr>
            <w:tcW w:w="2493" w:type="dxa"/>
            <w:tcBorders>
              <w:start w:val="single" w:sz="4" w:space="0" w:color="000000"/>
              <w:bottom w:val="single" w:sz="4" w:space="0" w:color="000000"/>
            </w:tcBorders>
          </w:tcPr>
          <w:p>
            <w:pPr>
              <w:pStyle w:val="TableContents"/>
              <w:bidi w:val="0"/>
              <w:jc w:val="end"/>
              <w:rPr/>
            </w:pPr>
            <w:r>
              <w:rPr/>
              <w:t>(2.4)</w:t>
            </w:r>
          </w:p>
        </w:tc>
        <w:tc>
          <w:tcPr>
            <w:tcW w:w="2493" w:type="dxa"/>
            <w:tcBorders>
              <w:start w:val="single" w:sz="4" w:space="0" w:color="000000"/>
              <w:bottom w:val="single" w:sz="4" w:space="0" w:color="000000"/>
            </w:tcBorders>
          </w:tcPr>
          <w:p>
            <w:pPr>
              <w:pStyle w:val="TableContents"/>
              <w:bidi w:val="0"/>
              <w:jc w:val="end"/>
              <w:rPr/>
            </w:pPr>
            <w:r>
              <w:rPr/>
              <w:t>(4.2)</w:t>
            </w:r>
          </w:p>
        </w:tc>
        <w:tc>
          <w:tcPr>
            <w:tcW w:w="2493" w:type="dxa"/>
            <w:tcBorders>
              <w:start w:val="single" w:sz="4" w:space="0" w:color="000000"/>
              <w:bottom w:val="single" w:sz="4" w:space="0" w:color="000000"/>
              <w:end w:val="single" w:sz="4" w:space="0" w:color="000000"/>
            </w:tcBorders>
          </w:tcPr>
          <w:p>
            <w:pPr>
              <w:pStyle w:val="TableContents"/>
              <w:bidi w:val="0"/>
              <w:jc w:val="end"/>
              <w:rPr/>
            </w:pPr>
            <w:r>
              <w:rPr/>
              <w:t>(7.0)</w:t>
            </w:r>
          </w:p>
        </w:tc>
      </w:tr>
      <w:tr>
        <w:trPr/>
        <w:tc>
          <w:tcPr>
            <w:tcW w:w="2493" w:type="dxa"/>
            <w:tcBorders>
              <w:start w:val="single" w:sz="4" w:space="0" w:color="000000"/>
              <w:bottom w:val="single" w:sz="4" w:space="0" w:color="000000"/>
            </w:tcBorders>
          </w:tcPr>
          <w:p>
            <w:pPr>
              <w:pStyle w:val="TableContents"/>
              <w:bidi w:val="0"/>
              <w:jc w:val="start"/>
              <w:rPr/>
            </w:pPr>
            <w:r>
              <w:rPr/>
              <w:t>Sales, partner success and marketing</w:t>
            </w:r>
          </w:p>
        </w:tc>
        <w:tc>
          <w:tcPr>
            <w:tcW w:w="2493" w:type="dxa"/>
            <w:tcBorders>
              <w:start w:val="single" w:sz="4" w:space="0" w:color="000000"/>
              <w:bottom w:val="single" w:sz="4" w:space="0" w:color="000000"/>
            </w:tcBorders>
          </w:tcPr>
          <w:p>
            <w:pPr>
              <w:pStyle w:val="TableContents"/>
              <w:bidi w:val="0"/>
              <w:jc w:val="end"/>
              <w:rPr/>
            </w:pPr>
            <w:r>
              <w:rPr/>
              <w:t>(3.0)</w:t>
            </w:r>
          </w:p>
        </w:tc>
        <w:tc>
          <w:tcPr>
            <w:tcW w:w="2493" w:type="dxa"/>
            <w:tcBorders>
              <w:start w:val="single" w:sz="4" w:space="0" w:color="000000"/>
              <w:bottom w:val="single" w:sz="4" w:space="0" w:color="000000"/>
            </w:tcBorders>
          </w:tcPr>
          <w:p>
            <w:pPr>
              <w:pStyle w:val="TableContents"/>
              <w:bidi w:val="0"/>
              <w:jc w:val="end"/>
              <w:rPr/>
            </w:pPr>
            <w:r>
              <w:rPr/>
              <w:t>(6.0)</w:t>
            </w:r>
          </w:p>
        </w:tc>
        <w:tc>
          <w:tcPr>
            <w:tcW w:w="2493" w:type="dxa"/>
            <w:tcBorders>
              <w:start w:val="single" w:sz="4" w:space="0" w:color="000000"/>
              <w:bottom w:val="single" w:sz="4" w:space="0" w:color="000000"/>
              <w:end w:val="single" w:sz="4" w:space="0" w:color="000000"/>
            </w:tcBorders>
          </w:tcPr>
          <w:p>
            <w:pPr>
              <w:pStyle w:val="TableContents"/>
              <w:bidi w:val="0"/>
              <w:jc w:val="end"/>
              <w:rPr/>
            </w:pPr>
            <w:r>
              <w:rPr/>
              <w:t>(11.0)</w:t>
            </w:r>
          </w:p>
        </w:tc>
      </w:tr>
      <w:tr>
        <w:trPr/>
        <w:tc>
          <w:tcPr>
            <w:tcW w:w="2493" w:type="dxa"/>
            <w:tcBorders>
              <w:start w:val="single" w:sz="4" w:space="0" w:color="000000"/>
              <w:bottom w:val="single" w:sz="4" w:space="0" w:color="000000"/>
            </w:tcBorders>
          </w:tcPr>
          <w:p>
            <w:pPr>
              <w:pStyle w:val="TableContents"/>
              <w:bidi w:val="0"/>
              <w:jc w:val="start"/>
              <w:rPr/>
            </w:pPr>
            <w:r>
              <w:rPr/>
              <w:t>Legal, compliance and G&amp;A</w:t>
            </w:r>
          </w:p>
        </w:tc>
        <w:tc>
          <w:tcPr>
            <w:tcW w:w="2493" w:type="dxa"/>
            <w:tcBorders>
              <w:start w:val="single" w:sz="4" w:space="0" w:color="000000"/>
              <w:bottom w:val="single" w:sz="4" w:space="0" w:color="000000"/>
            </w:tcBorders>
          </w:tcPr>
          <w:p>
            <w:pPr>
              <w:pStyle w:val="TableContents"/>
              <w:bidi w:val="0"/>
              <w:jc w:val="end"/>
              <w:rPr/>
            </w:pPr>
            <w:r>
              <w:rPr/>
              <w:t>(2.1)</w:t>
            </w:r>
          </w:p>
        </w:tc>
        <w:tc>
          <w:tcPr>
            <w:tcW w:w="2493" w:type="dxa"/>
            <w:tcBorders>
              <w:start w:val="single" w:sz="4" w:space="0" w:color="000000"/>
              <w:bottom w:val="single" w:sz="4" w:space="0" w:color="000000"/>
            </w:tcBorders>
          </w:tcPr>
          <w:p>
            <w:pPr>
              <w:pStyle w:val="TableContents"/>
              <w:bidi w:val="0"/>
              <w:jc w:val="end"/>
              <w:rPr/>
            </w:pPr>
            <w:r>
              <w:rPr/>
              <w:t>(3.0)</w:t>
            </w:r>
          </w:p>
        </w:tc>
        <w:tc>
          <w:tcPr>
            <w:tcW w:w="2493" w:type="dxa"/>
            <w:tcBorders>
              <w:start w:val="single" w:sz="4" w:space="0" w:color="000000"/>
              <w:bottom w:val="single" w:sz="4" w:space="0" w:color="000000"/>
              <w:end w:val="single" w:sz="4" w:space="0" w:color="000000"/>
            </w:tcBorders>
          </w:tcPr>
          <w:p>
            <w:pPr>
              <w:pStyle w:val="TableContents"/>
              <w:bidi w:val="0"/>
              <w:jc w:val="end"/>
              <w:rPr/>
            </w:pPr>
            <w:r>
              <w:rPr/>
              <w:t>(4.2)</w:t>
            </w:r>
          </w:p>
        </w:tc>
      </w:tr>
      <w:tr>
        <w:trPr/>
        <w:tc>
          <w:tcPr>
            <w:tcW w:w="2493" w:type="dxa"/>
            <w:tcBorders>
              <w:start w:val="single" w:sz="4" w:space="0" w:color="000000"/>
              <w:bottom w:val="single" w:sz="4" w:space="0" w:color="000000"/>
            </w:tcBorders>
          </w:tcPr>
          <w:p>
            <w:pPr>
              <w:pStyle w:val="TableContents"/>
              <w:bidi w:val="0"/>
              <w:jc w:val="start"/>
              <w:rPr/>
            </w:pPr>
            <w:r>
              <w:rPr>
                <w:b/>
              </w:rPr>
              <w:t>Operating result</w:t>
            </w:r>
          </w:p>
        </w:tc>
        <w:tc>
          <w:tcPr>
            <w:tcW w:w="2493" w:type="dxa"/>
            <w:tcBorders>
              <w:start w:val="single" w:sz="4" w:space="0" w:color="000000"/>
              <w:bottom w:val="single" w:sz="4" w:space="0" w:color="000000"/>
            </w:tcBorders>
          </w:tcPr>
          <w:p>
            <w:pPr>
              <w:pStyle w:val="TableContents"/>
              <w:bidi w:val="0"/>
              <w:jc w:val="start"/>
              <w:rPr/>
            </w:pPr>
            <w:r>
              <w:rPr>
                <w:b/>
              </w:rPr>
              <w:t>(19.2)</w:t>
            </w:r>
          </w:p>
        </w:tc>
        <w:tc>
          <w:tcPr>
            <w:tcW w:w="2493" w:type="dxa"/>
            <w:tcBorders>
              <w:start w:val="single" w:sz="4" w:space="0" w:color="000000"/>
              <w:bottom w:val="single" w:sz="4" w:space="0" w:color="000000"/>
            </w:tcBorders>
          </w:tcPr>
          <w:p>
            <w:pPr>
              <w:pStyle w:val="TableContents"/>
              <w:bidi w:val="0"/>
              <w:jc w:val="start"/>
              <w:rPr/>
            </w:pPr>
            <w:r>
              <w:rPr>
                <w:b/>
              </w:rPr>
              <w:t>(21.9)</w:t>
            </w:r>
          </w:p>
        </w:tc>
        <w:tc>
          <w:tcPr>
            <w:tcW w:w="2493" w:type="dxa"/>
            <w:tcBorders>
              <w:start w:val="single" w:sz="4" w:space="0" w:color="000000"/>
              <w:bottom w:val="single" w:sz="4" w:space="0" w:color="000000"/>
              <w:end w:val="single" w:sz="4" w:space="0" w:color="000000"/>
            </w:tcBorders>
          </w:tcPr>
          <w:p>
            <w:pPr>
              <w:pStyle w:val="TableContents"/>
              <w:bidi w:val="0"/>
              <w:jc w:val="start"/>
              <w:rPr/>
            </w:pPr>
            <w:r>
              <w:rPr>
                <w:b/>
              </w:rPr>
              <w:t>(14.8)</w:t>
            </w:r>
          </w:p>
        </w:tc>
      </w:tr>
    </w:tbl>
    <w:p>
      <w:pPr>
        <w:pStyle w:val="BodyText"/>
        <w:bidi w:val="0"/>
        <w:jc w:val="start"/>
        <w:rPr/>
      </w:pPr>
      <w:r>
        <w:rPr/>
      </w:r>
    </w:p>
    <w:p>
      <w:pPr>
        <w:pStyle w:val="BodyText"/>
        <w:bidi w:val="0"/>
        <w:jc w:val="start"/>
        <w:rPr/>
      </w:pPr>
      <w:r>
        <w:rPr/>
        <w:t xml:space="preserve">The table does not claim break-even in three years—a purposeful result: a marketplace/community business should not hide the cost of partner operations, safe moderation, payment support and reliable live infrastructure. The base case needs approximately </w:t>
      </w:r>
      <w:r>
        <w:rPr>
          <w:b/>
        </w:rPr>
        <w:t>KSh 41m</w:t>
      </w:r>
      <w:r>
        <w:rPr/>
        <w:t xml:space="preserve"> of operating funding across the first 24 months plus a contingency buffer; the exact raise follows a monthly cash-flow model, founder compensation policy and vendor quotes.</w:t>
      </w:r>
    </w:p>
    <w:p>
      <w:pPr>
        <w:pStyle w:val="Heading3"/>
        <w:bidi w:val="0"/>
        <w:ind w:hanging="0" w:start="0"/>
        <w:jc w:val="start"/>
        <w:rPr/>
      </w:pPr>
      <w:r>
        <w:rPr/>
        <w:t>12.4 Horizon 2 (Pan-Africa, years 4–5) — indicative</w:t>
      </w:r>
    </w:p>
    <w:p>
      <w:pPr>
        <w:pStyle w:val="BodyText"/>
        <w:bidi w:val="0"/>
        <w:jc w:val="start"/>
        <w:rPr/>
      </w:pPr>
      <w:r>
        <w:rPr/>
        <w:t>The Pan-African horizon is indicative and gated on H1 evidence. Assumes the Kenya model replicated in 3–4 countries (Nigeria, South Africa, Ghana, +1) at 30–50% of Kenya's relative partner density:</w:t>
      </w:r>
    </w:p>
    <w:tbl>
      <w:tblPr>
        <w:tblW w:w="5000" w:type="pct"/>
        <w:jc w:val="start"/>
        <w:tblInd w:w="-5" w:type="dxa"/>
        <w:tblLayout w:type="fixed"/>
        <w:tblCellMar>
          <w:top w:w="55" w:type="dxa"/>
          <w:start w:w="55" w:type="dxa"/>
          <w:bottom w:w="55" w:type="dxa"/>
          <w:end w:w="55" w:type="dxa"/>
        </w:tblCellMar>
      </w:tblPr>
      <w:tblGrid>
        <w:gridCol w:w="3324"/>
        <w:gridCol w:w="3324"/>
        <w:gridCol w:w="3324"/>
      </w:tblGrid>
      <w:tr>
        <w:trPr>
          <w:tblHeader w:val="true"/>
        </w:trPr>
        <w:tc>
          <w:tcPr>
            <w:tcW w:w="3324" w:type="dxa"/>
            <w:tcBorders>
              <w:top w:val="single" w:sz="4" w:space="0" w:color="000000"/>
              <w:start w:val="single" w:sz="4" w:space="0" w:color="000000"/>
              <w:bottom w:val="single" w:sz="4" w:space="0" w:color="000000"/>
            </w:tcBorders>
          </w:tcPr>
          <w:p>
            <w:pPr>
              <w:pStyle w:val="TableHeading"/>
              <w:bidi w:val="0"/>
              <w:jc w:val="start"/>
              <w:rPr/>
            </w:pPr>
            <w:r>
              <w:rPr/>
              <w:t>USD m (indicative)</w:t>
            </w:r>
          </w:p>
        </w:tc>
        <w:tc>
          <w:tcPr>
            <w:tcW w:w="3324" w:type="dxa"/>
            <w:tcBorders>
              <w:top w:val="single" w:sz="4" w:space="0" w:color="000000"/>
              <w:start w:val="single" w:sz="4" w:space="0" w:color="000000"/>
              <w:bottom w:val="single" w:sz="4" w:space="0" w:color="000000"/>
            </w:tcBorders>
          </w:tcPr>
          <w:p>
            <w:pPr>
              <w:pStyle w:val="TableHeading"/>
              <w:bidi w:val="0"/>
              <w:jc w:val="end"/>
              <w:rPr/>
            </w:pPr>
            <w:r>
              <w:rPr/>
              <w:t>Year 4</w:t>
            </w:r>
          </w:p>
        </w:tc>
        <w:tc>
          <w:tcPr>
            <w:tcW w:w="3324" w:type="dxa"/>
            <w:tcBorders>
              <w:top w:val="single" w:sz="4" w:space="0" w:color="000000"/>
              <w:start w:val="single" w:sz="4" w:space="0" w:color="000000"/>
              <w:bottom w:val="single" w:sz="4" w:space="0" w:color="000000"/>
              <w:end w:val="single" w:sz="4" w:space="0" w:color="000000"/>
            </w:tcBorders>
          </w:tcPr>
          <w:p>
            <w:pPr>
              <w:pStyle w:val="TableHeading"/>
              <w:bidi w:val="0"/>
              <w:jc w:val="end"/>
              <w:rPr/>
            </w:pPr>
            <w:r>
              <w:rPr/>
              <w:t>Year 5</w:t>
            </w:r>
          </w:p>
        </w:tc>
      </w:tr>
      <w:tr>
        <w:trPr/>
        <w:tc>
          <w:tcPr>
            <w:tcW w:w="3324" w:type="dxa"/>
            <w:tcBorders>
              <w:start w:val="single" w:sz="4" w:space="0" w:color="000000"/>
              <w:bottom w:val="single" w:sz="4" w:space="0" w:color="000000"/>
            </w:tcBorders>
          </w:tcPr>
          <w:p>
            <w:pPr>
              <w:pStyle w:val="TableContents"/>
              <w:bidi w:val="0"/>
              <w:jc w:val="start"/>
              <w:rPr/>
            </w:pPr>
            <w:r>
              <w:rPr/>
              <w:t>Net revenue (all countries)</w:t>
            </w:r>
          </w:p>
        </w:tc>
        <w:tc>
          <w:tcPr>
            <w:tcW w:w="3324" w:type="dxa"/>
            <w:tcBorders>
              <w:start w:val="single" w:sz="4" w:space="0" w:color="000000"/>
              <w:bottom w:val="single" w:sz="4" w:space="0" w:color="000000"/>
            </w:tcBorders>
          </w:tcPr>
          <w:p>
            <w:pPr>
              <w:pStyle w:val="TableContents"/>
              <w:bidi w:val="0"/>
              <w:jc w:val="end"/>
              <w:rPr/>
            </w:pPr>
            <w:r>
              <w:rPr/>
              <w:t>1.8</w:t>
            </w:r>
          </w:p>
        </w:tc>
        <w:tc>
          <w:tcPr>
            <w:tcW w:w="3324" w:type="dxa"/>
            <w:tcBorders>
              <w:start w:val="single" w:sz="4" w:space="0" w:color="000000"/>
              <w:bottom w:val="single" w:sz="4" w:space="0" w:color="000000"/>
              <w:end w:val="single" w:sz="4" w:space="0" w:color="000000"/>
            </w:tcBorders>
          </w:tcPr>
          <w:p>
            <w:pPr>
              <w:pStyle w:val="TableContents"/>
              <w:bidi w:val="0"/>
              <w:jc w:val="end"/>
              <w:rPr/>
            </w:pPr>
            <w:r>
              <w:rPr/>
              <w:t>5.5</w:t>
            </w:r>
          </w:p>
        </w:tc>
      </w:tr>
      <w:tr>
        <w:trPr/>
        <w:tc>
          <w:tcPr>
            <w:tcW w:w="3324" w:type="dxa"/>
            <w:tcBorders>
              <w:start w:val="single" w:sz="4" w:space="0" w:color="000000"/>
              <w:bottom w:val="single" w:sz="4" w:space="0" w:color="000000"/>
            </w:tcBorders>
          </w:tcPr>
          <w:p>
            <w:pPr>
              <w:pStyle w:val="TableContents"/>
              <w:bidi w:val="0"/>
              <w:jc w:val="start"/>
              <w:rPr/>
            </w:pPr>
            <w:r>
              <w:rPr/>
              <w:t>Gross profit</w:t>
            </w:r>
          </w:p>
        </w:tc>
        <w:tc>
          <w:tcPr>
            <w:tcW w:w="3324" w:type="dxa"/>
            <w:tcBorders>
              <w:start w:val="single" w:sz="4" w:space="0" w:color="000000"/>
              <w:bottom w:val="single" w:sz="4" w:space="0" w:color="000000"/>
            </w:tcBorders>
          </w:tcPr>
          <w:p>
            <w:pPr>
              <w:pStyle w:val="TableContents"/>
              <w:bidi w:val="0"/>
              <w:jc w:val="end"/>
              <w:rPr/>
            </w:pPr>
            <w:r>
              <w:rPr/>
              <w:t>1.2</w:t>
            </w:r>
          </w:p>
        </w:tc>
        <w:tc>
          <w:tcPr>
            <w:tcW w:w="3324" w:type="dxa"/>
            <w:tcBorders>
              <w:start w:val="single" w:sz="4" w:space="0" w:color="000000"/>
              <w:bottom w:val="single" w:sz="4" w:space="0" w:color="000000"/>
              <w:end w:val="single" w:sz="4" w:space="0" w:color="000000"/>
            </w:tcBorders>
          </w:tcPr>
          <w:p>
            <w:pPr>
              <w:pStyle w:val="TableContents"/>
              <w:bidi w:val="0"/>
              <w:jc w:val="end"/>
              <w:rPr/>
            </w:pPr>
            <w:r>
              <w:rPr/>
              <w:t>3.7</w:t>
            </w:r>
          </w:p>
        </w:tc>
      </w:tr>
      <w:tr>
        <w:trPr/>
        <w:tc>
          <w:tcPr>
            <w:tcW w:w="3324" w:type="dxa"/>
            <w:tcBorders>
              <w:start w:val="single" w:sz="4" w:space="0" w:color="000000"/>
              <w:bottom w:val="single" w:sz="4" w:space="0" w:color="000000"/>
            </w:tcBorders>
          </w:tcPr>
          <w:p>
            <w:pPr>
              <w:pStyle w:val="TableContents"/>
              <w:bidi w:val="0"/>
              <w:jc w:val="start"/>
              <w:rPr/>
            </w:pPr>
            <w:r>
              <w:rPr/>
              <w:t>Country operating costs (teams, compliance, marketing)</w:t>
            </w:r>
          </w:p>
        </w:tc>
        <w:tc>
          <w:tcPr>
            <w:tcW w:w="3324" w:type="dxa"/>
            <w:tcBorders>
              <w:start w:val="single" w:sz="4" w:space="0" w:color="000000"/>
              <w:bottom w:val="single" w:sz="4" w:space="0" w:color="000000"/>
            </w:tcBorders>
          </w:tcPr>
          <w:p>
            <w:pPr>
              <w:pStyle w:val="TableContents"/>
              <w:bidi w:val="0"/>
              <w:jc w:val="end"/>
              <w:rPr/>
            </w:pPr>
            <w:r>
              <w:rPr/>
              <w:t>(4.2)</w:t>
            </w:r>
          </w:p>
        </w:tc>
        <w:tc>
          <w:tcPr>
            <w:tcW w:w="3324" w:type="dxa"/>
            <w:tcBorders>
              <w:start w:val="single" w:sz="4" w:space="0" w:color="000000"/>
              <w:bottom w:val="single" w:sz="4" w:space="0" w:color="000000"/>
              <w:end w:val="single" w:sz="4" w:space="0" w:color="000000"/>
            </w:tcBorders>
          </w:tcPr>
          <w:p>
            <w:pPr>
              <w:pStyle w:val="TableContents"/>
              <w:bidi w:val="0"/>
              <w:jc w:val="end"/>
              <w:rPr/>
            </w:pPr>
            <w:r>
              <w:rPr/>
              <w:t>(6.5)</w:t>
            </w:r>
          </w:p>
        </w:tc>
      </w:tr>
      <w:tr>
        <w:trPr/>
        <w:tc>
          <w:tcPr>
            <w:tcW w:w="3324" w:type="dxa"/>
            <w:tcBorders>
              <w:start w:val="single" w:sz="4" w:space="0" w:color="000000"/>
              <w:bottom w:val="single" w:sz="4" w:space="0" w:color="000000"/>
            </w:tcBorders>
          </w:tcPr>
          <w:p>
            <w:pPr>
              <w:pStyle w:val="TableContents"/>
              <w:bidi w:val="0"/>
              <w:jc w:val="start"/>
              <w:rPr/>
            </w:pPr>
            <w:r>
              <w:rPr>
                <w:b/>
              </w:rPr>
              <w:t>Operating result</w:t>
            </w:r>
          </w:p>
        </w:tc>
        <w:tc>
          <w:tcPr>
            <w:tcW w:w="3324" w:type="dxa"/>
            <w:tcBorders>
              <w:start w:val="single" w:sz="4" w:space="0" w:color="000000"/>
              <w:bottom w:val="single" w:sz="4" w:space="0" w:color="000000"/>
            </w:tcBorders>
          </w:tcPr>
          <w:p>
            <w:pPr>
              <w:pStyle w:val="TableContents"/>
              <w:bidi w:val="0"/>
              <w:jc w:val="start"/>
              <w:rPr/>
            </w:pPr>
            <w:r>
              <w:rPr>
                <w:b/>
              </w:rPr>
              <w:t>(3.0)</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b/>
              </w:rPr>
              <w:t>(2.8)</w:t>
            </w:r>
          </w:p>
        </w:tc>
      </w:tr>
    </w:tbl>
    <w:p>
      <w:pPr>
        <w:pStyle w:val="BodyText"/>
        <w:bidi w:val="0"/>
        <w:jc w:val="start"/>
        <w:rPr/>
      </w:pPr>
      <w:r>
        <w:rPr/>
      </w:r>
    </w:p>
    <w:p>
      <w:pPr>
        <w:pStyle w:val="BodyText"/>
        <w:bidi w:val="0"/>
        <w:jc w:val="start"/>
        <w:rPr/>
      </w:pPr>
      <w:r>
        <w:rPr/>
        <w:t>Country funding is separately ring-fenced; the group does not cross-subsidise unproven markets from the Kenya entity beyond approved pilots.</w:t>
      </w:r>
    </w:p>
    <w:p>
      <w:pPr>
        <w:pStyle w:val="Heading3"/>
        <w:bidi w:val="0"/>
        <w:ind w:hanging="0" w:start="0"/>
        <w:jc w:val="start"/>
        <w:rPr/>
      </w:pPr>
      <w:r>
        <w:rPr/>
        <w:t>12.5 Horizon 3 (Global, years 6–8) — direction of travel</w:t>
      </w:r>
    </w:p>
    <w:p>
      <w:pPr>
        <w:pStyle w:val="BodyText"/>
        <w:bidi w:val="0"/>
        <w:jc w:val="start"/>
        <w:rPr/>
      </w:pPr>
      <w:r>
        <w:rPr/>
        <w:t>Global entry is selected and partner-led. The model targets positive contribution margin before entering new regions and uses the Kenya/Pan-Africa proof as the platform asset. Directional targets: 5–8 countries total, with the operating layer contributing the majority of recurring revenue and local entities carrying their own cost structures.</w:t>
      </w:r>
    </w:p>
    <w:p>
      <w:pPr>
        <w:pStyle w:val="Heading3"/>
        <w:bidi w:val="0"/>
        <w:ind w:hanging="0" w:start="0"/>
        <w:jc w:val="start"/>
        <w:rPr/>
      </w:pPr>
      <w:r>
        <w:rPr/>
        <w:t>12.6 Path to break-even</w:t>
      </w:r>
    </w:p>
    <w:p>
      <w:pPr>
        <w:pStyle w:val="BodyText"/>
        <w:bidi w:val="0"/>
        <w:jc w:val="start"/>
        <w:rPr/>
      </w:pPr>
      <w:r>
        <w:rPr/>
        <w:t xml:space="preserve">Illustratively, at a 65% gross margin and KSh 60m annual operating cost, Bud needs roughly KSh </w:t>
      </w:r>
      <w:r>
        <w:rPr>
          <w:b/>
        </w:rPr>
        <w:t>92m annual revenue</w:t>
      </w:r>
      <w:r>
        <w:rPr/>
        <w:t xml:space="preserve"> to cover operating costs. The path is not more free users; it is increasing paying-partner density, coach programme GMV, Plus conversion and workplace contracts while maintaining service quality. Bud does not accelerate paid acquisition until a 90-day activated cohort has positive contribution margin.</w:t>
      </w:r>
    </w:p>
    <w:p>
      <w:pPr>
        <w:pStyle w:val="Heading3"/>
        <w:bidi w:val="0"/>
        <w:ind w:hanging="0" w:start="0"/>
        <w:jc w:val="start"/>
        <w:rPr/>
      </w:pPr>
      <w:r>
        <w:rPr/>
        <w:t>12.7 Financial controls</w:t>
      </w:r>
    </w:p>
    <w:p>
      <w:pPr>
        <w:pStyle w:val="BodyText"/>
        <w:numPr>
          <w:ilvl w:val="0"/>
          <w:numId w:val="24"/>
        </w:numPr>
        <w:tabs>
          <w:tab w:val="clear" w:pos="709"/>
          <w:tab w:val="left" w:pos="709" w:leader="none"/>
        </w:tabs>
        <w:bidi w:val="0"/>
        <w:ind w:hanging="283" w:start="709"/>
        <w:jc w:val="start"/>
        <w:rPr/>
      </w:pPr>
      <w:r>
        <w:rPr/>
        <w:t>Separate customer funds/partner settlement from company operating cash.</w:t>
      </w:r>
    </w:p>
    <w:p>
      <w:pPr>
        <w:pStyle w:val="BodyText"/>
        <w:numPr>
          <w:ilvl w:val="0"/>
          <w:numId w:val="24"/>
        </w:numPr>
        <w:tabs>
          <w:tab w:val="clear" w:pos="709"/>
          <w:tab w:val="left" w:pos="709" w:leader="none"/>
        </w:tabs>
        <w:bidi w:val="0"/>
        <w:ind w:hanging="283" w:start="709"/>
        <w:jc w:val="start"/>
        <w:rPr/>
      </w:pPr>
      <w:r>
        <w:rPr/>
        <w:t>Reconcile payment-provider settlements, completed services, refunds and partner payouts daily.</w:t>
      </w:r>
    </w:p>
    <w:p>
      <w:pPr>
        <w:pStyle w:val="BodyText"/>
        <w:numPr>
          <w:ilvl w:val="0"/>
          <w:numId w:val="24"/>
        </w:numPr>
        <w:tabs>
          <w:tab w:val="clear" w:pos="709"/>
          <w:tab w:val="left" w:pos="709" w:leader="none"/>
        </w:tabs>
        <w:bidi w:val="0"/>
        <w:ind w:hanging="283" w:start="709"/>
        <w:jc w:val="start"/>
        <w:rPr/>
      </w:pPr>
      <w:r>
        <w:rPr/>
        <w:t>Recognise commission only on completed, non-refunded services; defer subscription revenue across the service period.</w:t>
      </w:r>
    </w:p>
    <w:p>
      <w:pPr>
        <w:pStyle w:val="BodyText"/>
        <w:numPr>
          <w:ilvl w:val="0"/>
          <w:numId w:val="24"/>
        </w:numPr>
        <w:tabs>
          <w:tab w:val="clear" w:pos="709"/>
          <w:tab w:val="left" w:pos="709" w:leader="none"/>
        </w:tabs>
        <w:bidi w:val="0"/>
        <w:ind w:hanging="283" w:start="709"/>
        <w:jc w:val="start"/>
        <w:rPr/>
      </w:pPr>
      <w:r>
        <w:rPr/>
        <w:t>Maintain a refund/dispute reserve; do not use a customer wallet balance as operating capital.</w:t>
      </w:r>
    </w:p>
    <w:p>
      <w:pPr>
        <w:pStyle w:val="BodyText"/>
        <w:numPr>
          <w:ilvl w:val="0"/>
          <w:numId w:val="24"/>
        </w:numPr>
        <w:tabs>
          <w:tab w:val="clear" w:pos="709"/>
          <w:tab w:val="left" w:pos="709" w:leader="none"/>
        </w:tabs>
        <w:bidi w:val="0"/>
        <w:ind w:hanging="283" w:start="709"/>
        <w:jc w:val="start"/>
        <w:rPr/>
      </w:pPr>
      <w:r>
        <w:rPr/>
        <w:t>Track CAC by channel, partner onboarding cost, contribution margin by service, partner retention and cohort LTV monthly.</w:t>
      </w:r>
    </w:p>
    <w:p>
      <w:pPr>
        <w:pStyle w:val="HorizontalLine"/>
        <w:bidi w:val="0"/>
        <w:jc w:val="start"/>
        <w:rPr/>
      </w:pPr>
      <w:r>
        <w:rPr/>
      </w:r>
    </w:p>
    <w:p>
      <w:pPr>
        <w:pStyle w:val="Heading2"/>
        <w:bidi w:val="0"/>
        <w:ind w:hanging="0" w:start="0"/>
        <w:jc w:val="start"/>
        <w:rPr/>
      </w:pPr>
      <w:r>
        <w:rPr/>
        <w:t>13. Product, service and commercial roadmap</w:t>
      </w:r>
    </w:p>
    <w:tbl>
      <w:tblPr>
        <w:tblW w:w="5000" w:type="pct"/>
        <w:jc w:val="start"/>
        <w:tblInd w:w="-5" w:type="dxa"/>
        <w:tblLayout w:type="fixed"/>
        <w:tblCellMar>
          <w:top w:w="55" w:type="dxa"/>
          <w:start w:w="55" w:type="dxa"/>
          <w:bottom w:w="55" w:type="dxa"/>
          <w:end w:w="55" w:type="dxa"/>
        </w:tblCellMar>
      </w:tblPr>
      <w:tblGrid>
        <w:gridCol w:w="3324"/>
        <w:gridCol w:w="3324"/>
        <w:gridCol w:w="3324"/>
      </w:tblGrid>
      <w:tr>
        <w:trPr>
          <w:tblHeader w:val="true"/>
        </w:trPr>
        <w:tc>
          <w:tcPr>
            <w:tcW w:w="3324" w:type="dxa"/>
            <w:tcBorders>
              <w:top w:val="single" w:sz="4" w:space="0" w:color="000000"/>
              <w:start w:val="single" w:sz="4" w:space="0" w:color="000000"/>
              <w:bottom w:val="single" w:sz="4" w:space="0" w:color="000000"/>
            </w:tcBorders>
          </w:tcPr>
          <w:p>
            <w:pPr>
              <w:pStyle w:val="TableHeading"/>
              <w:bidi w:val="0"/>
              <w:jc w:val="start"/>
              <w:rPr/>
            </w:pPr>
            <w:r>
              <w:rPr/>
              <w:t>Period</w:t>
            </w:r>
          </w:p>
        </w:tc>
        <w:tc>
          <w:tcPr>
            <w:tcW w:w="3324" w:type="dxa"/>
            <w:tcBorders>
              <w:top w:val="single" w:sz="4" w:space="0" w:color="000000"/>
              <w:start w:val="single" w:sz="4" w:space="0" w:color="000000"/>
              <w:bottom w:val="single" w:sz="4" w:space="0" w:color="000000"/>
            </w:tcBorders>
          </w:tcPr>
          <w:p>
            <w:pPr>
              <w:pStyle w:val="TableHeading"/>
              <w:bidi w:val="0"/>
              <w:jc w:val="start"/>
              <w:rPr/>
            </w:pPr>
            <w:r>
              <w:rPr/>
              <w:t>Product/service outcome</w:t>
            </w:r>
          </w:p>
        </w:tc>
        <w:tc>
          <w:tcPr>
            <w:tcW w:w="3324"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Commercial gate</w:t>
            </w:r>
          </w:p>
        </w:tc>
      </w:tr>
      <w:tr>
        <w:trPr/>
        <w:tc>
          <w:tcPr>
            <w:tcW w:w="3324" w:type="dxa"/>
            <w:tcBorders>
              <w:start w:val="single" w:sz="4" w:space="0" w:color="000000"/>
              <w:bottom w:val="single" w:sz="4" w:space="0" w:color="000000"/>
            </w:tcBorders>
          </w:tcPr>
          <w:p>
            <w:pPr>
              <w:pStyle w:val="TableContents"/>
              <w:bidi w:val="0"/>
              <w:jc w:val="start"/>
              <w:rPr/>
            </w:pPr>
            <w:r>
              <w:rPr/>
              <w:t>Months 0–3</w:t>
            </w:r>
          </w:p>
        </w:tc>
        <w:tc>
          <w:tcPr>
            <w:tcW w:w="3324" w:type="dxa"/>
            <w:tcBorders>
              <w:start w:val="single" w:sz="4" w:space="0" w:color="000000"/>
              <w:bottom w:val="single" w:sz="4" w:space="0" w:color="000000"/>
            </w:tcBorders>
          </w:tcPr>
          <w:p>
            <w:pPr>
              <w:pStyle w:val="TableContents"/>
              <w:bidi w:val="0"/>
              <w:jc w:val="start"/>
              <w:rPr/>
            </w:pPr>
            <w:r>
              <w:rPr/>
              <w:t>Secure onboarding, Buddy Up, groups, events, selected gym/coach pages, M-PESA/card payments, moderation operations</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10 design partners live; clear incident/refund processes</w:t>
            </w:r>
          </w:p>
        </w:tc>
      </w:tr>
      <w:tr>
        <w:trPr/>
        <w:tc>
          <w:tcPr>
            <w:tcW w:w="3324" w:type="dxa"/>
            <w:tcBorders>
              <w:start w:val="single" w:sz="4" w:space="0" w:color="000000"/>
              <w:bottom w:val="single" w:sz="4" w:space="0" w:color="000000"/>
            </w:tcBorders>
          </w:tcPr>
          <w:p>
            <w:pPr>
              <w:pStyle w:val="TableContents"/>
              <w:bidi w:val="0"/>
              <w:jc w:val="start"/>
              <w:rPr/>
            </w:pPr>
            <w:r>
              <w:rPr/>
              <w:t>Months 3–6</w:t>
            </w:r>
          </w:p>
        </w:tc>
        <w:tc>
          <w:tcPr>
            <w:tcW w:w="3324" w:type="dxa"/>
            <w:tcBorders>
              <w:start w:val="single" w:sz="4" w:space="0" w:color="000000"/>
              <w:bottom w:val="single" w:sz="4" w:space="0" w:color="000000"/>
            </w:tcBorders>
          </w:tcPr>
          <w:p>
            <w:pPr>
              <w:pStyle w:val="TableContents"/>
              <w:bidi w:val="0"/>
              <w:jc w:val="start"/>
              <w:rPr/>
            </w:pPr>
            <w:r>
              <w:rPr/>
              <w:t>Partner dashboard, booking, digital programmes, referrals, basic partner insights</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w:t>
            </w:r>
            <w:r>
              <w:rPr/>
              <w:t>35% activation and ≥25% partner member MAU in pilots</w:t>
            </w:r>
          </w:p>
        </w:tc>
      </w:tr>
      <w:tr>
        <w:trPr/>
        <w:tc>
          <w:tcPr>
            <w:tcW w:w="3324" w:type="dxa"/>
            <w:tcBorders>
              <w:start w:val="single" w:sz="4" w:space="0" w:color="000000"/>
              <w:bottom w:val="single" w:sz="4" w:space="0" w:color="000000"/>
            </w:tcBorders>
          </w:tcPr>
          <w:p>
            <w:pPr>
              <w:pStyle w:val="TableContents"/>
              <w:bidi w:val="0"/>
              <w:jc w:val="start"/>
              <w:rPr/>
            </w:pPr>
            <w:r>
              <w:rPr/>
              <w:t>Months 6–12</w:t>
            </w:r>
          </w:p>
        </w:tc>
        <w:tc>
          <w:tcPr>
            <w:tcW w:w="3324" w:type="dxa"/>
            <w:tcBorders>
              <w:start w:val="single" w:sz="4" w:space="0" w:color="000000"/>
              <w:bottom w:val="single" w:sz="4" w:space="0" w:color="000000"/>
            </w:tcBorders>
          </w:tcPr>
          <w:p>
            <w:pPr>
              <w:pStyle w:val="TableContents"/>
              <w:bidi w:val="0"/>
              <w:jc w:val="start"/>
              <w:rPr/>
            </w:pPr>
            <w:r>
              <w:rPr/>
              <w:t>Coach Pro, Gym Growth, repeat cohorts, selective paid live sessions, Plus bundle</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30 paying partners; verified retention/ROI case studies</w:t>
            </w:r>
          </w:p>
        </w:tc>
      </w:tr>
      <w:tr>
        <w:trPr/>
        <w:tc>
          <w:tcPr>
            <w:tcW w:w="3324" w:type="dxa"/>
            <w:tcBorders>
              <w:start w:val="single" w:sz="4" w:space="0" w:color="000000"/>
              <w:bottom w:val="single" w:sz="4" w:space="0" w:color="000000"/>
            </w:tcBorders>
          </w:tcPr>
          <w:p>
            <w:pPr>
              <w:pStyle w:val="TableContents"/>
              <w:bidi w:val="0"/>
              <w:jc w:val="start"/>
              <w:rPr/>
            </w:pPr>
            <w:r>
              <w:rPr/>
              <w:t>Year 2</w:t>
            </w:r>
          </w:p>
        </w:tc>
        <w:tc>
          <w:tcPr>
            <w:tcW w:w="3324" w:type="dxa"/>
            <w:tcBorders>
              <w:start w:val="single" w:sz="4" w:space="0" w:color="000000"/>
              <w:bottom w:val="single" w:sz="4" w:space="0" w:color="000000"/>
            </w:tcBorders>
          </w:tcPr>
          <w:p>
            <w:pPr>
              <w:pStyle w:val="TableContents"/>
              <w:bidi w:val="0"/>
              <w:jc w:val="start"/>
              <w:rPr/>
            </w:pPr>
            <w:r>
              <w:rPr/>
              <w:t>Workplace pilots, curated local offers, wearables/integrations, deeper localisation</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Positive 90-day contribution margin in primary cluster</w:t>
            </w:r>
          </w:p>
        </w:tc>
      </w:tr>
      <w:tr>
        <w:trPr/>
        <w:tc>
          <w:tcPr>
            <w:tcW w:w="3324" w:type="dxa"/>
            <w:tcBorders>
              <w:start w:val="single" w:sz="4" w:space="0" w:color="000000"/>
              <w:bottom w:val="single" w:sz="4" w:space="0" w:color="000000"/>
            </w:tcBorders>
          </w:tcPr>
          <w:p>
            <w:pPr>
              <w:pStyle w:val="TableContents"/>
              <w:bidi w:val="0"/>
              <w:jc w:val="start"/>
              <w:rPr/>
            </w:pPr>
            <w:r>
              <w:rPr/>
              <w:t>Year 3</w:t>
            </w:r>
          </w:p>
        </w:tc>
        <w:tc>
          <w:tcPr>
            <w:tcW w:w="3324" w:type="dxa"/>
            <w:tcBorders>
              <w:start w:val="single" w:sz="4" w:space="0" w:color="000000"/>
              <w:bottom w:val="single" w:sz="4" w:space="0" w:color="000000"/>
            </w:tcBorders>
          </w:tcPr>
          <w:p>
            <w:pPr>
              <w:pStyle w:val="TableContents"/>
              <w:bidi w:val="0"/>
              <w:jc w:val="start"/>
              <w:rPr/>
            </w:pPr>
            <w:r>
              <w:rPr/>
              <w:t>Multi-location partner tools, API/integrations, second Kenyan city cluster, Pan-African readiness dossier</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Five anchor partners committed in each new city/country</w:t>
            </w:r>
          </w:p>
        </w:tc>
      </w:tr>
      <w:tr>
        <w:trPr/>
        <w:tc>
          <w:tcPr>
            <w:tcW w:w="3324" w:type="dxa"/>
            <w:tcBorders>
              <w:start w:val="single" w:sz="4" w:space="0" w:color="000000"/>
              <w:bottom w:val="single" w:sz="4" w:space="0" w:color="000000"/>
            </w:tcBorders>
          </w:tcPr>
          <w:p>
            <w:pPr>
              <w:pStyle w:val="TableContents"/>
              <w:bidi w:val="0"/>
              <w:jc w:val="start"/>
              <w:rPr/>
            </w:pPr>
            <w:r>
              <w:rPr/>
              <w:t>Years 4–5</w:t>
            </w:r>
          </w:p>
        </w:tc>
        <w:tc>
          <w:tcPr>
            <w:tcW w:w="3324" w:type="dxa"/>
            <w:tcBorders>
              <w:start w:val="single" w:sz="4" w:space="0" w:color="000000"/>
              <w:bottom w:val="single" w:sz="4" w:space="0" w:color="000000"/>
            </w:tcBorders>
          </w:tcPr>
          <w:p>
            <w:pPr>
              <w:pStyle w:val="TableContents"/>
              <w:bidi w:val="0"/>
              <w:jc w:val="start"/>
              <w:rPr/>
            </w:pPr>
            <w:r>
              <w:rPr/>
              <w:t>Nigeria + South Africa entities live; Ghana +1 pilot; country-localised payments/support</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Per-country legal/payments review and anchor commitment; positive contribution margin in primary cluster</w:t>
            </w:r>
          </w:p>
        </w:tc>
      </w:tr>
      <w:tr>
        <w:trPr/>
        <w:tc>
          <w:tcPr>
            <w:tcW w:w="3324" w:type="dxa"/>
            <w:tcBorders>
              <w:start w:val="single" w:sz="4" w:space="0" w:color="000000"/>
              <w:bottom w:val="single" w:sz="4" w:space="0" w:color="000000"/>
            </w:tcBorders>
          </w:tcPr>
          <w:p>
            <w:pPr>
              <w:pStyle w:val="TableContents"/>
              <w:bidi w:val="0"/>
              <w:jc w:val="start"/>
              <w:rPr/>
            </w:pPr>
            <w:r>
              <w:rPr/>
              <w:t>Years 6–8</w:t>
            </w:r>
          </w:p>
        </w:tc>
        <w:tc>
          <w:tcPr>
            <w:tcW w:w="3324" w:type="dxa"/>
            <w:tcBorders>
              <w:start w:val="single" w:sz="4" w:space="0" w:color="000000"/>
              <w:bottom w:val="single" w:sz="4" w:space="0" w:color="000000"/>
            </w:tcBorders>
          </w:tcPr>
          <w:p>
            <w:pPr>
              <w:pStyle w:val="TableContents"/>
              <w:bidi w:val="0"/>
              <w:jc w:val="start"/>
              <w:rPr/>
            </w:pPr>
            <w:r>
              <w:rPr/>
              <w:t>Global partner-operating layer, regional partnerships, API ecosystem</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Positive contribution margin before region entry; local compliance complete</w:t>
            </w:r>
          </w:p>
        </w:tc>
      </w:tr>
    </w:tbl>
    <w:p>
      <w:pPr>
        <w:pStyle w:val="BodyText"/>
        <w:bidi w:val="0"/>
        <w:jc w:val="start"/>
        <w:rPr/>
      </w:pPr>
      <w:r>
        <w:rPr/>
      </w:r>
    </w:p>
    <w:p>
      <w:pPr>
        <w:pStyle w:val="BodyText"/>
        <w:bidi w:val="0"/>
        <w:jc w:val="start"/>
        <w:rPr/>
      </w:pPr>
      <w:r>
        <w:rPr/>
        <w:t>AI serves operational and customer outcomes, not a feature catalogue. Early uses with the best fit: safety triage, discovery/ranking with human oversight, and clearly bounded meal/workout suggestions. Form analysis, medical-adjacent recommendations and automated coaching remain controlled pilots with accuracy, fairness, consent and escalation criteria.</w:t>
      </w:r>
    </w:p>
    <w:p>
      <w:pPr>
        <w:pStyle w:val="HorizontalLine"/>
        <w:bidi w:val="0"/>
        <w:jc w:val="start"/>
        <w:rPr/>
      </w:pPr>
      <w:r>
        <w:rPr/>
      </w:r>
    </w:p>
    <w:p>
      <w:pPr>
        <w:pStyle w:val="Heading2"/>
        <w:bidi w:val="0"/>
        <w:ind w:hanging="0" w:start="0"/>
        <w:jc w:val="start"/>
        <w:rPr/>
      </w:pPr>
      <w:r>
        <w:rPr/>
        <w:t>14. Decisions requested and next actions</w:t>
      </w:r>
    </w:p>
    <w:p>
      <w:pPr>
        <w:pStyle w:val="BodyText"/>
        <w:numPr>
          <w:ilvl w:val="0"/>
          <w:numId w:val="25"/>
        </w:numPr>
        <w:tabs>
          <w:tab w:val="clear" w:pos="709"/>
          <w:tab w:val="left" w:pos="709" w:leader="none"/>
        </w:tabs>
        <w:bidi w:val="0"/>
        <w:ind w:hanging="283" w:start="709"/>
        <w:jc w:val="start"/>
        <w:rPr/>
      </w:pPr>
      <w:r>
        <w:rPr/>
        <w:t>Adopt the Nairobi partner-community beachhead and the narrower launch scope (§4.2).</w:t>
      </w:r>
    </w:p>
    <w:p>
      <w:pPr>
        <w:pStyle w:val="BodyText"/>
        <w:numPr>
          <w:ilvl w:val="0"/>
          <w:numId w:val="25"/>
        </w:numPr>
        <w:tabs>
          <w:tab w:val="clear" w:pos="709"/>
          <w:tab w:val="left" w:pos="709" w:leader="none"/>
        </w:tabs>
        <w:bidi w:val="0"/>
        <w:ind w:hanging="283" w:start="709"/>
        <w:jc w:val="start"/>
        <w:rPr/>
      </w:pPr>
      <w:r>
        <w:rPr/>
        <w:t>Approve direct local-currency payments plus non-cash loyalty points; pause cash-out/transferable artifacts pending legal and payment-provider review (§9.4).</w:t>
      </w:r>
    </w:p>
    <w:p>
      <w:pPr>
        <w:pStyle w:val="BodyText"/>
        <w:numPr>
          <w:ilvl w:val="0"/>
          <w:numId w:val="25"/>
        </w:numPr>
        <w:tabs>
          <w:tab w:val="clear" w:pos="709"/>
          <w:tab w:val="left" w:pos="709" w:leader="none"/>
        </w:tabs>
        <w:bidi w:val="0"/>
        <w:ind w:hanging="283" w:start="709"/>
        <w:jc w:val="start"/>
        <w:rPr/>
      </w:pPr>
      <w:r>
        <w:rPr/>
        <w:t>Fund a 90-day design-partner pilot and measure the activation/retention gates in §10.6.</w:t>
      </w:r>
    </w:p>
    <w:p>
      <w:pPr>
        <w:pStyle w:val="BodyText"/>
        <w:numPr>
          <w:ilvl w:val="0"/>
          <w:numId w:val="25"/>
        </w:numPr>
        <w:tabs>
          <w:tab w:val="clear" w:pos="709"/>
          <w:tab w:val="left" w:pos="709" w:leader="none"/>
        </w:tabs>
        <w:bidi w:val="0"/>
        <w:ind w:hanging="283" w:start="709"/>
        <w:jc w:val="start"/>
        <w:rPr/>
      </w:pPr>
      <w:r>
        <w:rPr/>
        <w:t>Complete a Kenya privacy, payments, consumer, professional-verification and tax workstream before accepting money or health-related submissions (§11.2).</w:t>
      </w:r>
    </w:p>
    <w:p>
      <w:pPr>
        <w:pStyle w:val="BodyText"/>
        <w:numPr>
          <w:ilvl w:val="0"/>
          <w:numId w:val="25"/>
        </w:numPr>
        <w:tabs>
          <w:tab w:val="clear" w:pos="709"/>
          <w:tab w:val="left" w:pos="709" w:leader="none"/>
        </w:tabs>
        <w:bidi w:val="0"/>
        <w:ind w:hanging="283" w:start="709"/>
        <w:jc w:val="start"/>
        <w:rPr/>
      </w:pPr>
      <w:r>
        <w:rPr/>
        <w:t>Convert this document's assumptions into a monthly operating model after partner price discovery and vendor quotations (§12).</w:t>
      </w:r>
    </w:p>
    <w:p>
      <w:pPr>
        <w:pStyle w:val="BodyText"/>
        <w:numPr>
          <w:ilvl w:val="0"/>
          <w:numId w:val="25"/>
        </w:numPr>
        <w:tabs>
          <w:tab w:val="clear" w:pos="709"/>
          <w:tab w:val="left" w:pos="709" w:leader="none"/>
        </w:tabs>
        <w:bidi w:val="0"/>
        <w:ind w:hanging="283" w:start="709"/>
        <w:jc w:val="start"/>
        <w:rPr/>
      </w:pPr>
      <w:r>
        <w:rPr/>
        <w:t>Stand up the Pan-African readiness track (entity selection, market dossiers) in year 3, gated on H1 evidence (§3.3, §7.2).</w:t>
      </w:r>
    </w:p>
    <w:p>
      <w:pPr>
        <w:pStyle w:val="HorizontalLine"/>
        <w:bidi w:val="0"/>
        <w:jc w:val="start"/>
        <w:rPr/>
      </w:pPr>
      <w:r>
        <w:rPr/>
      </w:r>
    </w:p>
    <w:p>
      <w:pPr>
        <w:pStyle w:val="Heading2"/>
        <w:bidi w:val="0"/>
        <w:ind w:hanging="0" w:start="0"/>
        <w:jc w:val="start"/>
        <w:rPr/>
      </w:pPr>
      <w:r>
        <w:rPr/>
        <w:t>15. Sources and methodology</w:t>
      </w:r>
    </w:p>
    <w:p>
      <w:pPr>
        <w:pStyle w:val="BodyText"/>
        <w:bidi w:val="0"/>
        <w:jc w:val="start"/>
        <w:rPr/>
      </w:pPr>
      <w:r>
        <w:rPr/>
        <w:t>This plan combines repository inspection with desk research completed on 6 August 2026. External figures are used as context, not as a substitute for primary customer research. Core sources:</w:t>
      </w:r>
    </w:p>
    <w:p>
      <w:pPr>
        <w:pStyle w:val="BodyText"/>
        <w:numPr>
          <w:ilvl w:val="0"/>
          <w:numId w:val="26"/>
        </w:numPr>
        <w:tabs>
          <w:tab w:val="clear" w:pos="709"/>
          <w:tab w:val="left" w:pos="709" w:leader="none"/>
        </w:tabs>
        <w:bidi w:val="0"/>
        <w:ind w:hanging="283" w:start="709"/>
        <w:jc w:val="start"/>
        <w:rPr/>
      </w:pPr>
      <w:r>
        <w:rPr/>
        <w:t xml:space="preserve">World Health Organization, </w:t>
      </w:r>
      <w:hyperlink r:id="rId7">
        <w:r>
          <w:rPr>
            <w:rStyle w:val="Hyperlink"/>
          </w:rPr>
          <w:t>physical activity update, 2024</w:t>
        </w:r>
      </w:hyperlink>
      <w:r>
        <w:rPr/>
        <w:t>.</w:t>
      </w:r>
    </w:p>
    <w:p>
      <w:pPr>
        <w:pStyle w:val="BodyText"/>
        <w:numPr>
          <w:ilvl w:val="0"/>
          <w:numId w:val="26"/>
        </w:numPr>
        <w:tabs>
          <w:tab w:val="clear" w:pos="709"/>
          <w:tab w:val="left" w:pos="709" w:leader="none"/>
        </w:tabs>
        <w:bidi w:val="0"/>
        <w:ind w:hanging="283" w:start="709"/>
        <w:jc w:val="start"/>
        <w:rPr/>
      </w:pPr>
      <w:r>
        <w:rPr/>
        <w:t xml:space="preserve">Communications Authority of Kenya, </w:t>
      </w:r>
      <w:hyperlink r:id="rId8">
        <w:r>
          <w:rPr>
            <w:rStyle w:val="Hyperlink"/>
          </w:rPr>
          <w:t>mobile, internet and technology services update</w:t>
        </w:r>
      </w:hyperlink>
      <w:r>
        <w:rPr/>
        <w:t>.</w:t>
      </w:r>
    </w:p>
    <w:p>
      <w:pPr>
        <w:pStyle w:val="BodyText"/>
        <w:numPr>
          <w:ilvl w:val="0"/>
          <w:numId w:val="26"/>
        </w:numPr>
        <w:tabs>
          <w:tab w:val="clear" w:pos="709"/>
          <w:tab w:val="left" w:pos="709" w:leader="none"/>
        </w:tabs>
        <w:bidi w:val="0"/>
        <w:ind w:hanging="283" w:start="709"/>
        <w:jc w:val="start"/>
        <w:rPr/>
      </w:pPr>
      <w:r>
        <w:rPr/>
        <w:t xml:space="preserve">Safaricom, </w:t>
      </w:r>
      <w:hyperlink r:id="rId9">
        <w:r>
          <w:rPr>
            <w:rStyle w:val="Hyperlink"/>
          </w:rPr>
          <w:t>FY2025 audited-results release</w:t>
        </w:r>
      </w:hyperlink>
      <w:r>
        <w:rPr/>
        <w:t>.</w:t>
      </w:r>
    </w:p>
    <w:p>
      <w:pPr>
        <w:pStyle w:val="BodyText"/>
        <w:numPr>
          <w:ilvl w:val="0"/>
          <w:numId w:val="26"/>
        </w:numPr>
        <w:tabs>
          <w:tab w:val="clear" w:pos="709"/>
          <w:tab w:val="left" w:pos="709" w:leader="none"/>
        </w:tabs>
        <w:bidi w:val="0"/>
        <w:ind w:hanging="283" w:start="709"/>
        <w:jc w:val="start"/>
        <w:rPr/>
      </w:pPr>
      <w:r>
        <w:rPr/>
        <w:t xml:space="preserve">Kenya Law, </w:t>
      </w:r>
      <w:hyperlink r:id="rId10">
        <w:r>
          <w:rPr>
            <w:rStyle w:val="Hyperlink"/>
          </w:rPr>
          <w:t>Data Protection Act, 2019</w:t>
        </w:r>
      </w:hyperlink>
      <w:r>
        <w:rPr/>
        <w:t xml:space="preserve">, and the Office of the Data Protection Commissioner, </w:t>
      </w:r>
      <w:hyperlink r:id="rId11">
        <w:r>
          <w:rPr>
            <w:rStyle w:val="Hyperlink"/>
          </w:rPr>
          <w:t>health-data processing guidance</w:t>
        </w:r>
      </w:hyperlink>
      <w:r>
        <w:rPr/>
        <w:t>.</w:t>
      </w:r>
    </w:p>
    <w:p>
      <w:pPr>
        <w:pStyle w:val="BodyText"/>
        <w:numPr>
          <w:ilvl w:val="0"/>
          <w:numId w:val="26"/>
        </w:numPr>
        <w:tabs>
          <w:tab w:val="clear" w:pos="709"/>
          <w:tab w:val="left" w:pos="709" w:leader="none"/>
        </w:tabs>
        <w:bidi w:val="0"/>
        <w:ind w:hanging="283" w:start="709"/>
        <w:jc w:val="start"/>
        <w:rPr/>
      </w:pPr>
      <w:r>
        <w:rPr/>
        <w:t xml:space="preserve">Strava, </w:t>
      </w:r>
      <w:hyperlink r:id="rId12">
        <w:r>
          <w:rPr>
            <w:rStyle w:val="Hyperlink"/>
          </w:rPr>
          <w:t>Google Play listing</w:t>
        </w:r>
      </w:hyperlink>
      <w:r>
        <w:rPr/>
        <w:t xml:space="preserve">; ClassPass, </w:t>
      </w:r>
      <w:hyperlink r:id="rId13">
        <w:r>
          <w:rPr>
            <w:rStyle w:val="Hyperlink"/>
          </w:rPr>
          <w:t>credits explanation</w:t>
        </w:r>
      </w:hyperlink>
      <w:r>
        <w:rPr/>
        <w:t xml:space="preserve">; Trainerize, </w:t>
      </w:r>
      <w:hyperlink r:id="rId14">
        <w:r>
          <w:rPr>
            <w:rStyle w:val="Hyperlink"/>
          </w:rPr>
          <w:t>2025 personal-training industry report</w:t>
        </w:r>
      </w:hyperlink>
      <w:r>
        <w:rPr/>
        <w:t>.</w:t>
      </w:r>
    </w:p>
    <w:p>
      <w:pPr>
        <w:pStyle w:val="BodyText"/>
        <w:bidi w:val="0"/>
        <w:jc w:val="start"/>
        <w:rPr/>
      </w:pPr>
      <w:r>
        <w:rPr/>
        <w:t>Pan-African and global market claims are directional planning inputs pending country-level validation; they are explicitly not presented as measured market facts.</w:t>
      </w:r>
    </w:p>
    <w:p>
      <w:pPr>
        <w:pStyle w:val="BodyText"/>
        <w:bidi w:val="0"/>
        <w:spacing w:before="0" w:after="14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Liberation Mono">
    <w:altName w:val="Courier New"/>
    <w:charset w:val="01" w:characterSet="utf-8"/>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FreeSans"/>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ans" w:cs="FreeSans"/>
      <w:color w:val="auto"/>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paragraph" w:styleId="Heading4">
    <w:name w:val="heading 4"/>
    <w:basedOn w:val="Heading"/>
    <w:next w:val="BodyText"/>
    <w:qFormat/>
    <w:pPr>
      <w:numPr>
        <w:ilvl w:val="3"/>
        <w:numId w:val="1"/>
      </w:numPr>
      <w:spacing w:before="120" w:after="120"/>
      <w:outlineLvl w:val="3"/>
    </w:pPr>
    <w:rPr>
      <w:b/>
      <w:bCs/>
      <w:i/>
      <w:iCs/>
      <w:sz w:val="26"/>
      <w:szCs w:val="26"/>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who.int/news/item/26-06-2024-nearly-1.8-billion-adults-at-risk-of-disease-from-not-doing-enough-physical-activity" TargetMode="External"/><Relationship Id="rId3" Type="http://schemas.openxmlformats.org/officeDocument/2006/relationships/hyperlink" Target="https://www.ca.go.ke/mobile-internet-and-tech-services-surge-kenya-digital-shift-accelerates" TargetMode="External"/><Relationship Id="rId4" Type="http://schemas.openxmlformats.org/officeDocument/2006/relationships/hyperlink" Target="https://www.safaricom.co.ke/images/Downloads/FY25-Press-Release_May-9-2025.pdf" TargetMode="External"/><Relationship Id="rId5" Type="http://schemas.openxmlformats.org/officeDocument/2006/relationships/hyperlink" Target="https://new.kenyalaw.org/akn/ke/act/2019/24/eng%402019-11-15" TargetMode="External"/><Relationship Id="rId6" Type="http://schemas.openxmlformats.org/officeDocument/2006/relationships/hyperlink" Target="https://www.odpc.go.ke/wp-content/uploads/2024/02/ODPC-Guidance-Note-on-Processing-of-Health-Data.pdf" TargetMode="External"/><Relationship Id="rId7" Type="http://schemas.openxmlformats.org/officeDocument/2006/relationships/hyperlink" Target="https://www.who.int/news/item/26-06-2024-nearly-1.8-billion-adults-at-risk-of-disease-from-not-doing-enough-physical-activity" TargetMode="External"/><Relationship Id="rId8" Type="http://schemas.openxmlformats.org/officeDocument/2006/relationships/hyperlink" Target="https://www.ca.go.ke/mobile-internet-and-tech-services-surge-kenya-digital-shift-accelerates" TargetMode="External"/><Relationship Id="rId9" Type="http://schemas.openxmlformats.org/officeDocument/2006/relationships/hyperlink" Target="https://www.safaricom.co.ke/images/Downloads/FY25-Press-Release_May-9-2025.pdf" TargetMode="External"/><Relationship Id="rId10" Type="http://schemas.openxmlformats.org/officeDocument/2006/relationships/hyperlink" Target="https://new.kenyalaw.org/akn/ke/act/2019/24/eng%402019-11-15" TargetMode="External"/><Relationship Id="rId11" Type="http://schemas.openxmlformats.org/officeDocument/2006/relationships/hyperlink" Target="https://www.odpc.go.ke/wp-content/uploads/2024/02/ODPC-Guidance-Note-on-Processing-of-Health-Data.pdf" TargetMode="External"/><Relationship Id="rId12" Type="http://schemas.openxmlformats.org/officeDocument/2006/relationships/hyperlink" Target="https://play.google.com/store/apps/details?hl=en_US&amp;id=com.strava" TargetMode="External"/><Relationship Id="rId13" Type="http://schemas.openxmlformats.org/officeDocument/2006/relationships/hyperlink" Target="https://help.classpass.com/hc/en-us/articles/360002359832-What-are-credits" TargetMode="External"/><Relationship Id="rId14" Type="http://schemas.openxmlformats.org/officeDocument/2006/relationships/hyperlink" Target="https://resources.trainerize.com/hubfs/State%20of%20the%20Personal%20Training%20Industry%20Report%202025.pdf" TargetMode="Externa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