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rPr>
          <w:b/>
          <w:color w:val="007F61"/>
          <w:sz w:val="40"/>
          <w:szCs w:val="40"/>
        </w:rPr>
        <w:t xml:space="preserve">Bud Strategy</w:t>
      </w:r>
    </w:p>
    <w:p>
      <w:pPr/>
      <w:r>
        <w:rPr/>
        <w:t xml:space="preserve">Bud is the short customer-facing name for BuddyUp. This strategy covers a Kenya-first launch over 36 months.</w:t>
      </w:r>
    </w:p>
    <w:p>
      <w:pPr>
        <w:pStyle w:val="Heading1"/>
      </w:pPr>
      <w:r>
        <w:rPr>
          <w:b/>
          <w:color w:val="007F61"/>
          <w:sz w:val="28"/>
          <w:szCs w:val="28"/>
        </w:rPr>
        <w:t xml:space="preserve">Strategic choice</w:t>
      </w:r>
    </w:p>
    <w:p>
      <w:pPr/>
      <w:r>
        <w:rPr/>
        <w:t xml:space="preserve">Bud will build the participation layer for local fitness: a member can find a training partner, join a reliable community, book a trusted coach and return next week. It will not begin by competing for the largest library of workout videos, becoming a medical provider, or operating a cash-like virtual currency.</w:t>
      </w:r>
    </w:p>
    <w:p>
      <w:pPr/>
      <w:r>
        <w:rPr/>
        <w:t xml:space="preserve">Where to play: Nairobi’s mobile-first gym, studio, coach, run-club and workplace communities; then other Kenyan cities where anchor partners can launch together.</w:t>
      </w:r>
    </w:p>
    <w:p>
      <w:pPr/>
      <w:r>
        <w:rPr/>
        <w:t xml:space="preserve">How to win: make accountability tangible. Bud’s mutual “Buddy Up” relationship, community events, trusted partner profiles, scheduling and local payments turn a vague intention into a planned activity with social follow-through.</w:t>
      </w:r>
    </w:p>
    <w:p>
      <w:pPr>
        <w:pStyle w:val="Heading1"/>
      </w:pPr>
      <w:r>
        <w:rPr>
          <w:b/>
          <w:color w:val="007F61"/>
          <w:sz w:val="28"/>
          <w:szCs w:val="28"/>
        </w:rPr>
        <w:t xml:space="preserve">The core loop</w:t>
      </w:r>
    </w:p>
    <w:p>
      <w:pPr/>
      <w:r>
        <w:rPr>
          <w:sz w:val="16"/>
          <w:szCs w:val="16"/>
        </w:rPr>
        <w:t xml:space="preserve">Join a trusted local community</w:t>
      </w:r>
    </w:p>
    <w:p>
      <w:pPr/>
      <w:r>
        <w:rPr>
          <w:sz w:val="16"/>
          <w:szCs w:val="16"/>
        </w:rPr>
        <w:t xml:space="preserve">        ↓</w:t>
      </w:r>
    </w:p>
    <w:p>
      <w:pPr/>
      <w:r>
        <w:rPr>
          <w:sz w:val="16"/>
          <w:szCs w:val="16"/>
        </w:rPr>
        <w:t xml:space="preserve">Confirm two Bud connections</w:t>
      </w:r>
    </w:p>
    <w:p>
      <w:pPr/>
      <w:r>
        <w:rPr>
          <w:sz w:val="16"/>
          <w:szCs w:val="16"/>
        </w:rPr>
        <w:t xml:space="preserve">        ↓</w:t>
      </w:r>
    </w:p>
    <w:p>
      <w:pPr/>
      <w:r>
        <w:rPr>
          <w:sz w:val="16"/>
          <w:szCs w:val="16"/>
        </w:rPr>
        <w:t xml:space="preserve">Plan or book an activity</w:t>
      </w:r>
    </w:p>
    <w:p>
      <w:pPr/>
      <w:r>
        <w:rPr>
          <w:sz w:val="16"/>
          <w:szCs w:val="16"/>
        </w:rPr>
        <w:t xml:space="preserve">        ↓</w:t>
      </w:r>
    </w:p>
    <w:p>
      <w:pPr/>
      <w:r>
        <w:rPr>
          <w:sz w:val="16"/>
          <w:szCs w:val="16"/>
        </w:rPr>
        <w:t xml:space="preserve">Attend, check in and encourage one another</w:t>
      </w:r>
    </w:p>
    <w:p>
      <w:pPr/>
      <w:r>
        <w:rPr>
          <w:sz w:val="16"/>
          <w:szCs w:val="16"/>
        </w:rPr>
        <w:t xml:space="preserve">        ↓</w:t>
      </w:r>
    </w:p>
    <w:p>
      <w:pPr/>
      <w:r>
        <w:rPr>
          <w:sz w:val="16"/>
          <w:szCs w:val="16"/>
        </w:rPr>
        <w:t xml:space="preserve">Earn a streak/reputation and plan again</w:t>
      </w:r>
    </w:p>
    <w:p>
      <w:pPr/>
      <w:r>
        <w:rPr/>
        <w:t xml:space="preserve">Every product and commercial decision should strengthen this loop. A user who watches content but does not form a relationship, make a plan or attend is not yet receiving Bud’s core value.</w:t>
      </w:r>
    </w:p>
    <w:p>
      <w:pPr>
        <w:pStyle w:val="Heading1"/>
      </w:pPr>
      <w:r>
        <w:rPr>
          <w:b/>
          <w:color w:val="007F61"/>
          <w:sz w:val="28"/>
          <w:szCs w:val="28"/>
        </w:rPr>
        <w:t xml:space="preserve">Launch wedge</w:t>
      </w:r>
    </w:p>
    <w:p>
      <w:pPr/>
      <w:r>
        <w:rPr/>
        <w:t xml:space="preserve">Launch with 10 Nairobi design partners: five gyms/studios, approximately 20 coaches and several community leaders. Give them a branded community, member onboarding, event scheduling, buddy cohorts, coach booking and M-PESA/card checkout. Bud’s Partner Success team will help the first partners activate members; it will not expect a self-serve marketplace to create density by itself.</w:t>
      </w:r>
    </w:p>
    <w:p>
      <w:pPr/>
      <w:r>
        <w:rPr/>
        <w:t xml:space="preserve">The first 90 days must prove three things:</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Question</w:t>
            </w:r>
          </w:p>
        </w:tc>
        <w:tc>
          <w:tcPr>
            <w:tcW w:w="2400" w:type="dxa"/>
            <w:shd w:fill="007F61"/>
          </w:tcPr>
          <w:p>
            <w:pPr/>
            <w:r>
              <w:rPr>
                <w:b/>
                <w:color w:val="FFFFFF"/>
                <w:sz w:val="16"/>
                <w:szCs w:val="16"/>
              </w:rPr>
              <w:t xml:space="preserve">Evidence required</w:t>
            </w:r>
          </w:p>
        </w:tc>
      </w:tr>
      <w:tr>
        <w:tc>
          <w:tcPr>
            <w:tcW w:w="2400" w:type="dxa"/>
          </w:tcPr>
          <w:p>
            <w:pPr/>
            <w:r>
              <w:rPr>
                <w:sz w:val="16"/>
                <w:szCs w:val="16"/>
              </w:rPr>
              <w:t xml:space="preserve">Will members use accountability?</w:t>
            </w:r>
          </w:p>
        </w:tc>
        <w:tc>
          <w:tcPr>
            <w:tcW w:w="2400" w:type="dxa"/>
          </w:tcPr>
          <w:p>
            <w:pPr/>
            <w:r>
              <w:rPr>
                <w:sz w:val="16"/>
                <w:szCs w:val="16"/>
              </w:rPr>
              <w:t xml:space="preserve">At least 35% of new members form two Bud connections and plan one activity within 14 days.</w:t>
            </w:r>
          </w:p>
        </w:tc>
      </w:tr>
      <w:tr>
        <w:tc>
          <w:tcPr>
            <w:tcW w:w="2400" w:type="dxa"/>
          </w:tcPr>
          <w:p>
            <w:pPr/>
            <w:r>
              <w:rPr>
                <w:sz w:val="16"/>
                <w:szCs w:val="16"/>
              </w:rPr>
              <w:t xml:space="preserve">Does a community retain activity?</w:t>
            </w:r>
          </w:p>
        </w:tc>
        <w:tc>
          <w:tcPr>
            <w:tcW w:w="2400" w:type="dxa"/>
          </w:tcPr>
          <w:p>
            <w:pPr/>
            <w:r>
              <w:rPr>
                <w:sz w:val="16"/>
                <w:szCs w:val="16"/>
              </w:rPr>
              <w:t xml:space="preserve">At least 25% of a partner’s enrolled members are active monthly by month three.</w:t>
            </w:r>
          </w:p>
        </w:tc>
      </w:tr>
      <w:tr>
        <w:tc>
          <w:tcPr>
            <w:tcW w:w="2400" w:type="dxa"/>
          </w:tcPr>
          <w:p>
            <w:pPr/>
            <w:r>
              <w:rPr>
                <w:sz w:val="16"/>
                <w:szCs w:val="16"/>
              </w:rPr>
              <w:t xml:space="preserve">Will partners pay?</w:t>
            </w:r>
          </w:p>
        </w:tc>
        <w:tc>
          <w:tcPr>
            <w:tcW w:w="2400" w:type="dxa"/>
          </w:tcPr>
          <w:p>
            <w:pPr/>
            <w:r>
              <w:rPr>
                <w:sz w:val="16"/>
                <w:szCs w:val="16"/>
              </w:rPr>
              <w:t xml:space="preserve">At least 60% of pilot partners meet their agreed activation target and convert to a paid plan.</w:t>
            </w:r>
          </w:p>
        </w:tc>
      </w:tr>
    </w:tbl>
    <w:p>
      <w:pPr>
        <w:pStyle w:val="Heading1"/>
      </w:pPr>
      <w:r>
        <w:rPr>
          <w:b/>
          <w:color w:val="007F61"/>
          <w:sz w:val="28"/>
          <w:szCs w:val="28"/>
        </w:rPr>
        <w:t xml:space="preserve">Service strategy and packaging</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Stage</w:t>
            </w:r>
          </w:p>
        </w:tc>
        <w:tc>
          <w:tcPr>
            <w:tcW w:w="2400" w:type="dxa"/>
            <w:shd w:fill="007F61"/>
          </w:tcPr>
          <w:p>
            <w:pPr/>
            <w:r>
              <w:rPr>
                <w:b/>
                <w:color w:val="FFFFFF"/>
                <w:sz w:val="16"/>
                <w:szCs w:val="16"/>
              </w:rPr>
              <w:t xml:space="preserve">Customer offer</w:t>
            </w:r>
          </w:p>
        </w:tc>
        <w:tc>
          <w:tcPr>
            <w:tcW w:w="2400" w:type="dxa"/>
            <w:shd w:fill="007F61"/>
          </w:tcPr>
          <w:p>
            <w:pPr/>
            <w:r>
              <w:rPr>
                <w:b/>
                <w:color w:val="FFFFFF"/>
                <w:sz w:val="16"/>
                <w:szCs w:val="16"/>
              </w:rPr>
              <w:t xml:space="preserve">Why it belongs in Bud</w:t>
            </w:r>
          </w:p>
        </w:tc>
      </w:tr>
      <w:tr>
        <w:tc>
          <w:tcPr>
            <w:tcW w:w="2400" w:type="dxa"/>
          </w:tcPr>
          <w:p>
            <w:pPr/>
            <w:r>
              <w:rPr>
                <w:sz w:val="16"/>
                <w:szCs w:val="16"/>
              </w:rPr>
              <w:t xml:space="preserve">Core</w:t>
            </w:r>
          </w:p>
        </w:tc>
        <w:tc>
          <w:tcPr>
            <w:tcW w:w="2400" w:type="dxa"/>
          </w:tcPr>
          <w:p>
            <w:pPr/>
            <w:r>
              <w:rPr>
                <w:sz w:val="16"/>
                <w:szCs w:val="16"/>
              </w:rPr>
              <w:t xml:space="preserve">Free profiles, Bud connections, communities, events and basic discovery</w:t>
            </w:r>
          </w:p>
        </w:tc>
        <w:tc>
          <w:tcPr>
            <w:tcW w:w="2400" w:type="dxa"/>
          </w:tcPr>
          <w:p>
            <w:pPr/>
            <w:r>
              <w:rPr>
                <w:sz w:val="16"/>
                <w:szCs w:val="16"/>
              </w:rPr>
              <w:t xml:space="preserve">Creates the relationship and activity graph.</w:t>
            </w:r>
          </w:p>
        </w:tc>
      </w:tr>
      <w:tr>
        <w:tc>
          <w:tcPr>
            <w:tcW w:w="2400" w:type="dxa"/>
          </w:tcPr>
          <w:p>
            <w:pPr/>
            <w:r>
              <w:rPr>
                <w:sz w:val="16"/>
                <w:szCs w:val="16"/>
              </w:rPr>
              <w:t xml:space="preserve">Coach Pro</w:t>
            </w:r>
          </w:p>
        </w:tc>
        <w:tc>
          <w:tcPr>
            <w:tcW w:w="2400" w:type="dxa"/>
          </w:tcPr>
          <w:p>
            <w:pPr/>
            <w:r>
              <w:rPr>
                <w:sz w:val="16"/>
                <w:szCs w:val="16"/>
              </w:rPr>
              <w:t xml:space="preserve">Verification, booking, programmes, client chat and analytics</w:t>
            </w:r>
          </w:p>
        </w:tc>
        <w:tc>
          <w:tcPr>
            <w:tcW w:w="2400" w:type="dxa"/>
          </w:tcPr>
          <w:p>
            <w:pPr/>
            <w:r>
              <w:rPr>
                <w:sz w:val="16"/>
                <w:szCs w:val="16"/>
              </w:rPr>
              <w:t xml:space="preserve">Turns trusted activity evidence into a coach operating tool.</w:t>
            </w:r>
          </w:p>
        </w:tc>
      </w:tr>
      <w:tr>
        <w:tc>
          <w:tcPr>
            <w:tcW w:w="2400" w:type="dxa"/>
          </w:tcPr>
          <w:p>
            <w:pPr/>
            <w:r>
              <w:rPr>
                <w:sz w:val="16"/>
                <w:szCs w:val="16"/>
              </w:rPr>
              <w:t xml:space="preserve">Gym Growth</w:t>
            </w:r>
          </w:p>
        </w:tc>
        <w:tc>
          <w:tcPr>
            <w:tcW w:w="2400" w:type="dxa"/>
          </w:tcPr>
          <w:p>
            <w:pPr/>
            <w:r>
              <w:rPr>
                <w:sz w:val="16"/>
                <w:szCs w:val="16"/>
              </w:rPr>
              <w:t xml:space="preserve">Branded community, schedule, payments, campaigns and retention insight</w:t>
            </w:r>
          </w:p>
        </w:tc>
        <w:tc>
          <w:tcPr>
            <w:tcW w:w="2400" w:type="dxa"/>
          </w:tcPr>
          <w:p>
            <w:pPr/>
            <w:r>
              <w:rPr>
                <w:sz w:val="16"/>
                <w:szCs w:val="16"/>
              </w:rPr>
              <w:t xml:space="preserve">Gives a venue an always-on member relationship.</w:t>
            </w:r>
          </w:p>
        </w:tc>
      </w:tr>
      <w:tr>
        <w:tc>
          <w:tcPr>
            <w:tcW w:w="2400" w:type="dxa"/>
          </w:tcPr>
          <w:p>
            <w:pPr/>
            <w:r>
              <w:rPr>
                <w:sz w:val="16"/>
                <w:szCs w:val="16"/>
              </w:rPr>
              <w:t xml:space="preserve">Plus</w:t>
            </w:r>
          </w:p>
        </w:tc>
        <w:tc>
          <w:tcPr>
            <w:tcW w:w="2400" w:type="dxa"/>
          </w:tcPr>
          <w:p>
            <w:pPr/>
            <w:r>
              <w:rPr>
                <w:sz w:val="16"/>
                <w:szCs w:val="16"/>
              </w:rPr>
              <w:t xml:space="preserve">Enhanced planning, partner benefits, cohorts and useful insights</w:t>
            </w:r>
          </w:p>
        </w:tc>
        <w:tc>
          <w:tcPr>
            <w:tcW w:w="2400" w:type="dxa"/>
          </w:tcPr>
          <w:p>
            <w:pPr/>
            <w:r>
              <w:rPr>
                <w:sz w:val="16"/>
                <w:szCs w:val="16"/>
              </w:rPr>
              <w:t xml:space="preserve">Monetises a demonstrated member outcome, not superficial access.</w:t>
            </w:r>
          </w:p>
        </w:tc>
      </w:tr>
      <w:tr>
        <w:tc>
          <w:tcPr>
            <w:tcW w:w="2400" w:type="dxa"/>
          </w:tcPr>
          <w:p>
            <w:pPr/>
            <w:r>
              <w:rPr>
                <w:sz w:val="16"/>
                <w:szCs w:val="16"/>
              </w:rPr>
              <w:t xml:space="preserve">Workplace</w:t>
            </w:r>
          </w:p>
        </w:tc>
        <w:tc>
          <w:tcPr>
            <w:tcW w:w="2400" w:type="dxa"/>
          </w:tcPr>
          <w:p>
            <w:pPr/>
            <w:r>
              <w:rPr>
                <w:sz w:val="16"/>
                <w:szCs w:val="16"/>
              </w:rPr>
              <w:t xml:space="preserve">Opt-in challenges, partner access and aggregate engagement reporting</w:t>
            </w:r>
          </w:p>
        </w:tc>
        <w:tc>
          <w:tcPr>
            <w:tcW w:w="2400" w:type="dxa"/>
          </w:tcPr>
          <w:p>
            <w:pPr/>
            <w:r>
              <w:rPr>
                <w:sz w:val="16"/>
                <w:szCs w:val="16"/>
              </w:rPr>
              <w:t xml:space="preserve">Reuses communities and partners without exposing individual health data.</w:t>
            </w:r>
          </w:p>
        </w:tc>
      </w:tr>
    </w:tbl>
    <w:p>
      <w:pPr/>
      <w:r>
        <w:rPr/>
        <w:t xml:space="preserve">Digital programmes and selected live sessions are appropriate early paid services. Physical commerce, broad supplement sales, practitioner services and advanced AI coaching come later only when verification, fulfilment and safety controls are proven.</w:t>
      </w:r>
    </w:p>
    <w:p>
      <w:pPr>
        <w:pStyle w:val="Heading1"/>
      </w:pPr>
      <w:r>
        <w:rPr>
          <w:b/>
          <w:color w:val="007F61"/>
          <w:sz w:val="28"/>
          <w:szCs w:val="28"/>
        </w:rPr>
        <w:t xml:space="preserve">Commercial model</w:t>
      </w:r>
    </w:p>
    <w:p>
      <w:pPr/>
      <w:r>
        <w:rPr/>
        <w:t xml:space="preserve">Bud earns in this order: partner SaaS fees, completed booking/programme commissions, member Plus subscriptions, then workplace and curated-commerce contracts. Indicative Kenya pricing is KSh 4,000/month for Gym Core, KSh 12,000/month for Gym Growth, KSh 1,500/month for Coach Pro, 10% of completed booking/programme GMV, and KSh 300/month for Bud Plus.</w:t>
      </w:r>
    </w:p>
    <w:p>
      <w:pPr/>
      <w:r>
        <w:rPr/>
        <w:t xml:space="preserve">Bud should accept M-PESA and cards directly. “Rep Points” may be free, non-transferable loyalty rewards. A purchasable, transferable or cash-out artifact balance is deferred until Kenyan payments, consumer-protection and tax advice confirms the structure.</w:t>
      </w:r>
    </w:p>
    <w:p>
      <w:pPr>
        <w:pStyle w:val="Heading1"/>
      </w:pPr>
      <w:r>
        <w:rPr>
          <w:b/>
          <w:color w:val="007F61"/>
          <w:sz w:val="28"/>
          <w:szCs w:val="28"/>
        </w:rPr>
        <w:t xml:space="preserve">Capabilities that matter</w:t>
      </w:r>
    </w:p>
    <w:p>
      <w:pPr>
        <w:ind w:left="720" w:hanging="360"/>
      </w:pPr>
      <w:r>
        <w:rPr/>
        <w:t xml:space="preserve">• Reliable, low-data mobile experience on common Android devices.</w:t>
      </w:r>
    </w:p>
    <w:p>
      <w:pPr>
        <w:ind w:left="720" w:hanging="360"/>
      </w:pPr>
      <w:r>
        <w:rPr/>
        <w:t xml:space="preserve">• Partner onboarding, credential verification and accountable human support.</w:t>
      </w:r>
    </w:p>
    <w:p>
      <w:pPr>
        <w:ind w:left="720" w:hanging="360"/>
      </w:pPr>
      <w:r>
        <w:rPr/>
        <w:t xml:space="preserve">• Safe mutual messaging, moderation, reporting and disputes processes.</w:t>
      </w:r>
    </w:p>
    <w:p>
      <w:pPr>
        <w:ind w:left="720" w:hanging="360"/>
      </w:pPr>
      <w:r>
        <w:rPr/>
        <w:t xml:space="preserve">• Payment reconciliation, refunds and timely partner payouts.</w:t>
      </w:r>
    </w:p>
    <w:p>
      <w:pPr>
        <w:ind w:left="720" w:hanging="360"/>
      </w:pPr>
      <w:r>
        <w:rPr/>
        <w:t xml:space="preserve">• Consent-led data controls; no sale of health or behavioural data.</w:t>
      </w:r>
    </w:p>
    <w:p>
      <w:pPr>
        <w:ind w:left="720" w:hanging="360"/>
      </w:pPr>
      <w:r>
        <w:rPr/>
        <w:t xml:space="preserve">• Outcome measurement: attendance, activated cohorts, partner retention and contribution margin—not installs alone.</w:t>
      </w:r>
    </w:p>
    <w:p>
      <w:pPr>
        <w:pStyle w:val="Heading1"/>
      </w:pPr>
      <w:r>
        <w:rPr>
          <w:b/>
          <w:color w:val="007F61"/>
          <w:sz w:val="28"/>
          <w:szCs w:val="28"/>
        </w:rPr>
        <w:t xml:space="preserve">Strategic refusals</w:t>
      </w:r>
    </w:p>
    <w:p>
      <w:pPr/>
      <w:r>
        <w:rPr/>
        <w:t xml:space="preserve">Bud will not:</w:t>
      </w:r>
    </w:p>
    <w:p>
      <w:pPr>
        <w:ind w:left="720" w:hanging="360"/>
      </w:pPr>
      <w:r>
        <w:rPr/>
        <w:t xml:space="preserve">• build a general social network or pay to compete on influencer content volume;</w:t>
      </w:r>
    </w:p>
    <w:p>
      <w:pPr>
        <w:ind w:left="720" w:hanging="360"/>
      </w:pPr>
      <w:r>
        <w:rPr/>
        <w:t xml:space="preserve">• make diagnosis, treatment or individual medical claims through AI;</w:t>
      </w:r>
    </w:p>
    <w:p>
      <w:pPr>
        <w:ind w:left="720" w:hanging="360"/>
      </w:pPr>
      <w:r>
        <w:rPr/>
        <w:t xml:space="preserve">• expand nationally before a city cluster has density and positive cohort economics;</w:t>
      </w:r>
    </w:p>
    <w:p>
      <w:pPr>
        <w:ind w:left="720" w:hanging="360"/>
      </w:pPr>
      <w:r>
        <w:rPr/>
        <w:t xml:space="preserve">• treat GMV, wallet deposits or app registrations as revenue; or</w:t>
      </w:r>
    </w:p>
    <w:p>
      <w:pPr>
        <w:ind w:left="720" w:hanging="360"/>
      </w:pPr>
      <w:r>
        <w:rPr/>
        <w:t xml:space="preserve">• monetise member trust through targeted advertising based on sensitive data.</w:t>
      </w:r>
    </w:p>
    <w:p>
      <w:pPr>
        <w:pStyle w:val="Heading1"/>
      </w:pPr>
      <w:r>
        <w:rPr>
          <w:b/>
          <w:color w:val="007F61"/>
          <w:sz w:val="28"/>
          <w:szCs w:val="28"/>
        </w:rPr>
        <w:t xml:space="preserve">36-month sequence</w:t>
      </w:r>
    </w:p>
    <w:p>
      <w:pPr/>
      <w:r>
        <w:rPr/>
        <w:t xml:space="preserve">Months 0–3: Design-partner pilot, controlled payments, trust-and-safety operations and core accountability loop.</w:t>
      </w:r>
    </w:p>
    <w:p>
      <w:pPr/>
      <w:r>
        <w:rPr/>
        <w:t xml:space="preserve">Months 3–9: Convert successful partners, launch Coach Pro/Gym Growth, programmes, referrals and partner retention dashboard.</w:t>
      </w:r>
    </w:p>
    <w:p>
      <w:pPr/>
      <w:r>
        <w:rPr/>
        <w:t xml:space="preserve">Months 9–18: Build repeatable Nairobi clusters, selectively introduce Plus and paid cohorts, then prepare a second city only with anchors.</w:t>
      </w:r>
    </w:p>
    <w:p>
      <w:pPr/>
      <w:r>
        <w:rPr/>
        <w:t xml:space="preserve">Months 18–36: Workplace pilots, curated offers, integrations and selected regional expansion after local compliance and partner commitment.</w:t>
      </w:r>
    </w:p>
    <w:p>
      <w:pPr>
        <w:pStyle w:val="Heading1"/>
      </w:pPr>
      <w:r>
        <w:rPr>
          <w:b/>
          <w:color w:val="007F61"/>
          <w:sz w:val="28"/>
          <w:szCs w:val="28"/>
        </w:rPr>
        <w:t xml:space="preserve">Decision rule</w:t>
      </w:r>
    </w:p>
    <w:p>
      <w:pPr/>
      <w:r>
        <w:rPr/>
        <w:t xml:space="preserve">Scale only when the preceding stage demonstrates reliable activation, retention, partner willingness to pay and safe operations. If a feature does not increase trust, participation or partner retention, it is not a priority.</w:t>
      </w:r>
    </w:p>
    <w:sectPr>
      <w:pgSz w:w="11906" w:h="16838"/>
      <w:pgMar w:top="1134" w:right="1134" w:bottom="1134" w:left="1134"/>
    </w:sectPr>
  </w:body>
</w:document>
</file>

<file path=word/styles.xml><?xml version="1.0" encoding="utf-8"?>
<w:styles xmlns:w="http://schemas.openxmlformats.org/wordprocessingml/2006/main">
  <w:docDefaults>
    <w:rPrDefault>
      <w:rPr>
        <w:rFonts w:ascii="Aptos" w:hAnsi="Aptos"/>
        <w:sz w:val="21"/>
      </w:rPr>
    </w:rPrDefault>
  </w:docDefaults>
  <w:style w:type="paragraph" w:default="1" w:styleId="Normal">
    <w:name w:val="Normal"/>
  </w:style>
  <w:style w:type="paragraph" w:styleId="Title">
    <w:name w:val="Title"/>
  </w:style>
  <w:style w:type="paragraph" w:styleId="Heading1">
    <w:name w:val="heading 1"/>
  </w:style>
  <w:style w:type="paragraph" w:styleId="Heading2">
    <w:name w:val="heading 2"/>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Bud</Application>
</Properties>
</file>

<file path=docProps/core.xml><?xml version="1.0" encoding="utf-8"?>
<cp:coreProperties xmlns:cp="http://schemas.openxmlformats.org/package/2006/metadata/core-properties" xmlns:dc="http://purl.org/dc/elements/1.1/">
  <dc:title>Bud Strategy 2026</dc:title>
  <dc:creator>Bud</dc:creator>
</cp:coreProperties>
</file>