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A5C"/>
        </w:rPr>
        <w:t>Cofounder Agreement — Finance &amp; Strategy</w:t>
      </w:r>
    </w:p>
    <w:p>
      <w:r>
        <w:rPr>
          <w:b/>
        </w:rPr>
        <w:t>BuddyUp Ltd.</w:t>
      </w:r>
      <w:r>
        <w:t xml:space="preserve"> — Founding Team Heads of Terms (pre-shareholders' agreement)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Candidate</w:t>
            </w:r>
          </w:p>
        </w:tc>
        <w:tc>
          <w:tcPr>
            <w:tcW w:type="dxa" w:w="4824"/>
          </w:tcPr>
          <w:p>
            <w:r/>
            <w:r>
              <w:t>[Full legal name], ID/Passport No. [●]</w:t>
            </w:r>
          </w:p>
        </w:tc>
      </w:tr>
      <w:tr>
        <w:tc>
          <w:tcPr>
            <w:tcW w:type="dxa" w:w="4824"/>
          </w:tcPr>
          <w:p>
            <w:r/>
            <w:r>
              <w:t>Role</w:t>
            </w:r>
          </w:p>
        </w:tc>
        <w:tc>
          <w:tcPr>
            <w:tcW w:type="dxa" w:w="4824"/>
          </w:tcPr>
          <w:p>
            <w:r/>
            <w:r>
              <w:t>Cofounder — Finance, Strategy &amp; Controller</w:t>
            </w:r>
          </w:p>
        </w:tc>
      </w:tr>
      <w:tr>
        <w:tc>
          <w:tcPr>
            <w:tcW w:type="dxa" w:w="4824"/>
          </w:tcPr>
          <w:p>
            <w:r/>
            <w:r>
              <w:t>Proposed equity</w:t>
            </w:r>
          </w:p>
        </w:tc>
        <w:tc>
          <w:tcPr>
            <w:tcW w:type="dxa" w:w="4824"/>
          </w:tcPr>
          <w:p>
            <w:r/>
            <w:r>
              <w:t>[●]% of fully-diluted share capital at grant, subject to the vesting terms in Annex A</w:t>
            </w:r>
          </w:p>
        </w:tc>
      </w:tr>
      <w:tr>
        <w:tc>
          <w:tcPr>
            <w:tcW w:type="dxa" w:w="4824"/>
          </w:tcPr>
          <w:p>
            <w:r/>
            <w:r>
              <w:t>Vesting</w:t>
            </w:r>
          </w:p>
        </w:tc>
        <w:tc>
          <w:tcPr>
            <w:tcW w:type="dxa" w:w="4824"/>
          </w:tcPr>
          <w:p>
            <w:r/>
            <w:r>
              <w:t>4 years monthly, 1-year cliff (Annex A)</w:t>
            </w:r>
          </w:p>
        </w:tc>
      </w:tr>
      <w:tr>
        <w:tc>
          <w:tcPr>
            <w:tcW w:type="dxa" w:w="4824"/>
          </w:tcPr>
          <w:p>
            <w:r/>
            <w:r>
              <w:t>Start date</w:t>
            </w:r>
          </w:p>
        </w:tc>
        <w:tc>
          <w:tcPr>
            <w:tcW w:type="dxa" w:w="4824"/>
          </w:tcPr>
          <w:p>
            <w:r/>
            <w:r>
              <w:t>[●]</w:t>
            </w:r>
          </w:p>
        </w:tc>
      </w:tr>
      <w:tr>
        <w:tc>
          <w:tcPr>
            <w:tcW w:type="dxa" w:w="4824"/>
          </w:tcPr>
          <w:p>
            <w:r/>
            <w:r>
              <w:t>Reporting line</w:t>
            </w:r>
          </w:p>
        </w:tc>
        <w:tc>
          <w:tcPr>
            <w:tcW w:type="dxa" w:w="4824"/>
          </w:tcPr>
          <w:p>
            <w:r/>
            <w:r>
              <w:t>CEO / Board of BuddyUp Ltd.</w:t>
            </w:r>
          </w:p>
        </w:tc>
      </w:tr>
    </w:tbl>
    <w:p/>
    <w:p>
      <w:pPr>
        <w:spacing w:after="160"/>
        <w:ind w:left="360"/>
      </w:pPr>
      <w:r>
        <w:rPr>
          <w:b/>
          <w:i/>
          <w:color w:val="444444"/>
        </w:rPr>
        <w:t>Status:</w:t>
      </w:r>
      <w:r>
        <w:rPr>
          <w:i/>
          <w:color w:val="444444"/>
        </w:rPr>
        <w:t xml:space="preserve"> This is an invitation to join the founding team and a summary of proposed terms. It is not a shareholders' agreement, not an employment contract, and not legal advice. It becomes binding only when superseded by the executed Founders' Shareholders' Agreement (Kenyan law) that all founders will sign together.</w:t>
      </w:r>
    </w:p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1. Why this seat exists</w:t>
      </w:r>
    </w:p>
    <w:p>
      <w:r>
        <w:t xml:space="preserve">BuddyUp is raising </w:t>
      </w:r>
      <w:r>
        <w:rPr>
          <w:b/>
        </w:rPr>
        <w:t>KSh 50 million for an 18-month runway</w:t>
      </w:r>
      <w:r>
        <w:t>, with a conservative model</w:t>
      </w:r>
    </w:p>
    <w:p>
      <w:r>
        <w:t>showing ~KSh 41m needed for 24 months before contingency. Money moves through M-PESA and</w:t>
      </w:r>
    </w:p>
    <w:p>
      <w:r>
        <w:t>card rails to gyms, coaches and creators; artifacts exist only as non-cash loyalty</w:t>
      </w:r>
    </w:p>
    <w:p>
      <w:r>
        <w:t>tokens, deliberately kept away from CBK stored-value territory. The funded plan includes</w:t>
      </w:r>
    </w:p>
    <w:p>
      <w:r>
        <w:t>a payment-operations budget and a board-controlled contingency reserve.</w:t>
      </w:r>
    </w:p>
    <w:p>
      <w:r>
        <w:t>That plan needs an owner: someone who keeps cash truthful, settlements clean, the model</w:t>
      </w:r>
    </w:p>
    <w:p>
      <w:r>
        <w:t>current, and the company fundable.</w:t>
      </w:r>
    </w:p>
    <w:p>
      <w:pPr>
        <w:pStyle w:val="Heading2"/>
      </w:pPr>
      <w:r>
        <w:rPr>
          <w:color w:val="1A1A1A"/>
        </w:rPr>
        <w:t>2. Mandate</w:t>
      </w:r>
    </w:p>
    <w:p>
      <w:r>
        <w:t>Own everything financial and the strategy cadence around it:</w:t>
      </w:r>
    </w:p>
    <w:p>
      <w:pPr>
        <w:pStyle w:val="ListNumber"/>
      </w:pPr>
      <w:r>
        <w:rPr>
          <w:b/>
        </w:rPr>
        <w:t>Controller duties</w:t>
      </w:r>
    </w:p>
    <w:p>
      <w:pPr>
        <w:pStyle w:val="ListBullet2"/>
      </w:pPr>
      <w:r>
        <w:t>Set up and own the accounting system (Kenyan GAAP/IFRS-SME as advised), monthly</w:t>
      </w:r>
    </w:p>
    <w:p>
      <w:r>
        <w:t>close by working day 10, and a single source of truth dashboard: cash, burn,</w:t>
      </w:r>
    </w:p>
    <w:p>
      <w:r>
        <w:t>revenue by stream (Partner SaaS / commissions / Plus), receivables.</w:t>
      </w:r>
    </w:p>
    <w:p>
      <w:pPr>
        <w:pStyle w:val="ListBullet2"/>
      </w:pPr>
      <w:r>
        <w:t>Own M-PESA/card reconciliation against platform ledgers with the Security</w:t>
      </w:r>
    </w:p>
    <w:p>
      <w:r>
        <w:t>cofounder; every shilling authorised, documented and matched.</w:t>
      </w:r>
    </w:p>
    <w:p>
      <w:pPr>
        <w:pStyle w:val="ListBullet2"/>
      </w:pPr>
      <w:r>
        <w:t>Statutory compliance calendar: KRA filings (VAT/PAYE/corporate), annual returns,</w:t>
      </w:r>
    </w:p>
    <w:p>
      <w:r>
        <w:t>audit readiness when required.</w:t>
      </w:r>
    </w:p>
    <w:p>
      <w:pPr>
        <w:pStyle w:val="ListNumber"/>
      </w:pPr>
      <w:r>
        <w:rPr>
          <w:b/>
        </w:rPr>
        <w:t>Refunds, disputes &amp; partner settlement</w:t>
      </w:r>
    </w:p>
    <w:p>
      <w:pPr>
        <w:pStyle w:val="ListBullet2"/>
      </w:pPr>
      <w:r>
        <w:t>Administer the refund/dispute buffer per policy (with Legal); run controlled</w:t>
      </w:r>
    </w:p>
    <w:p>
      <w:r>
        <w:t>partner settlement cycles; ensure the company never holds unauthorised customer funds.</w:t>
      </w:r>
    </w:p>
    <w:p>
      <w:pPr>
        <w:pStyle w:val="ListNumber"/>
      </w:pPr>
      <w:r>
        <w:rPr>
          <w:b/>
        </w:rPr>
        <w:t>Planning &amp; runway</w:t>
      </w:r>
    </w:p>
    <w:p>
      <w:pPr>
        <w:pStyle w:val="ListBullet2"/>
      </w:pPr>
      <w:r>
        <w:t>Maintain the bottom-up 24-month operating model; refresh the cash forecast</w:t>
      </w:r>
    </w:p>
    <w:p>
      <w:r>
        <w:t>monthly; flag variance &gt;10% to the founders within the same month.</w:t>
      </w:r>
    </w:p>
    <w:p>
      <w:pPr>
        <w:pStyle w:val="ListBullet2"/>
      </w:pPr>
      <w:r>
        <w:t>Administer the board-controlled contingency release process exactly as written</w:t>
      </w:r>
    </w:p>
    <w:p>
      <w:r>
        <w:t>in the funding plan — unused contingency stays uncommitted.</w:t>
      </w:r>
    </w:p>
    <w:p>
      <w:pPr>
        <w:pStyle w:val="ListNumber"/>
      </w:pPr>
      <w:r>
        <w:rPr>
          <w:b/>
        </w:rPr>
        <w:t>Fundraising</w:t>
      </w:r>
    </w:p>
    <w:p>
      <w:pPr>
        <w:pStyle w:val="ListBullet2"/>
      </w:pPr>
      <w:r>
        <w:t>Own data-room discipline from day one (cap table, contracts, metrics).</w:t>
      </w:r>
    </w:p>
    <w:p>
      <w:pPr>
        <w:pStyle w:val="ListBullet2"/>
      </w:pPr>
      <w:r>
        <w:t>Co-build seed materials with the CEO; run investor follow-ups and diligence;</w:t>
      </w:r>
    </w:p>
    <w:p>
      <w:r>
        <w:t>keep the cap table clean and option-pool maths honest.</w:t>
      </w:r>
    </w:p>
    <w:p>
      <w:pPr>
        <w:pStyle w:val="ListNumber"/>
      </w:pPr>
      <w:r>
        <w:rPr>
          <w:b/>
        </w:rPr>
        <w:t>Strategy cadence</w:t>
      </w:r>
    </w:p>
    <w:p>
      <w:pPr>
        <w:pStyle w:val="ListBullet2"/>
      </w:pPr>
      <w:r>
        <w:t>Run quarterly strategy reviews against the business model doc; keep the KPI tree</w:t>
      </w:r>
    </w:p>
    <w:p>
      <w:r>
        <w:t>(activated members → paying partners → revenue) current; kill zombie initiatives</w:t>
      </w:r>
    </w:p>
    <w:p>
      <w:r>
        <w:t>in writing.</w:t>
      </w:r>
    </w:p>
    <w:p>
      <w:pPr>
        <w:pStyle w:val="Heading2"/>
      </w:pPr>
      <w:r>
        <w:rPr>
          <w:color w:val="1A1A1A"/>
        </w:rPr>
        <w:t>3. Decision rights</w:t>
      </w:r>
    </w:p>
    <w:p>
      <w:pPr>
        <w:pStyle w:val="ListBullet"/>
      </w:pPr>
      <w:r>
        <w:rPr>
          <w:b/>
        </w:rPr>
        <w:t>Owns:</w:t>
      </w:r>
      <w:r>
        <w:t xml:space="preserve"> banking/signatory setup (joint control with CEO above [●] KSh),</w:t>
      </w:r>
    </w:p>
    <w:p>
      <w:r>
        <w:t>accounting tooling, bookkeeper/auditor engagement, monthly reporting format.</w:t>
      </w:r>
    </w:p>
    <w:p>
      <w:pPr>
        <w:pStyle w:val="ListBullet"/>
      </w:pPr>
      <w:r>
        <w:rPr>
          <w:b/>
        </w:rPr>
        <w:t>Veto (with written reasons):</w:t>
      </w:r>
      <w:r>
        <w:t xml:space="preserve"> any spend outside the approved plan that reduces</w:t>
      </w:r>
    </w:p>
    <w:p>
      <w:r>
        <w:t>runway below 9 months without founder consensus; any payment flow that could be</w:t>
      </w:r>
    </w:p>
    <w:p>
      <w:r>
        <w:t>construed as holding customer funds.</w:t>
      </w:r>
    </w:p>
    <w:p>
      <w:pPr>
        <w:pStyle w:val="ListBullet"/>
      </w:pPr>
      <w:r>
        <w:rPr>
          <w:b/>
        </w:rPr>
        <w:t>Joint sign-off (CEO + Finance):</w:t>
      </w:r>
      <w:r>
        <w:t xml:space="preserve"> all contracts &gt;[●] KSh, hiring beyond plan,</w:t>
      </w:r>
    </w:p>
    <w:p>
      <w:r>
        <w:t>contingency releases, pricing architecture changes.</w:t>
      </w:r>
    </w:p>
    <w:p>
      <w:pPr>
        <w:pStyle w:val="Heading2"/>
      </w:pPr>
      <w:r>
        <w:rPr>
          <w:color w:val="1A1A1A"/>
        </w:rPr>
        <w:t>4. Commitment</w:t>
      </w:r>
    </w:p>
    <w:p>
      <w:pPr>
        <w:pStyle w:val="ListBullet"/>
      </w:pPr>
      <w:r>
        <w:t>Full-time from the start date.</w:t>
      </w:r>
    </w:p>
    <w:p>
      <w:pPr>
        <w:pStyle w:val="ListBullet"/>
      </w:pPr>
      <w:r>
        <w:rPr>
          <w:b/>
        </w:rPr>
        <w:t>Foundations period (first 90 days):</w:t>
      </w:r>
      <w:r>
        <w:t xml:space="preserve"> mutual trial per Annex A.</w:t>
      </w:r>
    </w:p>
    <w:p>
      <w:pPr>
        <w:pStyle w:val="ListBullet"/>
      </w:pPr>
      <w:r>
        <w:t>Directorship expected once the shareholders' agreement is signed.</w:t>
      </w:r>
    </w:p>
    <w:p>
      <w:pPr>
        <w:pStyle w:val="Heading2"/>
      </w:pPr>
      <w:r>
        <w:rPr>
          <w:color w:val="1A1A1A"/>
        </w:rPr>
        <w:t>5. Equity — summary</w:t>
      </w:r>
    </w:p>
    <w:p>
      <w:r>
        <w:t>Grant [●]% fully-diluted at grant; vesting and leaver terms per Annex A.</w:t>
      </w:r>
    </w:p>
    <w:p>
      <w:r>
        <w:t>Equity subject to IP assignment (clause 7) and execution of the shareholders'</w:t>
      </w:r>
    </w:p>
    <w:p>
      <w:r>
        <w:t>agreement.</w:t>
      </w:r>
    </w:p>
    <w:p>
      <w:pPr>
        <w:pStyle w:val="Heading2"/>
      </w:pPr>
      <w:r>
        <w:rPr>
          <w:color w:val="1A1A1A"/>
        </w:rPr>
        <w:t>6. First 90 days — success looks like</w:t>
      </w:r>
    </w:p>
    <w:p>
      <w:pPr>
        <w:pStyle w:val="ListNumber"/>
      </w:pPr>
      <w:r>
        <w:t>Accounting system live; opening balances reconciled; share register and cap table</w:t>
      </w:r>
    </w:p>
    <w:p>
      <w:r>
        <w:t>verified against filings.</w:t>
      </w:r>
    </w:p>
    <w:p>
      <w:pPr>
        <w:pStyle w:val="ListNumber"/>
      </w:pPr>
      <w:r>
        <w:t>Monthly close #1 delivered on time with a one-page burn/variance summary.</w:t>
      </w:r>
    </w:p>
    <w:p>
      <w:pPr>
        <w:pStyle w:val="ListNumber"/>
      </w:pPr>
      <w:r>
        <w:t>M-PESA/card-to-ledger reconciliation running with zero unmatched items older than</w:t>
      </w:r>
    </w:p>
    <w:p>
      <w:r>
        <w:t>14 days.</w:t>
      </w:r>
    </w:p>
    <w:p>
      <w:pPr>
        <w:pStyle w:val="ListNumber"/>
      </w:pPr>
      <w:r>
        <w:t>Data room v1 complete enough for an investor's first diligence request.</w:t>
      </w:r>
    </w:p>
    <w:p>
      <w:pPr>
        <w:pStyle w:val="ListNumber"/>
      </w:pPr>
      <w:r>
        <w:t>Rolling 24-month model refreshed and signed off by all founders; contingency</w:t>
      </w:r>
    </w:p>
    <w:p>
      <w:r>
        <w:t>release protocol documented.</w:t>
      </w:r>
    </w:p>
    <w:p>
      <w:pPr>
        <w:pStyle w:val="Heading2"/>
      </w:pPr>
      <w:r>
        <w:rPr>
          <w:color w:val="1A1A1A"/>
        </w:rPr>
        <w:t>7. IP, confidentiality &amp; conflicts</w:t>
      </w:r>
    </w:p>
    <w:p>
      <w:pPr>
        <w:pStyle w:val="ListBullet"/>
      </w:pPr>
      <w:r>
        <w:t>All models, dashboards, playbooks and documents belong to BuddyUp Ltd. from creation.</w:t>
      </w:r>
    </w:p>
    <w:p>
      <w:pPr>
        <w:pStyle w:val="ListBullet"/>
      </w:pPr>
      <w:r>
        <w:t>Financial confidentiality is indefinite and starts now; personal conflicts and</w:t>
      </w:r>
    </w:p>
    <w:p>
      <w:r>
        <w:t>other directorships must be declared before signature.</w:t>
      </w:r>
    </w:p>
    <w:p>
      <w:pPr>
        <w:pStyle w:val="ListBullet"/>
      </w:pPr>
      <w:r>
        <w:t>You will handle inside information (fundraise, metrics); market abuse and insider</w:t>
      </w:r>
    </w:p>
    <w:p>
      <w:r>
        <w:t>dealing obligations are taken seriously from day one.</w:t>
      </w:r>
    </w:p>
    <w:p>
      <w:pPr>
        <w:pStyle w:val="Heading2"/>
      </w:pPr>
      <w:r>
        <w:rPr>
          <w:color w:val="1A1A1A"/>
        </w:rPr>
        <w:t>8. Conditions precedent</w:t>
      </w:r>
    </w:p>
    <w:p>
      <w:pPr>
        <w:pStyle w:val="ListNumber"/>
      </w:pPr>
      <w:r>
        <w:t>Executed Founders' Shareholders' Agreement (Kenyan advocate drafted).</w:t>
      </w:r>
    </w:p>
    <w:p>
      <w:pPr>
        <w:pStyle w:val="ListNumber"/>
      </w:pPr>
      <w:r>
        <w:t>Bank mandate updated; signatory KYC completed.</w:t>
      </w:r>
    </w:p>
    <w:p>
      <w:pPr>
        <w:pStyle w:val="ListNumber"/>
      </w:pPr>
      <w:r>
        <w:t>Declaration of conflicts; credit/reference check consent (standard for the role).</w:t>
      </w:r>
    </w:p>
    <w:p>
      <w:pPr>
        <w:pStyle w:val="Heading2"/>
      </w:pPr>
      <w:r>
        <w:rPr>
          <w:color w:val="1A1A1A"/>
        </w:rPr>
        <w:t>Signatures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 BuddyUp Ltd.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</w:tr>
      <w:tr>
        <w:tc>
          <w:tcPr>
            <w:tcW w:type="dxa" w:w="4824"/>
          </w:tcPr>
          <w:p>
            <w:r/>
            <w:r>
              <w:t>Name: [●]</w:t>
            </w:r>
          </w:p>
        </w:tc>
        <w:tc>
          <w:tcPr>
            <w:tcW w:type="dxa" w:w="4824"/>
          </w:tcPr>
          <w:p>
            <w:r/>
            <w:r>
              <w:t>Name: [Full legal name]</w:t>
            </w:r>
          </w:p>
        </w:tc>
      </w:tr>
      <w:tr>
        <w:tc>
          <w:tcPr>
            <w:tcW w:type="dxa" w:w="4824"/>
          </w:tcPr>
          <w:p>
            <w:r/>
            <w:r>
              <w:t>Title: Founder/CEO</w:t>
            </w:r>
          </w:p>
        </w:tc>
        <w:tc>
          <w:tcPr>
            <w:tcW w:type="dxa" w:w="4824"/>
          </w:tcPr>
          <w:p>
            <w:r/>
            <w:r>
              <w:t>ID/Passport: [●]</w:t>
            </w:r>
          </w:p>
        </w:tc>
      </w:tr>
      <w:tr>
        <w:tc>
          <w:tcPr>
            <w:tcW w:type="dxa" w:w="4824"/>
          </w:tcPr>
          <w:p>
            <w:r/>
            <w:r>
              <w:t>Signature: ________________ Date: ______</w:t>
            </w:r>
          </w:p>
        </w:tc>
        <w:tc>
          <w:tcPr>
            <w:tcW w:type="dxa" w:w="4824"/>
          </w:tcPr>
          <w:p>
            <w:r/>
            <w:r>
              <w:t>Signature: ________________ Date: ______</w:t>
            </w:r>
          </w:p>
        </w:tc>
      </w:tr>
    </w:tbl>
    <w:p/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Annex A — Vesting schedule</w:t>
      </w:r>
    </w:p>
    <w:p>
      <w:r>
        <w:rPr>
          <w:i/>
        </w:rPr>
        <w:t>(Identical across all founder agreements.)</w:t>
      </w:r>
    </w:p>
    <w:p>
      <w:pPr>
        <w:pStyle w:val="ListNumber"/>
      </w:pPr>
      <w:r>
        <w:t>Grant of [●]% fully-diluted at grant, recorded in the share register.</w:t>
      </w:r>
    </w:p>
    <w:p>
      <w:pPr>
        <w:pStyle w:val="ListNumber"/>
      </w:pPr>
      <w:r>
        <w:t>12-month cliff (25% retroactive), then monthly vesting over 36 months.</w:t>
      </w:r>
    </w:p>
    <w:p>
      <w:pPr>
        <w:pStyle w:val="ListNumber"/>
      </w:pPr>
      <w:r>
        <w:t>Good leaver / bad leaver provisions per the shareholders' agreement;</w:t>
      </w:r>
    </w:p>
    <w:p>
      <w:r>
        <w:t>unvested shares cancel on departure.</w:t>
      </w:r>
    </w:p>
    <w:p>
      <w:pPr>
        <w:pStyle w:val="ListNumber"/>
      </w:pPr>
      <w:r>
        <w:t>No single-trigger acceleration; double-trigger = 50% acceleration of unvested shares.</w:t>
      </w:r>
    </w:p>
    <w:p>
      <w:pPr>
        <w:pStyle w:val="ListNumber"/>
      </w:pPr>
      <w:r>
        <w:t>Pro-rata dilution in future rounds; option-pool changes require unanimous founder consent.</w:t>
      </w:r>
    </w:p>
    <w:p>
      <w:pPr>
        <w:pStyle w:val="ListNumber"/>
      </w:pPr>
      <w:r>
        <w:t>Founder share transfers restricted by pre-emption rights in the shareholders' agreement.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