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8A5C"/>
        </w:rPr>
        <w:t>Cofounder Agreements — BuddyUp Ltd.</w:t>
      </w:r>
    </w:p>
    <w:p>
      <w:r>
        <w:t>Offer-ready cofounder agreements for the four open founding seats. Each document is a</w:t>
      </w:r>
    </w:p>
    <w:p>
      <w:r>
        <w:t>personalised heads-of-terms: it sets out the role, equity framework, commitments and</w:t>
      </w:r>
    </w:p>
    <w:p>
      <w:r>
        <w:t>conditions before a formal shareholders' agreement is signed.</w:t>
      </w:r>
    </w:p>
    <w:p>
      <w:pPr>
        <w:pStyle w:val="Heading2"/>
      </w:pPr>
      <w:r>
        <w:rPr>
          <w:color w:val="1A1A1A"/>
        </w:rPr>
        <w:t>Documents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Seat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One-line mandate</w:t>
            </w:r>
          </w:p>
        </w:tc>
      </w:tr>
      <w:tr>
        <w:tc>
          <w:tcPr>
            <w:tcW w:type="dxa" w:w="3216"/>
          </w:tcPr>
          <w:p>
            <w:r/>
            <w:r>
              <w:t>Legal &amp; Research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legal-research.md</w:t>
            </w:r>
            <w:r>
              <w:t>](legal-research.md)</w:t>
            </w:r>
          </w:p>
        </w:tc>
        <w:tc>
          <w:tcPr>
            <w:tcW w:type="dxa" w:w="3216"/>
          </w:tcPr>
          <w:p>
            <w:r/>
            <w:r>
              <w:t>Keep BuddyUp inside Kenya's fitness/wellness regulatory lines and turn research into product decisions</w:t>
            </w:r>
          </w:p>
        </w:tc>
      </w:tr>
      <w:tr>
        <w:tc>
          <w:tcPr>
            <w:tcW w:type="dxa" w:w="3216"/>
          </w:tcPr>
          <w:p>
            <w:r/>
            <w:r>
              <w:t>Marketing &amp; Sales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marketing-sales.md</w:t>
            </w:r>
            <w:r>
              <w:t>](marketing-sales.md)</w:t>
            </w:r>
          </w:p>
        </w:tc>
        <w:tc>
          <w:tcPr>
            <w:tcW w:type="dxa" w:w="3216"/>
          </w:tcPr>
          <w:p>
            <w:r/>
            <w:r>
              <w:t>Own demand: design partners, paying gyms/coaches, member activation</w:t>
            </w:r>
          </w:p>
        </w:tc>
      </w:tr>
      <w:tr>
        <w:tc>
          <w:tcPr>
            <w:tcW w:type="dxa" w:w="3216"/>
          </w:tcPr>
          <w:p>
            <w:r/>
            <w:r>
              <w:t>Security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security.md</w:t>
            </w:r>
            <w:r>
              <w:t>](security.md)</w:t>
            </w:r>
          </w:p>
        </w:tc>
        <w:tc>
          <w:tcPr>
            <w:tcW w:type="dxa" w:w="3216"/>
          </w:tcPr>
          <w:p>
            <w:r/>
            <w:r>
              <w:t>Own trust: platform, payment and data security end-to-end</w:t>
            </w:r>
          </w:p>
        </w:tc>
      </w:tr>
      <w:tr>
        <w:tc>
          <w:tcPr>
            <w:tcW w:type="dxa" w:w="3216"/>
          </w:tcPr>
          <w:p>
            <w:r/>
            <w:r>
              <w:t>Finance &amp; Strategy</w:t>
            </w:r>
          </w:p>
        </w:tc>
        <w:tc>
          <w:tcPr>
            <w:tcW w:type="dxa" w:w="3216"/>
          </w:tcPr>
          <w:p>
            <w:r/>
            <w:r>
              <w:t>[</w:t>
            </w:r>
            <w:r>
              <w:rPr>
                <w:rFonts w:ascii="Consolas" w:hAnsi="Consolas"/>
                <w:sz w:val="20"/>
              </w:rPr>
              <w:t>finance-strategy.md</w:t>
            </w:r>
            <w:r>
              <w:t>](finance-strategy.md)</w:t>
            </w:r>
          </w:p>
        </w:tc>
        <w:tc>
          <w:tcPr>
            <w:tcW w:type="dxa" w:w="3216"/>
          </w:tcPr>
          <w:p>
            <w:r/>
            <w:r>
              <w:t>Own the money and the plan: burn, reconciliation, fundraising readiness</w:t>
            </w:r>
          </w:p>
        </w:tc>
      </w:tr>
    </w:tbl>
    <w:p/>
    <w:p>
      <w:pPr>
        <w:pStyle w:val="Heading2"/>
      </w:pPr>
      <w:r>
        <w:rPr>
          <w:color w:val="1A1A1A"/>
        </w:rPr>
        <w:t>How to use these documents</w:t>
      </w:r>
    </w:p>
    <w:p>
      <w:pPr>
        <w:pStyle w:val="ListNumber"/>
      </w:pPr>
      <w:r>
        <w:t xml:space="preserve">Fill every </w:t>
      </w:r>
      <w:r>
        <w:rPr>
          <w:rFonts w:ascii="Consolas" w:hAnsi="Consolas"/>
          <w:sz w:val="20"/>
        </w:rPr>
        <w:t>[●]</w:t>
      </w:r>
      <w:r>
        <w:t xml:space="preserve"> placeholder (name, ID/passport, equity %, start date, notice details).</w:t>
      </w:r>
    </w:p>
    <w:p>
      <w:pPr>
        <w:pStyle w:val="ListNumber"/>
      </w:pPr>
      <w:r>
        <w:t>Send the relevant file together with the latest business model doc</w:t>
      </w:r>
    </w:p>
    <w:p>
      <w:r>
        <w:t>(</w:t>
      </w:r>
      <w:r>
        <w:rPr>
          <w:rFonts w:ascii="Consolas" w:hAnsi="Consolas"/>
          <w:sz w:val="20"/>
        </w:rPr>
        <w:t>../buddyup_regulated_business_model_2026.md</w:t>
      </w:r>
      <w:r>
        <w:t>) so the candidate sees the same reality you see.</w:t>
      </w:r>
    </w:p>
    <w:p>
      <w:pPr>
        <w:pStyle w:val="ListNumber"/>
      </w:pPr>
      <w:r>
        <w:t>Give candidates at least one week and access to counsel before signing.</w:t>
      </w:r>
    </w:p>
    <w:p>
      <w:pPr>
        <w:pStyle w:val="ListNumber"/>
      </w:pPr>
      <w:r>
        <w:t xml:space="preserve">On signature of all four, convert to a single formal </w:t>
      </w:r>
      <w:r>
        <w:rPr>
          <w:b/>
        </w:rPr>
        <w:t>Founders' Shareholders' Agreement</w:t>
      </w:r>
    </w:p>
    <w:p>
      <w:r>
        <w:t>(Kenyan law, advocate-drafted). These documents are designed to slot into that agreement</w:t>
      </w:r>
    </w:p>
    <w:p>
      <w:r>
        <w:t>without renegotiation.</w:t>
      </w:r>
    </w:p>
    <w:p>
      <w:pPr>
        <w:pStyle w:val="Heading2"/>
      </w:pPr>
      <w:r>
        <w:rPr>
          <w:color w:val="1A1A1A"/>
        </w:rPr>
        <w:t>Shared terms across all four agreements</w:t>
      </w:r>
    </w:p>
    <w:p>
      <w:pPr>
        <w:pStyle w:val="ListBullet"/>
      </w:pPr>
      <w:r>
        <w:rPr>
          <w:b/>
        </w:rPr>
        <w:t>Company:</w:t>
      </w:r>
      <w:r>
        <w:t xml:space="preserve"> BuddyUp Ltd., incorporated in the Republic of Kenya.</w:t>
      </w:r>
    </w:p>
    <w:p>
      <w:pPr>
        <w:pStyle w:val="ListBullet"/>
      </w:pPr>
      <w:r>
        <w:rPr>
          <w:b/>
        </w:rPr>
        <w:t>Vesting:</w:t>
      </w:r>
      <w:r>
        <w:t xml:space="preserve"> all founder equity vests monthly over 4 years with a 1-year cliff;</w:t>
      </w:r>
    </w:p>
    <w:p>
      <w:r>
        <w:t>unvested shares on leaving revert to the company or remaining founders.</w:t>
      </w:r>
    </w:p>
    <w:p>
      <w:pPr>
        <w:pStyle w:val="ListBullet"/>
      </w:pPr>
      <w:r>
        <w:rPr>
          <w:b/>
        </w:rPr>
        <w:t>Trial:</w:t>
      </w:r>
      <w:r>
        <w:t xml:space="preserve"> the first 90 days are a mutual foundations period — either party may end</w:t>
      </w:r>
    </w:p>
    <w:p>
      <w:r>
        <w:t>the engagement before the cliff with no hard feelings and no vested equity.</w:t>
      </w:r>
    </w:p>
    <w:p>
      <w:pPr>
        <w:pStyle w:val="ListBullet"/>
      </w:pPr>
      <w:r>
        <w:rPr>
          <w:b/>
        </w:rPr>
        <w:t>IP &amp; confidentiality:</w:t>
      </w:r>
      <w:r>
        <w:t xml:space="preserve"> all work product assigns to the company from day one;</w:t>
      </w:r>
    </w:p>
    <w:p>
      <w:r>
        <w:t>confidentiality survives exit indefinitely; fiduciary duty applies while a director.</w:t>
      </w:r>
    </w:p>
    <w:p>
      <w:pPr>
        <w:pStyle w:val="ListBullet"/>
      </w:pPr>
      <w:r>
        <w:rPr>
          <w:b/>
        </w:rPr>
        <w:t>Dilution:</w:t>
      </w:r>
      <w:r>
        <w:t xml:space="preserve"> normal — future rounds dilute everyone proportionally; no founder top-ups</w:t>
      </w:r>
    </w:p>
    <w:p>
      <w:r>
        <w:t>without unanimous consent.</w:t>
      </w:r>
    </w:p>
    <w:p>
      <w:pPr>
        <w:pStyle w:val="ListBullet"/>
      </w:pPr>
      <w:r>
        <w:rPr>
          <w:b/>
        </w:rPr>
        <w:t>Not legal advice:</w:t>
      </w:r>
      <w:r>
        <w:t xml:space="preserve"> these templates must be reviewed by a Kenyan advocate before signing.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