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pPr>
        <w:spacing w:after="60"/>
      </w:pPr>
      <w:r>
        <w:rPr>
          <w:b/>
          <w:sz w:val="40"/>
          <w:color w:val="0F2942"/>
        </w:rPr>
        <w:t xml:space="preserve">ARGUS — How the System Works</w:t>
      </w:r>
    </w:p>
    <w:p>
      <w:pPr>
        <w:spacing w:after="240"/>
      </w:pPr>
      <w:r>
        <w:rPr>
          <w:i/>
          <w:sz w:val="22"/>
          <w:color w:val="4A5A6A"/>
        </w:rPr>
        <w:t xml:space="preserve">National DNS Caching-Server Health &amp; Cache-Poisoning Monitoring System</w:t>
      </w:r>
    </w:p>
    <w:p>
      <w:pPr>
        <w:spacing w:before="240" w:after="80"/>
        <w:pBdr>
          <w:bottom w:val="single" w:sz="10" w:space="2" w:color="1F5C96"/>
        </w:pBdr>
      </w:pPr>
      <w:r>
        <w:rPr>
          <w:b/>
          <w:sz w:val="26"/>
          <w:color w:val="1F5C96"/>
        </w:rPr>
        <w:t xml:space="preserve">1. What ARGUS does</w:t>
      </w:r>
    </w:p>
    <w:p>
      <w:pPr>
        <w:spacing w:after="120"/>
      </w:pPr>
      <w:r>
        <w:rPr>
          <w:sz w:val="23"/>
          <w:color w:val="1A1A1A"/>
        </w:rPr>
        <w:t xml:space="preserve">Every ISP and organisation runs a caching DNS resolver. A cache can be poisoned — an attacker plants a wrong address in it, so everyone using that resolver is sent to the wrong place. ARGUS is a monitoring system that watches these resolvers, from one central machine, every minute, and reports whether any of them is serving a hijacked answer.</w:t>
      </w:r>
    </w:p>
    <w:p>
      <w:pPr>
        <w:spacing w:after="120"/>
      </w:pPr>
      <w:r>
        <w:rPr>
          <w:sz w:val="23"/>
          <w:color w:val="1A1A1A"/>
        </w:rPr>
        <w:t xml:space="preserve">ARGUS is not a DNS server. It holds no cache and has no users — it is a measuring instrument pointed at other resolvers.</w:t>
      </w:r>
    </w:p>
    <w:p>
      <w:pPr>
        <w:spacing w:before="240" w:after="80"/>
        <w:pBdr>
          <w:bottom w:val="single" w:sz="10" w:space="2" w:color="1F5C96"/>
        </w:pBdr>
      </w:pPr>
      <w:r>
        <w:rPr>
          <w:b/>
          <w:sz w:val="26"/>
          <w:color w:val="1F5C96"/>
        </w:rPr>
        <w:t xml:space="preserve">2. How it detects a hijack — the two paths</w:t>
      </w:r>
    </w:p>
    <w:p>
      <w:pPr>
        <w:spacing w:after="120"/>
      </w:pPr>
      <w:r>
        <w:rPr>
          <w:sz w:val="23"/>
          <w:color w:val="1A1A1A"/>
        </w:rPr>
        <w:t xml:space="preserve">For each domain, ARGUS resolves the same name twice and compares:</w:t>
      </w:r>
    </w:p>
    <w:tbl>
      <w:tblPr>
        <w:tblW w:w="900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1500"/>
        <w:gridCol w:w="3000"/>
        <w:gridCol w:w="4500"/>
      </w:tblGrid>
      <w:tr>
        <w:tc>
          <w:tcPr>
            <w:tcW w:w="1500" w:type="dxa"/>
            <w:shd w:val="clear" w:fill="EAF1F8"/>
          </w:tcPr>
          <w:p>
            <w:pPr>
              <w:spacing w:after="0"/>
            </w:pPr>
            <w:r>
              <w:rPr>
                <w:b/>
                <w:sz w:val="21"/>
                <w:color w:val="0F2942"/>
              </w:rPr>
              <w:t xml:space="preserve">Path</w:t>
            </w:r>
          </w:p>
        </w:tc>
        <w:tc>
          <w:tcPr>
            <w:tcW w:w="3000" w:type="dxa"/>
            <w:shd w:val="clear" w:fill="EAF1F8"/>
          </w:tcPr>
          <w:p>
            <w:pPr>
              <w:spacing w:after="0"/>
            </w:pPr>
            <w:r>
              <w:rPr>
                <w:b/>
                <w:sz w:val="21"/>
                <w:color w:val="0F2942"/>
              </w:rPr>
              <w:t xml:space="preserve">Command</w:t>
            </w:r>
          </w:p>
        </w:tc>
        <w:tc>
          <w:tcPr>
            <w:tcW w:w="4500" w:type="dxa"/>
            <w:shd w:val="clear" w:fill="EAF1F8"/>
          </w:tcPr>
          <w:p>
            <w:pPr>
              <w:spacing w:after="0"/>
            </w:pPr>
            <w:r>
              <w:rPr>
                <w:b/>
                <w:sz w:val="21"/>
                <w:color w:val="0F2942"/>
              </w:rPr>
              <w:t xml:space="preserve">Meaning</w:t>
            </w:r>
          </w:p>
        </w:tc>
      </w:tr>
      <w:tr>
        <w:tc>
          <w:tcPr>
            <w:tcW w:w="1500" w:type="dxa"/>
          </w:tcPr>
          <w:p>
            <w:pPr>
              <w:spacing w:after="0"/>
            </w:pPr>
            <w:r>
              <w:rPr>
                <w:sz w:val="21"/>
                <w:color w:val="1A1A1A"/>
              </w:rPr>
              <w:t xml:space="preserve">Untrusted</w:t>
            </w:r>
          </w:p>
        </w:tc>
        <w:tc>
          <w:tcPr>
            <w:tcW w:w="3000" w:type="dxa"/>
          </w:tcPr>
          <w:p>
            <w:pPr>
              <w:spacing w:after="0"/>
            </w:pPr>
            <w:r>
              <w:rPr>
                <w:sz w:val="21"/>
                <w:color w:val="1A1A1A"/>
              </w:rPr>
              <w:t xml:space="preserve">dig @&lt;resolver&gt; &lt;domain&gt;</w:t>
            </w:r>
          </w:p>
        </w:tc>
        <w:tc>
          <w:tcPr>
            <w:tcW w:w="4500" w:type="dxa"/>
          </w:tcPr>
          <w:p>
            <w:pPr>
              <w:spacing w:after="0"/>
            </w:pPr>
            <w:r>
              <w:rPr>
                <w:sz w:val="21"/>
                <w:color w:val="1A1A1A"/>
              </w:rPr>
              <w:t xml:space="preserve">What the monitored cache claims. Never trusted.</w:t>
            </w:r>
          </w:p>
        </w:tc>
      </w:tr>
      <w:tr>
        <w:tc>
          <w:tcPr>
            <w:tcW w:w="1500" w:type="dxa"/>
          </w:tcPr>
          <w:p>
            <w:pPr>
              <w:spacing w:after="0"/>
            </w:pPr>
            <w:r>
              <w:rPr>
                <w:sz w:val="21"/>
                <w:color w:val="1A1A1A"/>
              </w:rPr>
              <w:t xml:space="preserve">Trusted</w:t>
            </w:r>
          </w:p>
        </w:tc>
        <w:tc>
          <w:tcPr>
            <w:tcW w:w="3000" w:type="dxa"/>
          </w:tcPr>
          <w:p>
            <w:pPr>
              <w:spacing w:after="0"/>
            </w:pPr>
            <w:r>
              <w:rPr>
                <w:sz w:val="21"/>
                <w:color w:val="1A1A1A"/>
              </w:rPr>
              <w:t xml:space="preserve">dig +trace &lt;domain&gt;</w:t>
            </w:r>
          </w:p>
        </w:tc>
        <w:tc>
          <w:tcPr>
            <w:tcW w:w="4500" w:type="dxa"/>
          </w:tcPr>
          <w:p>
            <w:pPr>
              <w:spacing w:after="0"/>
            </w:pPr>
            <w:r>
              <w:rPr>
                <w:sz w:val="21"/>
                <w:color w:val="1A1A1A"/>
              </w:rPr>
              <w:t xml:space="preserve">Walked from the root to TLD to authoritative server. The true answer (ground truth).</w:t>
            </w:r>
          </w:p>
        </w:tc>
      </w:tr>
    </w:tbl>
    <w:p>
      <w:pPr>
        <w:spacing w:after="60"/>
      </w:pPr>
      <w:r>
        <w:rPr>
          <w:sz w:val="23"/>
          <w:color w:val="1A1A1A"/>
        </w:rPr>
        <w:t xml:space="preserve"/>
      </w:r>
    </w:p>
    <w:p>
      <w:pPr>
        <w:spacing w:after="120"/>
      </w:pPr>
      <w:r>
        <w:rPr>
          <w:sz w:val="23"/>
          <w:color w:val="1A1A1A"/>
        </w:rPr>
        <w:t xml:space="preserve">The two answers are compared as sets of IP addresses (a domain may have several addresses for load balancing, which is normal).</w:t>
      </w:r>
    </w:p>
    <w:p>
      <w:pPr>
        <w:spacing w:before="240" w:after="80"/>
        <w:pBdr>
          <w:bottom w:val="single" w:sz="10" w:space="2" w:color="1F5C96"/>
        </w:pBdr>
      </w:pPr>
      <w:r>
        <w:rPr>
          <w:b/>
          <w:sz w:val="26"/>
          <w:color w:val="1F5C96"/>
        </w:rPr>
        <w:t xml:space="preserve">3. The four possible results</w:t>
      </w:r>
    </w:p>
    <w:tbl>
      <w:tblPr>
        <w:tblW w:w="900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1500"/>
        <w:gridCol w:w="7500"/>
      </w:tblGrid>
      <w:tr>
        <w:tc>
          <w:tcPr>
            <w:tcW w:w="1500" w:type="dxa"/>
            <w:shd w:val="clear" w:fill="EAF1F8"/>
          </w:tcPr>
          <w:p>
            <w:pPr>
              <w:spacing w:after="0"/>
            </w:pPr>
            <w:r>
              <w:rPr>
                <w:b/>
                <w:sz w:val="21"/>
                <w:color w:val="0F2942"/>
              </w:rPr>
              <w:t xml:space="preserve">Result</w:t>
            </w:r>
          </w:p>
        </w:tc>
        <w:tc>
          <w:tcPr>
            <w:tcW w:w="7500" w:type="dxa"/>
            <w:shd w:val="clear" w:fill="EAF1F8"/>
          </w:tcPr>
          <w:p>
            <w:pPr>
              <w:spacing w:after="0"/>
            </w:pPr>
            <w:r>
              <w:rPr>
                <w:b/>
                <w:sz w:val="21"/>
                <w:color w:val="0F2942"/>
              </w:rPr>
              <w:t xml:space="preserve">Meaning</w:t>
            </w:r>
          </w:p>
        </w:tc>
      </w:tr>
      <w:tr>
        <w:tc>
          <w:tcPr>
            <w:tcW w:w="1500" w:type="dxa"/>
          </w:tcPr>
          <w:p>
            <w:pPr>
              <w:spacing w:after="0"/>
            </w:pPr>
            <w:r>
              <w:rPr>
                <w:sz w:val="21"/>
                <w:color w:val="1A1A1A"/>
              </w:rPr>
              <w:t xml:space="preserve">MATCH</w:t>
            </w:r>
          </w:p>
        </w:tc>
        <w:tc>
          <w:tcPr>
            <w:tcW w:w="7500" w:type="dxa"/>
          </w:tcPr>
          <w:p>
            <w:pPr>
              <w:spacing w:after="0"/>
            </w:pPr>
            <w:r>
              <w:rPr>
                <w:sz w:val="21"/>
                <w:color w:val="1A1A1A"/>
              </w:rPr>
              <w:t xml:space="preserve">Resolver's addresses equal the trusted answer. Healthy.</w:t>
            </w:r>
          </w:p>
        </w:tc>
      </w:tr>
      <w:tr>
        <w:tc>
          <w:tcPr>
            <w:tcW w:w="1500" w:type="dxa"/>
          </w:tcPr>
          <w:p>
            <w:pPr>
              <w:spacing w:after="0"/>
            </w:pPr>
            <w:r>
              <w:rPr>
                <w:sz w:val="21"/>
                <w:color w:val="1A1A1A"/>
              </w:rPr>
              <w:t xml:space="preserve">PARTIAL</w:t>
            </w:r>
          </w:p>
        </w:tc>
        <w:tc>
          <w:tcPr>
            <w:tcW w:w="7500" w:type="dxa"/>
          </w:tcPr>
          <w:p>
            <w:pPr>
              <w:spacing w:after="0"/>
            </w:pPr>
            <w:r>
              <w:rPr>
                <w:sz w:val="21"/>
                <w:color w:val="1A1A1A"/>
              </w:rPr>
              <w:t xml:space="preserve">A subset — usually load balancing, not an attack.</w:t>
            </w:r>
          </w:p>
        </w:tc>
      </w:tr>
      <w:tr>
        <w:tc>
          <w:tcPr>
            <w:tcW w:w="1500" w:type="dxa"/>
          </w:tcPr>
          <w:p>
            <w:pPr>
              <w:spacing w:after="0"/>
            </w:pPr>
            <w:r>
              <w:rPr>
                <w:sz w:val="21"/>
                <w:color w:val="1A1A1A"/>
              </w:rPr>
              <w:t xml:space="preserve">MISMATCH</w:t>
            </w:r>
          </w:p>
        </w:tc>
        <w:tc>
          <w:tcPr>
            <w:tcW w:w="7500" w:type="dxa"/>
          </w:tcPr>
          <w:p>
            <w:pPr>
              <w:spacing w:after="0"/>
            </w:pPr>
            <w:r>
              <w:rPr>
                <w:sz w:val="21"/>
                <w:color w:val="1A1A1A"/>
              </w:rPr>
              <w:t xml:space="preserve">Resolver returned an address the zone never published — the fingerprint of poisoning.</w:t>
            </w:r>
          </w:p>
        </w:tc>
      </w:tr>
      <w:tr>
        <w:tc>
          <w:tcPr>
            <w:tcW w:w="1500" w:type="dxa"/>
          </w:tcPr>
          <w:p>
            <w:pPr>
              <w:spacing w:after="0"/>
            </w:pPr>
            <w:r>
              <w:rPr>
                <w:sz w:val="21"/>
                <w:color w:val="1A1A1A"/>
              </w:rPr>
              <w:t xml:space="preserve">ERROR</w:t>
            </w:r>
          </w:p>
        </w:tc>
        <w:tc>
          <w:tcPr>
            <w:tcW w:w="7500" w:type="dxa"/>
          </w:tcPr>
          <w:p>
            <w:pPr>
              <w:spacing w:after="0"/>
            </w:pPr>
            <w:r>
              <w:rPr>
                <w:sz w:val="21"/>
                <w:color w:val="1A1A1A"/>
              </w:rPr>
              <w:t xml:space="preserve">Resolver did not answer (timeout / unreachable). Not a hijack.</w:t>
            </w:r>
          </w:p>
        </w:tc>
      </w:tr>
    </w:tbl>
    <w:p>
      <w:pPr>
        <w:spacing w:after="60"/>
      </w:pPr>
      <w:r>
        <w:rPr>
          <w:sz w:val="23"/>
          <w:color w:val="1A1A1A"/>
        </w:rPr>
        <w:t xml:space="preserve"/>
      </w:r>
    </w:p>
    <w:p>
      <w:pPr>
        <w:spacing w:after="120"/>
      </w:pPr>
      <w:r>
        <w:rPr>
          <w:b/>
          <w:sz w:val="23"/>
          <w:color w:val="1A1A1A"/>
        </w:rPr>
        <w:t xml:space="preserve">Careful terminology: </w:t>
      </w:r>
      <w:r>
        <w:rPr>
          <w:sz w:val="23"/>
          <w:color w:val="1A1A1A"/>
        </w:rPr>
        <w:t xml:space="preserve">ARGUS never calls a mismatch “confirmed poisoning”. A difference goes through six checks (a second independent walk, cross-check resolvers, DNSSEC, repetition) before it is reported as POSSIBLE cache poisoning — possible, never proven, because a passive observer cannot obtain proof.</w:t>
      </w:r>
    </w:p>
    <w:p>
      <w:pPr>
        <w:spacing w:before="240" w:after="80"/>
        <w:pBdr>
          <w:bottom w:val="single" w:sz="10" w:space="2" w:color="1F5C96"/>
        </w:pBdr>
      </w:pPr>
      <w:r>
        <w:rPr>
          <w:b/>
          <w:sz w:val="26"/>
          <w:color w:val="1F5C96"/>
        </w:rPr>
        <w:t xml:space="preserve">4. How it runs — centralised, every minute</w:t>
      </w:r>
    </w:p>
    <w:p>
      <w:pPr>
        <w:spacing w:after="120"/>
      </w:pPr>
      <w:r>
        <w:rPr>
          <w:sz w:val="23"/>
          <w:color w:val="1A1A1A"/>
        </w:rPr>
        <w:t xml:space="preserve">One central machine runs a sweep every 60 seconds: for each enabled resolver and each watched domain, it performs the two paths, compares them, stores the result, and raises an alert if the evidence supports one. All results are written to one local database (SQLite).</w:t>
      </w:r>
    </w:p>
    <w:p>
      <w:pPr>
        <w:spacing w:before="240" w:after="80"/>
        <w:pBdr>
          <w:bottom w:val="single" w:sz="10" w:space="2" w:color="1F5C96"/>
        </w:pBdr>
      </w:pPr>
      <w:r>
        <w:rPr>
          <w:b/>
          <w:sz w:val="26"/>
          <w:color w:val="1F5C96"/>
        </w:rPr>
        <w:t xml:space="preserve">5. The nine pages</w:t>
      </w:r>
    </w:p>
    <w:tbl>
      <w:tblPr>
        <w:tblW w:w="900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1800"/>
        <w:gridCol w:w="7200"/>
      </w:tblGrid>
      <w:tr>
        <w:tc>
          <w:tcPr>
            <w:tcW w:w="1800" w:type="dxa"/>
            <w:shd w:val="clear" w:fill="EAF1F8"/>
          </w:tcPr>
          <w:p>
            <w:pPr>
              <w:spacing w:after="0"/>
            </w:pPr>
            <w:r>
              <w:rPr>
                <w:b/>
                <w:sz w:val="21"/>
                <w:color w:val="0F2942"/>
              </w:rPr>
              <w:t xml:space="preserve">Page</w:t>
            </w:r>
          </w:p>
        </w:tc>
        <w:tc>
          <w:tcPr>
            <w:tcW w:w="7200" w:type="dxa"/>
            <w:shd w:val="clear" w:fill="EAF1F8"/>
          </w:tcPr>
          <w:p>
            <w:pPr>
              <w:spacing w:after="0"/>
            </w:pPr>
            <w:r>
              <w:rPr>
                <w:b/>
                <w:sz w:val="21"/>
                <w:color w:val="0F2942"/>
              </w:rPr>
              <w:t xml:space="preserve">Shows</w:t>
            </w:r>
          </w:p>
        </w:tc>
      </w:tr>
      <w:tr>
        <w:tc>
          <w:tcPr>
            <w:tcW w:w="1800" w:type="dxa"/>
          </w:tcPr>
          <w:p>
            <w:pPr>
              <w:spacing w:after="0"/>
            </w:pPr>
            <w:r>
              <w:rPr>
                <w:sz w:val="21"/>
                <w:color w:val="1A1A1A"/>
              </w:rPr>
              <w:t xml:space="preserve">Dashboard</w:t>
            </w:r>
          </w:p>
        </w:tc>
        <w:tc>
          <w:tcPr>
            <w:tcW w:w="7200" w:type="dxa"/>
          </w:tcPr>
          <w:p>
            <w:pPr>
              <w:spacing w:after="0"/>
            </w:pPr>
            <w:r>
              <w:rPr>
                <w:sz w:val="21"/>
                <w:color w:val="1A1A1A"/>
              </w:rPr>
              <w:t xml:space="preserve">Overall status: resolvers, domains, findings, response-time chart, national map, schedule.</w:t>
            </w:r>
          </w:p>
        </w:tc>
      </w:tr>
      <w:tr>
        <w:tc>
          <w:tcPr>
            <w:tcW w:w="1800" w:type="dxa"/>
          </w:tcPr>
          <w:p>
            <w:pPr>
              <w:spacing w:after="0"/>
            </w:pPr>
            <w:r>
              <w:rPr>
                <w:sz w:val="21"/>
                <w:color w:val="1A1A1A"/>
              </w:rPr>
              <w:t xml:space="preserve">Resolvers</w:t>
            </w:r>
          </w:p>
        </w:tc>
        <w:tc>
          <w:tcPr>
            <w:tcW w:w="7200" w:type="dxa"/>
          </w:tcPr>
          <w:p>
            <w:pPr>
              <w:spacing w:after="0"/>
            </w:pPr>
            <w:r>
              <w:rPr>
                <w:sz w:val="21"/>
                <w:color w:val="1A1A1A"/>
              </w:rPr>
              <w:t xml:space="preserve">Health of each monitored resolver (verified vs candidate).</w:t>
            </w:r>
          </w:p>
        </w:tc>
      </w:tr>
      <w:tr>
        <w:tc>
          <w:tcPr>
            <w:tcW w:w="1800" w:type="dxa"/>
          </w:tcPr>
          <w:p>
            <w:pPr>
              <w:spacing w:after="0"/>
            </w:pPr>
            <w:r>
              <w:rPr>
                <w:sz w:val="21"/>
                <w:color w:val="1A1A1A"/>
              </w:rPr>
              <w:t xml:space="preserve">Domains</w:t>
            </w:r>
          </w:p>
        </w:tc>
        <w:tc>
          <w:tcPr>
            <w:tcW w:w="7200" w:type="dxa"/>
          </w:tcPr>
          <w:p>
            <w:pPr>
              <w:spacing w:after="0"/>
            </w:pPr>
            <w:r>
              <w:rPr>
                <w:sz w:val="21"/>
                <w:color w:val="1A1A1A"/>
              </w:rPr>
              <w:t xml:space="preserve">The watch-list and how each domain behaved.</w:t>
            </w:r>
          </w:p>
        </w:tc>
      </w:tr>
      <w:tr>
        <w:tc>
          <w:tcPr>
            <w:tcW w:w="1800" w:type="dxa"/>
          </w:tcPr>
          <w:p>
            <w:pPr>
              <w:spacing w:after="0"/>
            </w:pPr>
            <w:r>
              <w:rPr>
                <w:sz w:val="21"/>
                <w:color w:val="1A1A1A"/>
              </w:rPr>
              <w:t xml:space="preserve">Monitoring</w:t>
            </w:r>
          </w:p>
        </w:tc>
        <w:tc>
          <w:tcPr>
            <w:tcW w:w="7200" w:type="dxa"/>
          </w:tcPr>
          <w:p>
            <w:pPr>
              <w:spacing w:after="0"/>
            </w:pPr>
            <w:r>
              <w:rPr>
                <w:sz w:val="21"/>
                <w:color w:val="1A1A1A"/>
              </w:rPr>
              <w:t xml:space="preserve">Run a live check on one domain — the two paths side by side.</w:t>
            </w:r>
          </w:p>
        </w:tc>
      </w:tr>
      <w:tr>
        <w:tc>
          <w:tcPr>
            <w:tcW w:w="1800" w:type="dxa"/>
          </w:tcPr>
          <w:p>
            <w:pPr>
              <w:spacing w:after="0"/>
            </w:pPr>
            <w:r>
              <w:rPr>
                <w:sz w:val="21"/>
                <w:color w:val="1A1A1A"/>
              </w:rPr>
              <w:t xml:space="preserve">Results</w:t>
            </w:r>
          </w:p>
        </w:tc>
        <w:tc>
          <w:tcPr>
            <w:tcW w:w="7200" w:type="dxa"/>
          </w:tcPr>
          <w:p>
            <w:pPr>
              <w:spacing w:after="0"/>
            </w:pPr>
            <w:r>
              <w:rPr>
                <w:sz w:val="21"/>
                <w:color w:val="1A1A1A"/>
              </w:rPr>
              <w:t xml:space="preserve">Every measurement, searchable, with MATCH / MISMATCH / ERROR.</w:t>
            </w:r>
          </w:p>
        </w:tc>
      </w:tr>
      <w:tr>
        <w:tc>
          <w:tcPr>
            <w:tcW w:w="1800" w:type="dxa"/>
          </w:tcPr>
          <w:p>
            <w:pPr>
              <w:spacing w:after="0"/>
            </w:pPr>
            <w:r>
              <w:rPr>
                <w:sz w:val="21"/>
                <w:color w:val="1A1A1A"/>
              </w:rPr>
              <w:t xml:space="preserve">Alerts</w:t>
            </w:r>
          </w:p>
        </w:tc>
        <w:tc>
          <w:tcPr>
            <w:tcW w:w="7200" w:type="dxa"/>
          </w:tcPr>
          <w:p>
            <w:pPr>
              <w:spacing w:after="0"/>
            </w:pPr>
            <w:r>
              <w:rPr>
                <w:sz w:val="21"/>
                <w:color w:val="1A1A1A"/>
              </w:rPr>
              <w:t xml:space="preserve">Findings by severity, with full evidence for each.</w:t>
            </w:r>
          </w:p>
        </w:tc>
      </w:tr>
      <w:tr>
        <w:tc>
          <w:tcPr>
            <w:tcW w:w="1800" w:type="dxa"/>
          </w:tcPr>
          <w:p>
            <w:pPr>
              <w:spacing w:after="0"/>
            </w:pPr>
            <w:r>
              <w:rPr>
                <w:sz w:val="21"/>
                <w:color w:val="1A1A1A"/>
              </w:rPr>
              <w:t xml:space="preserve">Reports</w:t>
            </w:r>
          </w:p>
        </w:tc>
        <w:tc>
          <w:tcPr>
            <w:tcW w:w="7200" w:type="dxa"/>
          </w:tcPr>
          <w:p>
            <w:pPr>
              <w:spacing w:after="0"/>
            </w:pPr>
            <w:r>
              <w:rPr>
                <w:sz w:val="21"/>
                <w:color w:val="1A1A1A"/>
              </w:rPr>
              <w:t xml:space="preserve">Generate PDF, CSV or Excel reports from real data.</w:t>
            </w:r>
          </w:p>
        </w:tc>
      </w:tr>
      <w:tr>
        <w:tc>
          <w:tcPr>
            <w:tcW w:w="1800" w:type="dxa"/>
          </w:tcPr>
          <w:p>
            <w:pPr>
              <w:spacing w:after="0"/>
            </w:pPr>
            <w:r>
              <w:rPr>
                <w:sz w:val="21"/>
                <w:color w:val="1A1A1A"/>
              </w:rPr>
              <w:t xml:space="preserve">Settings</w:t>
            </w:r>
          </w:p>
        </w:tc>
        <w:tc>
          <w:tcPr>
            <w:tcW w:w="7200" w:type="dxa"/>
          </w:tcPr>
          <w:p>
            <w:pPr>
              <w:spacing w:after="0"/>
            </w:pPr>
            <w:r>
              <w:rPr>
                <w:sz w:val="21"/>
                <w:color w:val="1A1A1A"/>
              </w:rPr>
              <w:t xml:space="preserve">The configuration in force.</w:t>
            </w:r>
          </w:p>
        </w:tc>
      </w:tr>
      <w:tr>
        <w:tc>
          <w:tcPr>
            <w:tcW w:w="1800" w:type="dxa"/>
          </w:tcPr>
          <w:p>
            <w:pPr>
              <w:spacing w:after="0"/>
            </w:pPr>
            <w:r>
              <w:rPr>
                <w:sz w:val="21"/>
                <w:color w:val="1A1A1A"/>
              </w:rPr>
              <w:t xml:space="preserve">Help</w:t>
            </w:r>
          </w:p>
        </w:tc>
        <w:tc>
          <w:tcPr>
            <w:tcW w:w="7200" w:type="dxa"/>
          </w:tcPr>
          <w:p>
            <w:pPr>
              <w:spacing w:after="0"/>
            </w:pPr>
            <w:r>
              <w:rPr>
                <w:sz w:val="21"/>
                <w:color w:val="1A1A1A"/>
              </w:rPr>
              <w:t xml:space="preserve">How detection works, in plain terms.</w:t>
            </w:r>
          </w:p>
        </w:tc>
      </w:tr>
    </w:tbl>
    <w:p>
      <w:pPr>
        <w:spacing w:after="60"/>
      </w:pPr>
      <w:r>
        <w:rPr>
          <w:sz w:val="23"/>
          <w:color w:val="1A1A1A"/>
        </w:rPr>
        <w:t xml:space="preserve"/>
      </w:r>
    </w:p>
    <w:p>
      <w:pPr>
        <w:spacing w:after="120"/>
      </w:pPr>
      <w:r>
        <w:rPr>
          <w:sz w:val="23"/>
          <w:color w:val="1A1A1A"/>
        </w:rPr>
        <w:t xml:space="preserve">All nine pages read from the same database. A check made by the engine, or run by hand on the Monitoring page, immediately appears on Results, the Dashboard, Alerts and Reports.</w:t>
      </w:r>
    </w:p>
    <w:p>
      <w:pPr>
        <w:spacing w:before="240" w:after="80"/>
        <w:pBdr>
          <w:bottom w:val="single" w:sz="10" w:space="2" w:color="1F5C96"/>
        </w:pBdr>
      </w:pPr>
      <w:r>
        <w:rPr>
          <w:b/>
          <w:sz w:val="26"/>
          <w:color w:val="1F5C96"/>
        </w:rPr>
        <w:t xml:space="preserve">6. How to start it</w:t>
      </w:r>
    </w:p>
    <w:p>
      <w:pPr>
        <w:spacing w:after="120"/>
      </w:pPr>
      <w:r>
        <w:rPr>
          <w:sz w:val="23"/>
          <w:color w:val="1A1A1A"/>
        </w:rPr>
        <w:t xml:space="preserve">Two programs share one database: one collects data, one shows it.</w:t>
      </w:r>
    </w:p>
    <w:p>
      <w:pPr>
        <w:spacing w:after="40"/>
      </w:pPr>
      <w:r>
        <w:rPr>
          <w:b/>
          <w:sz w:val="23"/>
          <w:color w:val="1A1A1A"/>
        </w:rPr>
        <w:t xml:space="preserve">Collect data continuously (every minute):</w:t>
      </w:r>
    </w:p>
    <w:p>
      <w:pPr>
        <w:spacing w:after="120"/>
      </w:pPr>
      <w:r>
        <w:rPr>
          <w:rFonts w:ascii="Consolas" w:hAnsi="Consolas"/>
          <w:sz w:val="20"/>
          <w:color w:val="1A1A1A"/>
        </w:rPr>
        <w:t xml:space="preserve">.venv/bin/python -m argus serve</w:t>
      </w:r>
    </w:p>
    <w:p>
      <w:pPr>
        <w:spacing w:after="40"/>
      </w:pPr>
      <w:r>
        <w:rPr>
          <w:b/>
          <w:sz w:val="23"/>
          <w:color w:val="1A1A1A"/>
        </w:rPr>
        <w:t xml:space="preserve">Show the website (second terminal), then browse to 127.0.0.1:8080:</w:t>
      </w:r>
    </w:p>
    <w:p>
      <w:pPr>
        <w:spacing w:after="120"/>
      </w:pPr>
      <w:r>
        <w:rPr>
          <w:rFonts w:ascii="Consolas" w:hAnsi="Consolas"/>
          <w:sz w:val="20"/>
          <w:color w:val="1A1A1A"/>
        </w:rPr>
        <w:t xml:space="preserve">.venv/bin/python -m argus dashboard</w:t>
      </w:r>
    </w:p>
    <w:p>
      <w:pPr>
        <w:spacing w:after="40"/>
      </w:pPr>
      <w:r>
        <w:rPr>
          <w:b/>
          <w:sz w:val="23"/>
          <w:color w:val="1A1A1A"/>
        </w:rPr>
        <w:t xml:space="preserve">Run one check immediately:</w:t>
      </w:r>
    </w:p>
    <w:p>
      <w:pPr>
        <w:spacing w:after="120"/>
      </w:pPr>
      <w:r>
        <w:rPr>
          <w:rFonts w:ascii="Consolas" w:hAnsi="Consolas"/>
          <w:sz w:val="20"/>
          <w:color w:val="1A1A1A"/>
        </w:rPr>
        <w:t xml:space="preserve">.venv/bin/python -m argus run-once</w:t>
      </w:r>
    </w:p>
    <w:p>
      <w:pPr>
        <w:spacing w:before="240" w:after="80"/>
        <w:pBdr>
          <w:bottom w:val="single" w:sz="10" w:space="2" w:color="1F5C96"/>
        </w:pBdr>
      </w:pPr>
      <w:r>
        <w:rPr>
          <w:b/>
          <w:sz w:val="26"/>
          <w:color w:val="1F5C96"/>
        </w:rPr>
        <w:t xml:space="preserve">7. Current status</w:t>
      </w:r>
    </w:p>
    <w:p>
      <w:pPr>
        <w:spacing w:after="80"/>
      </w:pPr>
      <w:r>
        <w:rPr>
          <w:b/>
          <w:sz w:val="23"/>
          <w:color w:val="1A1A1A"/>
        </w:rPr>
        <w:t xml:space="preserve">•  </w:t>
      </w:r>
      <w:r>
        <w:rPr>
          <w:sz w:val="23"/>
          <w:color w:val="1A1A1A"/>
        </w:rPr>
        <w:t xml:space="preserve">The engine, the two-path comparison and the nine-page interface are built and working.</w:t>
      </w:r>
    </w:p>
    <w:p>
      <w:pPr>
        <w:spacing w:after="80"/>
      </w:pPr>
      <w:r>
        <w:rPr>
          <w:b/>
          <w:sz w:val="23"/>
          <w:color w:val="1A1A1A"/>
        </w:rPr>
        <w:t xml:space="preserve">•  </w:t>
      </w:r>
      <w:r>
        <w:rPr>
          <w:sz w:val="23"/>
          <w:color w:val="1A1A1A"/>
        </w:rPr>
        <w:t xml:space="preserve">It monitors 5 real global resolvers (Google, Cloudflare, Quad9, OpenDNS, Verisign) plus 10 real Sri Lankan resolver candidates (SLT, Dialog, Mobitel, Lanka Communication Services).</w:t>
      </w:r>
    </w:p>
    <w:p>
      <w:pPr>
        <w:spacing w:after="80"/>
      </w:pPr>
      <w:r>
        <w:rPr>
          <w:b/>
          <w:sz w:val="23"/>
          <w:color w:val="1A1A1A"/>
        </w:rPr>
        <w:t xml:space="preserve">•  </w:t>
      </w:r>
      <w:r>
        <w:rPr>
          <w:sz w:val="23"/>
          <w:color w:val="1A1A1A"/>
        </w:rPr>
        <w:t xml:space="preserve">The Sri Lankan resolvers are marked candidate (from a public directory) until confirmed reachable from the monitoring machine, then they become verified.</w:t>
      </w:r>
    </w:p>
    <w:p>
      <w:pPr>
        <w:spacing w:after="80"/>
      </w:pPr>
      <w:r>
        <w:rPr>
          <w:b/>
          <w:sz w:val="23"/>
          <w:color w:val="1A1A1A"/>
        </w:rPr>
        <w:t xml:space="preserve">•  </w:t>
      </w:r>
      <w:r>
        <w:rPr>
          <w:sz w:val="23"/>
          <w:color w:val="1A1A1A"/>
        </w:rPr>
        <w:t xml:space="preserve">Planned next steps: query every authoritative nameserver for agreement, and DNSSEC-validate the trusted walk itself — the sophistication hardening.</w:t>
      </w:r>
    </w:p>
    <w:p>
      <w:pPr>
        <w:spacing w:after="0"/>
      </w:pPr>
      <w:r>
        <w:rPr>
          <w:i/>
          <w:sz w:val="18"/>
          <w:color w:val="4A5A6A"/>
        </w:rPr>
        <w:t xml:space="preserve">ARGUS v1.0 · Department of Computer Science, Sri Lanka. All dashboard figures are real measurements from the system's own database; no data is fabricated.</w:t>
      </w:r>
    </w:p>
    <w:sectPr>
      <w:pgSz w:w="11906" w:h="16838"/>
      <w:pgMar w:top="1440" w:right="1440" w:bottom="1440" w:left="1440"/>
    </w:sectPr>
  </w:body>
</w:document>
</file>

<file path=docProps/core.xml><?xml version="1.0" encoding="utf-8"?>
<cp:coreProperties xmlns:cp="http://schemas.openxmlformats.org/package/2006/metadata/core-properties" xmlns:dc="http://purl.org/dc/elements/1.1/" xmlns:dcterms="http://purl.org/dc/terms/" xmlns:xsi="http://www.w3.org/2001/XMLSchema-instance">
  <dc:title>How ARGUS Works</dc:title>
  <dc:creator>ARGUS</dc:creator>
  <dcterms:created xsi:type="dcterms:W3CDTF">2026-09-11T04:27:48Z</dcterms:created>
</cp:coreProperties>
</file>