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7a6615d4f79b140159f47e990c15c02424c35cf"/>
    <w:p>
      <w:pPr>
        <w:pStyle w:val="Heading1"/>
      </w:pPr>
      <w:r>
        <w:t xml:space="preserve">Methodology: How potential AI futures interact with the current tax system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describes the methodology behind The Budget Lab’s report</w:t>
      </w:r>
      <w:r>
        <w:t xml:space="preserve"> </w:t>
      </w:r>
      <w:r>
        <w:rPr>
          <w:i/>
          <w:iCs/>
        </w:rPr>
        <w:t xml:space="preserve">How potential AI futures interact with the current tax system</w:t>
      </w:r>
      <w:r>
        <w:t xml:space="preserve">. We</w:t>
      </w:r>
      <w:r>
        <w:t xml:space="preserve"> </w:t>
      </w:r>
      <w:r>
        <w:t xml:space="preserve">combine projections of the economic effects of AI over the medium term</w:t>
      </w:r>
      <w:r>
        <w:t xml:space="preserve"> </w:t>
      </w:r>
      <w:r>
        <w:t xml:space="preserve">from Karger et al. (2026) with the same microdata that powers our tax</w:t>
      </w:r>
      <w:r>
        <w:t xml:space="preserve"> </w:t>
      </w:r>
      <w:r>
        <w:t xml:space="preserve">microsimulation model to produce a counterfactual estimate of each tax</w:t>
      </w:r>
      <w:r>
        <w:t xml:space="preserve"> </w:t>
      </w:r>
      <w:r>
        <w:t xml:space="preserve">unit’s capital and labor income under different AI scenarios. The</w:t>
      </w:r>
      <w:r>
        <w:t xml:space="preserve"> </w:t>
      </w:r>
      <w:r>
        <w:t xml:space="preserve">analysis isolates the mechanical revenue impact of the three</w:t>
      </w:r>
      <w:r>
        <w:t xml:space="preserve"> </w:t>
      </w:r>
      <w:r>
        <w:t xml:space="preserve">interacting features of any potential AI growth scenario: increased</w:t>
      </w:r>
      <w:r>
        <w:t xml:space="preserve"> </w:t>
      </w:r>
      <w:r>
        <w:t xml:space="preserve">GDP growth, a shift in the labor- and capital-share of factor income,</w:t>
      </w:r>
      <w:r>
        <w:t xml:space="preserve"> </w:t>
      </w:r>
      <w:r>
        <w:t xml:space="preserve">and a change in the distribution of labor income.</w:t>
      </w:r>
    </w:p>
    <w:p>
      <w:pPr>
        <w:pStyle w:val="BodyText"/>
      </w:pPr>
      <w:r>
        <w:t xml:space="preserve">The simulation runs end-to-end at the tax-unit level, and almost every</w:t>
      </w:r>
      <w:r>
        <w:t xml:space="preserve"> </w:t>
      </w:r>
      <w:r>
        <w:t xml:space="preserve">distributional output is computed from per-unit microdata. The one</w:t>
      </w:r>
      <w:r>
        <w:t xml:space="preserve"> </w:t>
      </w:r>
      <w:r>
        <w:t xml:space="preserve">exception is the corporate income tax (CIT): we capture the revenue</w:t>
      </w:r>
      <w:r>
        <w:t xml:space="preserve"> </w:t>
      </w:r>
      <w:r>
        <w:t xml:space="preserve">effect of the shock on the CIT base through a single macro wedge,</w:t>
      </w:r>
      <w:r>
        <w:t xml:space="preserve"> </w:t>
      </w:r>
      <w:r>
        <w:t xml:space="preserve">rather than re-deriving corporate liability from per-firm data, and</w:t>
      </w:r>
      <w:r>
        <w:t xml:space="preserve"> </w:t>
      </w:r>
      <w:r>
        <w:t xml:space="preserve">discuss the implications of that choice below.</w:t>
      </w:r>
    </w:p>
    <w:p>
      <w:pPr>
        <w:pStyle w:val="BodyText"/>
      </w:pPr>
      <w:r>
        <w:t xml:space="preserve">The model is calibrated as a</w:t>
      </w:r>
      <w:r>
        <w:t xml:space="preserve"> </w:t>
      </w:r>
      <w:r>
        <w:rPr>
          <w:i/>
          <w:iCs/>
        </w:rPr>
        <w:t xml:space="preserve">constant-realization</w:t>
      </w:r>
      <w:r>
        <w:t xml:space="preserve"> </w:t>
      </w:r>
      <w:r>
        <w:t xml:space="preserve">simulation: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the aggregate AI-induced capital income flow — is sized off the</w:t>
      </w:r>
      <w:r>
        <w:t xml:space="preserve"> </w:t>
      </w:r>
      <w:r>
        <w:t xml:space="preserve">on-1040 realized taxable base, so the baseline realization rate (and other</w:t>
      </w:r>
      <w:r>
        <w:t xml:space="preserve"> </w:t>
      </w:r>
      <w:r>
        <w:t xml:space="preserve">factors like the taxation of retirement income) is already</w:t>
      </w:r>
      <w:r>
        <w:t xml:space="preserve"> </w:t>
      </w:r>
      <w:r>
        <w:t xml:space="preserve">embedded in the construction. Under this assumption, AI capital</w:t>
      </w:r>
      <w:r>
        <w:t xml:space="preserve"> </w:t>
      </w:r>
      <w:r>
        <w:t xml:space="preserve">income is realized in-year at the same rate as the baseline stock.</w:t>
      </w:r>
    </w:p>
    <w:bookmarkEnd w:id="20"/>
    <w:bookmarkStart w:id="24" w:name="data-and-baseline-construction"/>
    <w:p>
      <w:pPr>
        <w:pStyle w:val="Heading2"/>
      </w:pPr>
      <w:r>
        <w:t xml:space="preserve">Data and baseline construction</w:t>
      </w:r>
    </w:p>
    <w:bookmarkStart w:id="21" w:name="the-tax-microsimulation-file"/>
    <w:p>
      <w:pPr>
        <w:pStyle w:val="Heading3"/>
      </w:pPr>
      <w:r>
        <w:t xml:space="preserve">The tax microsimulation file</w:t>
      </w:r>
    </w:p>
    <w:p>
      <w:pPr>
        <w:pStyle w:val="FirstParagraph"/>
      </w:pPr>
      <w:r>
        <w:t xml:space="preserve">All tax-side computations use The Budget Lab’s tax microsimulation.</w:t>
      </w:r>
      <w:r>
        <w:t xml:space="preserve"> </w:t>
      </w:r>
      <w:r>
        <w:t xml:space="preserve">The base file is the 2015 IRS Public Use File (PUF, ~150,000 records),</w:t>
      </w:r>
      <w:r>
        <w:t xml:space="preserve"> </w:t>
      </w:r>
      <w:r>
        <w:t xml:space="preserve">supplemented with non-filer imputations and aged to the baseline year</w:t>
      </w:r>
      <w:r>
        <w:t xml:space="preserve"> </w:t>
      </w:r>
      <w:r>
        <w:t xml:space="preserve">through SSA population weights and CBO economic scaling. The</w:t>
      </w:r>
      <w:r>
        <w:t xml:space="preserve"> </w:t>
      </w:r>
      <w:r>
        <w:t xml:space="preserve">Tax-Simulator calculator handles individual income tax (AGI, standard</w:t>
      </w:r>
      <w:r>
        <w:t xml:space="preserve"> </w:t>
      </w:r>
      <w:r>
        <w:t xml:space="preserve">and itemized deductions, ordinary and preferential rates, AMT, NIIT,</w:t>
      </w:r>
      <w:r>
        <w:t xml:space="preserve"> </w:t>
      </w:r>
      <w:r>
        <w:t xml:space="preserve">EITC, CTC, CDCTC, education credits, Saver’s, QBI) and the payroll-tax</w:t>
      </w:r>
      <w:r>
        <w:t xml:space="preserve"> </w:t>
      </w:r>
      <w:r>
        <w:t xml:space="preserve">module. It does not handle the corporate income tax or the estate tax;</w:t>
      </w:r>
      <w:r>
        <w:t xml:space="preserve"> </w:t>
      </w:r>
      <w:r>
        <w:t xml:space="preserve">we address the CIT through the wedge described below.</w:t>
      </w:r>
    </w:p>
    <w:p>
      <w:pPr>
        <w:pStyle w:val="BodyText"/>
      </w:pPr>
      <w:r>
        <w:t xml:space="preserve">The tax microsimulation alone does not carry asset-level wealth, which</w:t>
      </w:r>
      <w:r>
        <w:t xml:space="preserve"> </w:t>
      </w:r>
      <w:r>
        <w:t xml:space="preserve">we need to allocate AI-driven capital income across households. To</w:t>
      </w:r>
      <w:r>
        <w:t xml:space="preserve"> </w:t>
      </w:r>
      <w:r>
        <w:t xml:space="preserve">address this, each year pairs the PUF income columns with imputed</w:t>
      </w:r>
      <w:r>
        <w:t xml:space="preserve"> </w:t>
      </w:r>
      <w:r>
        <w:t xml:space="preserve">asset holdings drawn from the Federal Reserve’s Survey of Consumer</w:t>
      </w:r>
      <w:r>
        <w:t xml:space="preserve"> </w:t>
      </w:r>
      <w:r>
        <w:t xml:space="preserve">Finances (SCF): cash, equities, bonds, retirement balances, life</w:t>
      </w:r>
      <w:r>
        <w:t xml:space="preserve"> </w:t>
      </w:r>
      <w:r>
        <w:t xml:space="preserve">insurance, annuities, trusts, real-estate funds, primary and other</w:t>
      </w:r>
      <w:r>
        <w:t xml:space="preserve"> </w:t>
      </w:r>
      <w:r>
        <w:t xml:space="preserve">home equity, and pass-through equity, as well as active/passive</w:t>
      </w:r>
      <w:r>
        <w:t xml:space="preserve"> </w:t>
      </w:r>
      <w:r>
        <w:t xml:space="preserve">splits for S-Corp and partnership profit. The PUF-SCF match is</w:t>
      </w:r>
      <w:r>
        <w:t xml:space="preserve"> </w:t>
      </w:r>
      <w:r>
        <w:t xml:space="preserve">validated against aggregates from NIPA, SOI, and the Distributional</w:t>
      </w:r>
      <w:r>
        <w:t xml:space="preserve"> </w:t>
      </w:r>
      <w:r>
        <w:t xml:space="preserve">Financial Accounts (DFA) upstream in the data pipeline. This project</w:t>
      </w:r>
      <w:r>
        <w:t xml:space="preserve"> </w:t>
      </w:r>
      <w:r>
        <w:t xml:space="preserve">uses the PUF-SCF matched file as the ground truth.</w:t>
      </w:r>
    </w:p>
    <w:bookmarkEnd w:id="21"/>
    <w:bookmarkStart w:id="22" w:name="per-unit-labor-and-capital-aggregates"/>
    <w:p>
      <w:pPr>
        <w:pStyle w:val="Heading3"/>
      </w:pPr>
      <w:r>
        <w:t xml:space="preserve">Per-unit labor and capital aggregates</w:t>
      </w:r>
    </w:p>
    <w:p>
      <w:pPr>
        <w:pStyle w:val="FirstParagraph"/>
      </w:pPr>
      <w:r>
        <w:t xml:space="preserve">Once the merged file is loaded, we construct two per-unit aggregates</w:t>
      </w:r>
      <w:r>
        <w:t xml:space="preserve"> </w:t>
      </w:r>
      <w:r>
        <w:t xml:space="preserve">that drive all downstream redistribution: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 labor income</w:t>
      </w:r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Y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</m:e>
          <m:sub>
            <m:r>
              <m:t>i</m:t>
            </m:r>
          </m:sub>
        </m:sSub>
      </m:oMath>
      <w:r>
        <w:t xml:space="preserve">): wages, sole-proprietor</w:t>
      </w:r>
      <w:r>
        <w:t xml:space="preserve"> </w:t>
      </w:r>
      <w:r>
        <w:t xml:space="preserve">and farm income, and the labor portion of each unit’s S-Corp and</w:t>
      </w:r>
      <w:r>
        <w:t xml:space="preserve"> </w:t>
      </w:r>
      <w:r>
        <w:t xml:space="preserve">partnership net profit.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 capital income</w:t>
      </w:r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Y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K</m:t>
            </m:r>
          </m:e>
          <m:sub>
            <m:r>
              <m:t>i</m:t>
            </m:r>
          </m:sub>
        </m:sSub>
      </m:oMath>
      <w:r>
        <w:t xml:space="preserve">): interest (taxable</w:t>
      </w:r>
      <w:r>
        <w:t xml:space="preserve"> </w:t>
      </w:r>
      <w:r>
        <w:t xml:space="preserve">and exempt), dividends (ordinary and preferential), realized capital</w:t>
      </w:r>
      <w:r>
        <w:t xml:space="preserve"> </w:t>
      </w:r>
      <w:r>
        <w:t xml:space="preserve">gains, other gains, net rent and estate income, taxable IRA and</w:t>
      </w:r>
      <w:r>
        <w:t xml:space="preserve"> </w:t>
      </w:r>
      <w:r>
        <w:t xml:space="preserve">pension distributions, plus the capital portion of S-Corp and</w:t>
      </w:r>
      <w:r>
        <w:t xml:space="preserve"> </w:t>
      </w:r>
      <w:r>
        <w:t xml:space="preserve">partnership net profit.</w:t>
      </w:r>
    </w:p>
    <w:p>
      <w:pPr>
        <w:pStyle w:val="FirstParagraph"/>
      </w:pPr>
      <w:r>
        <w:t xml:space="preserve">These analytic aggregates are used only for designing the shock; the</w:t>
      </w:r>
      <w:r>
        <w:t xml:space="preserve"> </w:t>
      </w:r>
      <w:r>
        <w:t xml:space="preserve">counterfactual file ultimately uses the underlying PUF columns, not</w:t>
      </w:r>
      <w:r>
        <w:t xml:space="preserve"> </w:t>
      </w:r>
      <m:oMath>
        <m:r>
          <m:rPr>
            <m:sty m:val="p"/>
          </m:rPr>
          <m:t>Y</m:t>
        </m:r>
        <m:r>
          <m:rPr>
            <m:sty m:val="p"/>
          </m:rPr>
          <m:t>i</m:t>
        </m:r>
        <m:r>
          <m:rPr>
            <m:sty m:val="p"/>
          </m:rP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Y</m:t>
        </m:r>
        <m:r>
          <m:rPr>
            <m:sty m:val="p"/>
          </m:rPr>
          <m:t>i</m:t>
        </m:r>
        <m:r>
          <m:rPr>
            <m:sty m:val="p"/>
          </m:rPr>
          <m:t>K</m:t>
        </m:r>
      </m:oMath>
      <w:r>
        <w:t xml:space="preserve">.</w:t>
      </w:r>
    </w:p>
    <w:bookmarkEnd w:id="22"/>
    <w:bookmarkStart w:id="23" w:name="X3054d0e27b6851dc142a6ae8ebc506ebdcd99be"/>
    <w:p>
      <w:pPr>
        <w:pStyle w:val="Heading3"/>
      </w:pPr>
      <w:r>
        <w:t xml:space="preserve">Splitting pass-through profit between labor and capital</w:t>
      </w:r>
    </w:p>
    <w:p>
      <w:pPr>
        <w:pStyle w:val="FirstParagraph"/>
      </w:pPr>
      <w:r>
        <w:t xml:space="preserve">S-Corp and partnership profit blends true entrepreneurial labor (</w:t>
      </w:r>
      <w:r>
        <w:t xml:space="preserve">“a</w:t>
      </w:r>
      <w:r>
        <w:t xml:space="preserve"> </w:t>
      </w:r>
      <w:r>
        <w:t xml:space="preserve">partner is paid for working”</w:t>
      </w:r>
      <w:r>
        <w:t xml:space="preserve">) with returns on invested capital (</w:t>
      </w:r>
      <w:r>
        <w:t xml:space="preserve">“a</w:t>
      </w:r>
      <w:r>
        <w:t xml:space="preserve"> </w:t>
      </w:r>
      <w:r>
        <w:t xml:space="preserve">partner is paid for owning”</w:t>
      </w:r>
      <w:r>
        <w:t xml:space="preserve">). The split matters: a shift from wages</w:t>
      </w:r>
      <w:r>
        <w:t xml:space="preserve"> </w:t>
      </w:r>
      <w:r>
        <w:t xml:space="preserve">to capital income carries different tax consequences than a shift</w:t>
      </w:r>
      <w:r>
        <w:t xml:space="preserve"> </w:t>
      </w:r>
      <w:r>
        <w:t xml:space="preserve">from wages to pass-through active income, even when the dollar</w:t>
      </w:r>
      <w:r>
        <w:t xml:space="preserve"> </w:t>
      </w:r>
      <w:r>
        <w:t xml:space="preserve">amount is the same. To address this we adopt the Saez and Zucman</w:t>
      </w:r>
      <w:r>
        <w:t xml:space="preserve"> </w:t>
      </w:r>
      <w:r>
        <w:t xml:space="preserve">(2020) decomposition, which applies the wage threshold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directly at the tax-unit level.</w:t>
      </w:r>
    </w:p>
    <w:p>
      <w:pPr>
        <w:pStyle w:val="BodyText"/>
      </w:pPr>
      <w:r>
        <w:t xml:space="preserve">For each tax unit, let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be the 99.99th percentile of positive</w:t>
      </w:r>
      <w:r>
        <w:t xml:space="preserve"> </w:t>
      </w:r>
      <w:r>
        <w:t xml:space="preserve">wages. Within each active pass-through bucket (S-Corp active,</w:t>
      </w:r>
      <w:r>
        <w:t xml:space="preserve"> </w:t>
      </w:r>
      <w:r>
        <w:t xml:space="preserve">partnership active), profit up to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is classified as 25%</w:t>
      </w:r>
      <w:r>
        <w:t xml:space="preserve"> </w:t>
      </w:r>
      <w:r>
        <w:t xml:space="preserve">capital / 75% labor; profit above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is 75% capital / 25%</w:t>
      </w:r>
      <w:r>
        <w:t xml:space="preserve"> </w:t>
      </w:r>
      <w:r>
        <w:t xml:space="preserve">labor. Passive profit is flat 75% capital. The intuition is that an</w:t>
      </w:r>
      <w:r>
        <w:t xml:space="preserve"> </w:t>
      </w:r>
      <w:r>
        <w:t xml:space="preserve">active partner earning at or below typical top-end wages looks like</w:t>
      </w:r>
      <w:r>
        <w:t xml:space="preserve"> </w:t>
      </w:r>
      <w:r>
        <w:t xml:space="preserve">they are being paid mostly for their labor, while an active partner</w:t>
      </w:r>
      <w:r>
        <w:t xml:space="preserve"> </w:t>
      </w:r>
      <w:r>
        <w:t xml:space="preserve">whose draw vastly exceeds top wages is more plausibly receiving rents</w:t>
      </w:r>
      <w:r>
        <w:t xml:space="preserve"> </w:t>
      </w:r>
      <w:r>
        <w:t xml:space="preserve">on firm capital. SZ (2020) apply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as a firm-level threshold; we</w:t>
      </w:r>
      <w:r>
        <w:t xml:space="preserve"> </w:t>
      </w:r>
      <w:r>
        <w:t xml:space="preserve">apply it directly at the tax-unit level (no owner-manager</w:t>
      </w:r>
      <w:r>
        <w:t xml:space="preserve"> </w:t>
      </w:r>
      <m:oMath>
        <m:acc>
          <m:accPr>
            <m:chr m:val="‾"/>
          </m:accPr>
          <m:e>
            <m:r>
              <m:t>n</m:t>
            </m:r>
          </m:e>
        </m:acc>
      </m:oMath>
      <w:r>
        <w:t xml:space="preserve"> </w:t>
      </w:r>
      <w:r>
        <w:t xml:space="preserve">bridging), which collapses the multi-owner dimension. The simplification</w:t>
      </w:r>
      <w:r>
        <w:t xml:space="preserve"> </w:t>
      </w:r>
      <w:r>
        <w:t xml:space="preserve">matters most at the very top of the wage distribution, where a small</w:t>
      </w:r>
      <w:r>
        <w:t xml:space="preserve"> </w:t>
      </w:r>
      <w:r>
        <w:t xml:space="preserve">share of pass-through profit sits above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either way.</w:t>
      </w:r>
    </w:p>
    <w:bookmarkEnd w:id="23"/>
    <w:bookmarkEnd w:id="24"/>
    <w:bookmarkStart w:id="28" w:name="macro-shock-parameterization"/>
    <w:p>
      <w:pPr>
        <w:pStyle w:val="Heading2"/>
      </w:pPr>
      <w:r>
        <w:t xml:space="preserve">Macro shock parameterization</w:t>
      </w:r>
    </w:p>
    <w:p>
      <w:pPr>
        <w:pStyle w:val="FirstParagraph"/>
      </w:pPr>
      <w:r>
        <w:t xml:space="preserve">Table 1 reports the values that are implied by our implementation of</w:t>
      </w:r>
      <w:r>
        <w:t xml:space="preserve"> </w:t>
      </w:r>
      <w:r>
        <w:t xml:space="preserve">Karger et al. (2026) economic forecasts. The three key parameters</w:t>
      </w:r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2"/>
        </w:numPr>
      </w:pPr>
      <w:r>
        <w:t xml:space="preserve">a post-shock labor / capital share of factor income (</w:t>
      </w:r>
      <m:oMath>
        <m:sSubSup>
          <m:e>
            <m:r>
              <m:t>θ</m:t>
            </m:r>
          </m:e>
          <m:sub>
            <m:r>
              <m:t>1</m:t>
            </m:r>
          </m:sub>
          <m:sup>
            <m:r>
              <m:t>L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θ</m:t>
            </m:r>
          </m:e>
          <m:sub>
            <m:r>
              <m:t>1</m:t>
            </m:r>
          </m:sub>
          <m:sup>
            <m:r>
              <m:t>K</m:t>
            </m:r>
          </m:sup>
        </m:sSubSup>
      </m:oMath>
      <w:r>
        <w:t xml:space="preserve">) at the policy horizon, reported as a 5-year-ahead</w:t>
      </w:r>
      <w:r>
        <w:t xml:space="preserve"> </w:t>
      </w:r>
      <w:r>
        <w:t xml:space="preserve">median across analyst forecasts; and</w:t>
      </w:r>
    </w:p>
    <w:p>
      <w:pPr>
        <w:pStyle w:val="Compact"/>
        <w:numPr>
          <w:ilvl w:val="0"/>
          <w:numId w:val="1002"/>
        </w:numPr>
      </w:pPr>
      <w:r>
        <w:t xml:space="preserve">an annualized real GDP growth rate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t xml:space="preserve">over the same</w:t>
      </w:r>
      <w:r>
        <w:t xml:space="preserve"> </w:t>
      </w:r>
      <w:r>
        <w:t xml:space="preserve">horizon, again as a median across forecasts.</w:t>
      </w:r>
    </w:p>
    <w:p>
      <w:pPr>
        <w:pStyle w:val="FirstParagraph"/>
      </w:pPr>
      <w:r>
        <w:t xml:space="preserve">Three intensity variants are published: Slow, Moderate, and Rapid</w:t>
      </w:r>
      <w:r>
        <w:t xml:space="preserve"> </w:t>
      </w:r>
      <w:r>
        <w:t xml:space="preserve">(labeled S, M, R). We take 2030 as the baseline year to match</w:t>
      </w:r>
      <w:r>
        <w:t xml:space="preserve"> </w:t>
      </w:r>
      <w:r>
        <w:t xml:space="preserve">Karger’s 5-year horizon and pin every variant from Tables 19 (growth</w:t>
      </w:r>
      <w:r>
        <w:t xml:space="preserve"> </w:t>
      </w:r>
      <w:r>
        <w:t xml:space="preserve">rates) and 39 (labor shares).</w:t>
      </w:r>
    </w:p>
    <w:p>
      <w:pPr>
        <w:pStyle w:val="BodyText"/>
      </w:pPr>
      <w:r>
        <w:t xml:space="preserve">Karger et al. (2026) surveys several different groups of AI experts;</w:t>
      </w:r>
      <w:r>
        <w:t xml:space="preserve"> </w:t>
      </w:r>
      <w:r>
        <w:t xml:space="preserve">we use estimates for the economist subsample. Our microsimulation</w:t>
      </w:r>
      <w:r>
        <w:t xml:space="preserve"> </w:t>
      </w:r>
      <w:r>
        <w:t xml:space="preserve">already ages the IRS PUF to the baseline year along the Congressional</w:t>
      </w:r>
      <w:r>
        <w:t xml:space="preserve"> </w:t>
      </w:r>
      <w:r>
        <w:t xml:space="preserve">Budget Office’s (CBO) no-AI growth path (2026 = 2.2%, 2027+ = 1.8%).</w:t>
      </w:r>
    </w:p>
    <w:bookmarkStart w:id="25" w:name="table-1.-key-parameters"/>
    <w:p>
      <w:pPr>
        <w:pStyle w:val="Heading3"/>
      </w:pPr>
      <w:r>
        <w:t xml:space="preserve">Table 1. Key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41"/>
        <w:gridCol w:w="1036"/>
        <w:gridCol w:w="1332"/>
        <w:gridCol w:w="11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Slow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Moderate (M)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Rapid (R)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AI-adoption inputs (5-year horizon, 2025–2030)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Annual GDP growth under AI (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 capital share (</w:t>
            </w:r>
            <m:oMath>
              <m:sSubSup>
                <m:e>
                  <m:r>
                    <m:t>θ</m:t>
                  </m:r>
                </m:e>
                <m:sub>
                  <m:r>
                    <m:t>1</m:t>
                  </m:r>
                </m:sub>
                <m:sup>
                  <m:r>
                    <m:t>K</m:t>
                  </m:r>
                </m:sup>
              </m:sSub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 labor share (</w:t>
            </w:r>
            <m:oMath>
              <m:sSubSup>
                <m:e>
                  <m:r>
                    <m:t>θ</m:t>
                  </m:r>
                </m:e>
                <m:sub>
                  <m:r>
                    <m:t>1</m:t>
                  </m:r>
                </m:sub>
                <m:sup>
                  <m:r>
                    <m:t>L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θ</m:t>
                  </m:r>
                </m:e>
                <m:sub>
                  <m:r>
                    <m:t>1</m:t>
                  </m:r>
                </m:sub>
                <m:sup>
                  <m:r>
                    <m:t>K</m:t>
                  </m:r>
                </m:sup>
              </m:sSub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Derived growth bumps, cumulative over 5 years, above CBO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(</w:t>
            </w:r>
            <m:oMath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(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 (</w:t>
            </w:r>
            <m:oMath>
              <m:r>
                <m:t>α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Labor-income inequality parameter</w:t>
            </w:r>
            <w:r>
              <w:rPr>
                <w:i/>
                <w:iCs/>
              </w:rPr>
              <w:t xml:space="preserve"> </w:t>
            </w:r>
            <m:oMath>
              <m:r>
                <m:t>σ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(k =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Compressive (</w:t>
            </w:r>
            <m:oMath>
              <m:sSub>
                <m:e>
                  <m:r>
                    <m:t>σ</m:t>
                  </m:r>
                </m:e>
                <m:sub>
                  <m:r>
                    <m:t>S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Proportional (</w:t>
            </w:r>
            <m:oMath>
              <m:sSub>
                <m:e>
                  <m:r>
                    <m:t>σ</m:t>
                  </m:r>
                </m:e>
                <m:sub>
                  <m:r>
                    <m:t>S</m:t>
                  </m:r>
                  <m:r>
                    <m:t>0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Expansive (</w:t>
            </w:r>
            <m:oMath>
              <m:sSub>
                <m:e>
                  <m:r>
                    <m:t>σ</m:t>
                  </m:r>
                </m:e>
                <m:sub>
                  <m:r>
                    <m:t>S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1.072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Sources.</w:t>
      </w:r>
      <w:r>
        <w:t xml:space="preserve"> </w:t>
      </w:r>
      <w:r>
        <w:t xml:space="preserve">Karger, Buehler, Cox, Saint-Jacques, and Bjorkegren (2026);</w:t>
      </w:r>
      <w:r>
        <w:t xml:space="preserve"> </w:t>
      </w:r>
      <w:r>
        <w:t xml:space="preserve">CBO (2025); Budget Lab calculations.</w:t>
      </w:r>
    </w:p>
    <w:p>
      <w:pPr>
        <w:pStyle w:val="BodyText"/>
      </w:pPr>
      <w:r>
        <w:rPr>
          <w:i/>
          <w:iCs/>
        </w:rPr>
        <w:t xml:space="preserve">Notes.</w:t>
      </w:r>
      <w:r>
        <w:t xml:space="preserve"> </w:t>
      </w:r>
      <w:r>
        <w:t xml:space="preserve">The Slow / Moderate / Rapid columns correspond to Karger’s</w:t>
      </w:r>
      <w:r>
        <w:t xml:space="preserve"> </w:t>
      </w:r>
      <w:r>
        <w:t xml:space="preserve">AI-adoption variants, which differ in two paired targets: the</w:t>
      </w:r>
      <w:r>
        <w:t xml:space="preserve"> </w:t>
      </w:r>
      <w:r>
        <w:t xml:space="preserve">annualized GDP growth rate under AI and the post-shock capital share.</w:t>
      </w:r>
      <w:r>
        <w:t xml:space="preserve"> </w:t>
      </w:r>
      <w:r>
        <w:t xml:space="preserve">All derived growth rates are cumulative over the Karger 5-year horizon</w:t>
      </w:r>
      <w:r>
        <w:t xml:space="preserve"> </w:t>
      </w:r>
      <w:r>
        <w:t xml:space="preserve">(2025–2030) and net of the no-AI CBO baseline path — i.e., they</w:t>
      </w:r>
      <w:r>
        <w:t xml:space="preserve"> </w:t>
      </w:r>
      <w:r>
        <w:t xml:space="preserve">isolate the AI contribution.</w:t>
      </w:r>
    </w:p>
    <w:bookmarkEnd w:id="25"/>
    <w:bookmarkStart w:id="26" w:name="Xf3bf79ad686f4202303bd41dbcc0a3b8b4043d9"/>
    <w:p>
      <w:pPr>
        <w:pStyle w:val="Heading3"/>
      </w:pPr>
      <w:r>
        <w:t xml:space="preserve">From shares and growth to growth rates by factor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θ</m:t>
            </m:r>
          </m:e>
          <m:sub>
            <m:r>
              <m:t>0</m:t>
            </m:r>
          </m:sub>
          <m:sup>
            <m:r>
              <m:t>L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θ</m:t>
            </m:r>
          </m:e>
          <m:sub>
            <m:r>
              <m:t>1</m:t>
            </m:r>
          </m:sub>
          <m:sup>
            <m:r>
              <m:t>L</m:t>
            </m:r>
          </m:sup>
        </m:sSubSup>
      </m:oMath>
      <w:r>
        <w:t xml:space="preserve"> </w:t>
      </w:r>
      <w:r>
        <w:t xml:space="preserve">be the baseline and post-shock labor</w:t>
      </w:r>
      <w:r>
        <w:t xml:space="preserve"> </w:t>
      </w:r>
      <w:r>
        <w:t xml:space="preserve">shares of factor income, with capital shares</w:t>
      </w:r>
      <w:r>
        <w:t xml:space="preserve"> </w:t>
      </w:r>
      <m:oMath>
        <m:sSubSup>
          <m:e>
            <m:r>
              <m:t>θ</m:t>
            </m:r>
          </m:e>
          <m:sub>
            <m:r>
              <m:t>t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θ</m:t>
            </m:r>
          </m:e>
          <m:sub>
            <m:r>
              <m:t>t</m:t>
            </m:r>
          </m:sub>
          <m:sup>
            <m:r>
              <m:t>L</m:t>
            </m:r>
          </m:sup>
        </m:sSubSup>
      </m:oMath>
      <w:r>
        <w:t xml:space="preserve">.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be the Karger horizon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g</m:t>
                  </m:r>
                </m:e>
                <m:sub>
                  <m:r>
                    <m:t>2026</m:t>
                  </m:r>
                </m:sub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</m:sup>
              </m:sSubSup>
            </m:e>
          </m:d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t>2027</m:t>
                      </m:r>
                      <m:r>
                        <m:rPr>
                          <m:sty m:val="p"/>
                        </m:rPr>
                        <m:t>+</m:t>
                      </m:r>
                    </m:sub>
                    <m:sup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O</m:t>
                      </m:r>
                    </m:sup>
                  </m:sSubSup>
                </m:e>
              </m:d>
            </m:e>
            <m:sup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be cumulative CBO growth from 2025 to 2030.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</m:sup>
                      </m:sSup>
                    </m:e>
                  </m:d>
                </m:e>
                <m:sup>
                  <m:r>
                    <m:t>H</m:t>
                  </m:r>
                </m:sup>
              </m:sSup>
            </m:num>
            <m:den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is the additional 5-year growth in nominal factor income caused by</w:t>
      </w:r>
      <w:r>
        <w:t xml:space="preserve"> </w:t>
      </w:r>
      <w:r>
        <w:t xml:space="preserve">AI. For the three variants this deviation works out to roughly +0.6%</w:t>
      </w:r>
      <w:r>
        <w:t xml:space="preserve"> </w:t>
      </w:r>
      <w:r>
        <w:t xml:space="preserve">(S), +3.6% (M), and +7.2% (R) above the CBO baseline at year 2030.</w:t>
      </w:r>
    </w:p>
    <w:p>
      <w:pPr>
        <w:pStyle w:val="BodyText"/>
      </w:pPr>
      <w:r>
        <w:t xml:space="preserve">We then derive the per-factor growth rates from the share and growth</w:t>
      </w:r>
      <w:r>
        <w:t xml:space="preserve"> </w:t>
      </w:r>
      <w:r>
        <w:t xml:space="preserve">targets: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m:t>⋅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</m:num>
                  <m:den>
                    <m:sSubSup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α</m:t>
                </m:r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g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L</m:t>
                        </m:r>
                      </m:sup>
                    </m:sSubSup>
                    <m:r>
                      <m:rPr>
                        <m:sty m:val="p"/>
                      </m:rPr>
                      <m:t>⋅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L</m:t>
                        </m:r>
                      </m:sup>
                    </m:sSubSup>
                  </m:num>
                  <m:den>
                    <m:sSubSup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L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We refer to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as the normalized labor growth rate: under a</w:t>
      </w:r>
      <w:r>
        <w:t xml:space="preserve"> </w:t>
      </w:r>
      <w:r>
        <w:t xml:space="preserve">reallocation shock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(labor grows more slowly than</w:t>
      </w:r>
      <w:r>
        <w:t xml:space="preserve"> </w:t>
      </w:r>
      <w:r>
        <w:t xml:space="preserve">capital); under no reallocation,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. We apply</w:t>
      </w:r>
      <w:r>
        <w:t xml:space="preserve"> </w:t>
      </w:r>
      <m:oMath>
        <m:r>
          <m:t>α</m:t>
        </m:r>
        <m:r>
          <m:rPr>
            <m:sty m:val="p"/>
          </m:rPr>
          <m:t>⋅</m:t>
        </m:r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the growth rate on per-unit labor income and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the growth rate on per-unit capital income.</w:t>
      </w:r>
    </w:p>
    <w:p>
      <w:pPr>
        <w:pStyle w:val="BodyText"/>
      </w:pPr>
      <w:r>
        <w:t xml:space="preserve">We apply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t>α</m:t>
            </m:r>
          </m:e>
        </m:d>
      </m:oMath>
      <w:r>
        <w:t xml:space="preserve"> </w:t>
      </w:r>
      <w:r>
        <w:t xml:space="preserve">as growth rates, not as level targets. The</w:t>
      </w:r>
      <w:r>
        <w:t xml:space="preserve"> </w:t>
      </w:r>
      <w:r>
        <w:t xml:space="preserve">microsimulation’s measured labor share differs from the NIPA share</w:t>
      </w:r>
      <w:r>
        <w:t xml:space="preserve"> </w:t>
      </w:r>
      <w:r>
        <w:t xml:space="preserve">Karger reports — the microsim aggregates exclude employer FICA,</w:t>
      </w:r>
      <w:r>
        <w:t xml:space="preserve"> </w:t>
      </w:r>
      <w:r>
        <w:t xml:space="preserve">undistributed C-corp profits, and imputed housing rent — but the</w:t>
      </w:r>
      <w:r>
        <w:t xml:space="preserve"> </w:t>
      </w:r>
      <w:r>
        <w:t xml:space="preserve">growth rate of each factor is comparable across data sources, so the</w:t>
      </w:r>
      <w:r>
        <w:t xml:space="preserve"> </w:t>
      </w:r>
      <w:r>
        <w:t xml:space="preserve">shock translates cleanly. We document the level gap and the implied</w:t>
      </w:r>
      <w:r>
        <w:t xml:space="preserve"> </w:t>
      </w:r>
      <w:r>
        <w:t xml:space="preserve">reasonableness checks in the validation section.</w:t>
      </w:r>
    </w:p>
    <w:bookmarkEnd w:id="26"/>
    <w:bookmarkStart w:id="27" w:name="X5a0caeedf09cd0cccef136a3bb79f98fd2ee246"/>
    <w:p>
      <w:pPr>
        <w:pStyle w:val="Heading3"/>
      </w:pPr>
      <w:r>
        <w:t xml:space="preserve">Two share modes: reallocation vs. fixed share</w:t>
      </w:r>
    </w:p>
    <w:p>
      <w:pPr>
        <w:pStyle w:val="FirstParagraph"/>
      </w:pPr>
      <w:r>
        <w:t xml:space="preserve">We run every variant under two different factor-share settings to let</w:t>
      </w:r>
      <w:r>
        <w:t xml:space="preserve"> </w:t>
      </w:r>
      <w:r>
        <w:t xml:space="preserve">readers separate the productivity and reallocation channels: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Reallocate (R)</w:t>
      </w:r>
      <w:r>
        <w:t xml:space="preserve"> </w:t>
      </w:r>
      <w:r>
        <w:t xml:space="preserve">— use</w:t>
      </w:r>
      <w:r>
        <w:t xml:space="preserve"> </w:t>
      </w:r>
      <m:oMath>
        <m:sSubSup>
          <m:e>
            <m:r>
              <m:t>θ</m:t>
            </m:r>
          </m:e>
          <m:sub>
            <m:r>
              <m:t>1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from Karger: capital grows</w:t>
      </w:r>
      <w:r>
        <w:t xml:space="preserve"> </w:t>
      </w:r>
      <w:r>
        <w:t xml:space="preserve">faster than labor.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Fixed share (F)</w:t>
      </w:r>
      <w:r>
        <w:t xml:space="preserve"> </w:t>
      </w:r>
      <w:r>
        <w:t xml:space="preserve">— pin</w:t>
      </w:r>
      <w:r>
        <w:t xml:space="preserve"> </w:t>
      </w:r>
      <m:oMath>
        <m:sSubSup>
          <m:e>
            <m:r>
              <m:t>θ</m:t>
            </m:r>
          </m:e>
          <m:sub>
            <m:r>
              <m:t>1</m:t>
            </m:r>
          </m:sub>
          <m:sup>
            <m:r>
              <m:t>K</m:t>
            </m:r>
          </m:sup>
        </m:sSub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Sup>
          <m:e>
            <m:r>
              <m:t>θ</m:t>
            </m:r>
          </m:e>
          <m:sub>
            <m:r>
              <m:t>0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so the</w:t>
      </w:r>
      <w:r>
        <w:t xml:space="preserve"> </w:t>
      </w:r>
      <w:r>
        <w:t xml:space="preserve">post-shock factor split equals the baseline. Same</w:t>
      </w:r>
      <w:r>
        <w:t xml:space="preserve"> </w:t>
      </w:r>
      <m:oMath>
        <m:sSub>
          <m:e>
            <m:r>
              <m:t>g</m:t>
            </m:r>
          </m:e>
          <m:sub>
            <m:r>
              <m:t>y</m:t>
            </m:r>
          </m:sub>
        </m:sSub>
      </m:oMath>
      <w:r>
        <w:t xml:space="preserve">, but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: labor and capital both grow at the</w:t>
      </w:r>
      <w:r>
        <w:t xml:space="preserve"> </w:t>
      </w:r>
      <w:r>
        <w:t xml:space="preserve">productivity rate.</w:t>
      </w:r>
    </w:p>
    <w:p>
      <w:pPr>
        <w:pStyle w:val="FirstParagraph"/>
      </w:pPr>
      <w:r>
        <w:t xml:space="preserve">The fixed-share option isolates the productivity increase from the</w:t>
      </w:r>
      <w:r>
        <w:t xml:space="preserve"> </w:t>
      </w:r>
      <w:r>
        <w:t xml:space="preserve">factor reallocation. Together, the two share modes let us decompose</w:t>
      </w:r>
      <w:r>
        <w:t xml:space="preserve"> </w:t>
      </w:r>
      <w:r>
        <w:t xml:space="preserve">“AI’s effects on revenue and distribution”</w:t>
      </w:r>
      <w:r>
        <w:t xml:space="preserve"> </w:t>
      </w:r>
      <w:r>
        <w:t xml:space="preserve">into</w:t>
      </w:r>
      <w:r>
        <w:t xml:space="preserve"> </w:t>
      </w:r>
      <w:r>
        <w:t xml:space="preserve">“more taxable output”</w:t>
      </w:r>
      <w:r>
        <w:t xml:space="preserve"> </w:t>
      </w:r>
      <w:r>
        <w:t xml:space="preserve">and</w:t>
      </w:r>
      <w:r>
        <w:t xml:space="preserve"> </w:t>
      </w:r>
      <w:r>
        <w:t xml:space="preserve">“the mix of who earns that output has shifted.”</w:t>
      </w:r>
    </w:p>
    <w:bookmarkEnd w:id="27"/>
    <w:bookmarkEnd w:id="28"/>
    <w:bookmarkStart w:id="31" w:name="labor-side-redistribution"/>
    <w:p>
      <w:pPr>
        <w:pStyle w:val="Heading2"/>
      </w:pPr>
      <w:r>
        <w:t xml:space="preserve">Labor-side redistribution</w:t>
      </w:r>
    </w:p>
    <w:p>
      <w:pPr>
        <w:pStyle w:val="FirstParagraph"/>
      </w:pPr>
      <w:r>
        <w:t xml:space="preserve">The labor-side step computes a counterfactual labor income aggregate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and redistributes it across tax units. We offer three redistribution</w:t>
      </w:r>
      <w:r>
        <w:t xml:space="preserve"> </w:t>
      </w:r>
      <w:r>
        <w:t xml:space="preserve">rules — proportional (S0), compressive (S2), and expansive (S3).</w:t>
      </w:r>
      <w:r>
        <w:t xml:space="preserve"> </w:t>
      </w:r>
      <w:r>
        <w:t xml:space="preserve">None of the rules imply any extensive-margin adjustment; employment</w:t>
      </w:r>
      <w:r>
        <w:t xml:space="preserve"> </w:t>
      </w:r>
      <w:r>
        <w:t xml:space="preserve">is held constant. The omitted S1 is a planned future expansion involving</w:t>
      </w:r>
      <w:r>
        <w:t xml:space="preserve"> </w:t>
      </w:r>
      <w:r>
        <w:t xml:space="preserve">occupation-level AI exposure.</w:t>
      </w:r>
    </w:p>
    <w:bookmarkStart w:id="29" w:name="proportional-s0"/>
    <w:p>
      <w:pPr>
        <w:pStyle w:val="Heading3"/>
      </w:pPr>
      <w:r>
        <w:t xml:space="preserve">Proportional (S0)</w:t>
      </w:r>
    </w:p>
    <w:p>
      <w:pPr>
        <w:pStyle w:val="FirstParagraph"/>
      </w:pPr>
      <w:r>
        <w:t xml:space="preserve">We hold constant the labor income for tax units with negative</w:t>
      </w:r>
      <w:r>
        <w:t xml:space="preserve"> </w:t>
      </w:r>
      <w:r>
        <w:t xml:space="preserve">baseline labor income and scale the labor income of all tax units</w:t>
      </w:r>
      <w:r>
        <w:t xml:space="preserve"> </w:t>
      </w:r>
      <w:r>
        <w:t xml:space="preserve">with positive baseline labor income by a single multiplier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the aggregate hits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ρ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 construction,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rPr>
                <m:sty m:val="p"/>
              </m:rPr>
              <m:t>Y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 The</w:t>
      </w:r>
      <w:r>
        <w:t xml:space="preserve"> </w:t>
      </w:r>
      <w:r>
        <w:t xml:space="preserve">proportional scenario preserves the baseline distribution of</w:t>
      </w:r>
      <w:r>
        <w:t xml:space="preserve"> </w:t>
      </w:r>
      <w:r>
        <w:t xml:space="preserve">positive labor income.</w:t>
      </w:r>
    </w:p>
    <w:bookmarkEnd w:id="29"/>
    <w:bookmarkStart w:id="30" w:name="compressive-s2-and-expansive-s3"/>
    <w:p>
      <w:pPr>
        <w:pStyle w:val="Heading3"/>
      </w:pPr>
      <w:r>
        <w:t xml:space="preserve">Compressive (S2) and Expansive (S3)</w:t>
      </w:r>
    </w:p>
    <w:p>
      <w:pPr>
        <w:pStyle w:val="FirstParagraph"/>
      </w:pPr>
      <w:r>
        <w:t xml:space="preserve">It is empirically uncertain whether the labor-side adjustment induced</w:t>
      </w:r>
      <w:r>
        <w:t xml:space="preserve"> </w:t>
      </w:r>
      <w:r>
        <w:t xml:space="preserve">by AI will compress (S2) or stretch (S3) the distribution of labor</w:t>
      </w:r>
      <w:r>
        <w:t xml:space="preserve"> </w:t>
      </w:r>
      <w:r>
        <w:t xml:space="preserve">income. We consider both and implement them via opposing</w:t>
      </w:r>
      <w:r>
        <w:t xml:space="preserve"> </w:t>
      </w:r>
      <w:r>
        <w:t xml:space="preserve">dispersion-shift specifications using a log-affine transformation</w:t>
      </w:r>
      <w:r>
        <w:t xml:space="preserve"> </w:t>
      </w:r>
      <w:r>
        <w:t xml:space="preserve">applied to tax units with positive labor income: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σ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sSub>
                <m:e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weighted log-mean of positive baseline labor</w:t>
      </w:r>
      <w:r>
        <w:t xml:space="preserve"> </w:t>
      </w:r>
      <w:r>
        <w:t xml:space="preserve">income,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solved so the positive-subset aggregate matches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after scaling, 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 ratio of post- to pre-shock</w:t>
      </w:r>
      <w:r>
        <w:t xml:space="preserve"> </w:t>
      </w:r>
      <w:r>
        <w:t xml:space="preserve">standard deviation of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Y</m:t>
        </m:r>
        <m:r>
          <m:rPr>
            <m:sty m:val="p"/>
          </m:rPr>
          <m:t>i</m:t>
        </m:r>
        <m:r>
          <m:rPr>
            <m:sty m:val="p"/>
          </m:rPr>
          <m:t>L</m:t>
        </m:r>
      </m:oMath>
      <w:r>
        <w:t xml:space="preserve"> </w:t>
      </w:r>
      <w:r>
        <w:t xml:space="preserve">on the positive subset. We</w:t>
      </w:r>
      <w:r>
        <w:t xml:space="preserve"> </w:t>
      </w:r>
      <w:r>
        <w:t xml:space="preserve">tie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to the productivity shock</w:t>
      </w:r>
      <w:r>
        <w:t xml:space="preserve"> </w:t>
      </w:r>
      <m:oMath>
        <m:sSub>
          <m:e>
            <m:r>
              <m:t>g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through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S</m:t>
              </m:r>
              <m:r>
                <m:t>2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t> </m:t>
          </m:r>
          <m:r>
            <m:rPr>
              <m:nor/>
              <m:sty m:val="p"/>
            </m:rPr>
            <m:t>(compressive)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S</m:t>
              </m:r>
              <m:r>
                <m:t>3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t> </m:t>
          </m:r>
          <m:r>
            <m:rPr>
              <m:nor/>
              <m:sty m:val="p"/>
            </m:rPr>
            <m:t>(expansive)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now we assume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a proportional mapping between growth and</w:t>
      </w:r>
      <w:r>
        <w:t xml:space="preserve"> </w:t>
      </w:r>
      <w:r>
        <w:t xml:space="preserve">dispersion. The code supports a scalar multiplier if a different</w:t>
      </w:r>
      <w:r>
        <w:t xml:space="preserve"> </w:t>
      </w:r>
      <w:r>
        <w:t xml:space="preserve">calibration becomes appropriate; sensitivity values of 0.5 (mute the</w:t>
      </w:r>
      <w:r>
        <w:t xml:space="preserve"> </w:t>
      </w:r>
      <w:r>
        <w:t xml:space="preserve">dispersion bite) and 2 (amplify it) are the documented ranges.</w:t>
      </w:r>
    </w:p>
    <w:p>
      <w:pPr>
        <w:pStyle w:val="BodyText"/>
      </w:pPr>
      <w:r>
        <w:t xml:space="preserve">The compressive scenario captures the world in which AI’s labor-side</w:t>
      </w:r>
      <w:r>
        <w:t xml:space="preserve"> </w:t>
      </w:r>
      <w:r>
        <w:t xml:space="preserve">cost falls hardest on the top end of the wage distribution</w:t>
      </w:r>
      <w:r>
        <w:t xml:space="preserve"> </w:t>
      </w:r>
      <w:r>
        <w:t xml:space="preserve">(substitution at the high end, e.g. cognitive professional work).</w:t>
      </w:r>
      <w:r>
        <w:t xml:space="preserve"> </w:t>
      </w:r>
      <w:r>
        <w:t xml:space="preserve">The expansive scenario captures the opposite — AI raises the</w:t>
      </w:r>
      <w:r>
        <w:t xml:space="preserve"> </w:t>
      </w:r>
      <w:r>
        <w:t xml:space="preserve">productivity (and pay) of high-skill labor while displacing or</w:t>
      </w:r>
      <w:r>
        <w:t xml:space="preserve"> </w:t>
      </w:r>
      <w:r>
        <w:t xml:space="preserve">stagnating mid- and bottom-wages. We do not take a view on which is</w:t>
      </w:r>
      <w:r>
        <w:t xml:space="preserve"> </w:t>
      </w:r>
      <w:r>
        <w:t xml:space="preserve">more likely.</w:t>
      </w:r>
    </w:p>
    <w:bookmarkEnd w:id="30"/>
    <w:bookmarkEnd w:id="31"/>
    <w:bookmarkStart w:id="34" w:name="capital-side-allocation"/>
    <w:p>
      <w:pPr>
        <w:pStyle w:val="Heading2"/>
      </w:pPr>
      <w:r>
        <w:t xml:space="preserve">Capital-side allocation</w:t>
      </w:r>
    </w:p>
    <w:p>
      <w:pPr>
        <w:pStyle w:val="FirstParagraph"/>
      </w:pPr>
      <w:r>
        <w:t xml:space="preserve">This section details the allocation of the excess capital income</w:t>
      </w:r>
      <w:r>
        <w:t xml:space="preserve"> </w:t>
      </w:r>
      <w:r>
        <w:t xml:space="preserve">generated by the shock to individual tax units and — within tax</w:t>
      </w:r>
      <w:r>
        <w:t xml:space="preserve"> </w:t>
      </w:r>
      <w:r>
        <w:t xml:space="preserve">units — across streams of capital income. Given how we define the</w:t>
      </w:r>
      <w:r>
        <w:t xml:space="preserve"> </w:t>
      </w:r>
      <w:r>
        <w:t xml:space="preserve">baseline capital-income flow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a function of taxable income</w:t>
      </w:r>
      <w:r>
        <w:t xml:space="preserve"> </w:t>
      </w:r>
      <w:r>
        <w:t xml:space="preserve">reported on tax returns), we are growing an already-realized stream</w:t>
      </w:r>
      <w:r>
        <w:t xml:space="preserve"> </w:t>
      </w:r>
      <w:r>
        <w:t xml:space="preserve">of taxable income. For this initial version of the model, we assume</w:t>
      </w:r>
      <w:r>
        <w:t xml:space="preserve"> </w:t>
      </w:r>
      <w:r>
        <w:t xml:space="preserve">that realization rates are held constant, meaning that capital income</w:t>
      </w:r>
      <w:r>
        <w:t xml:space="preserve"> </w:t>
      </w:r>
      <w:r>
        <w:t xml:space="preserve">is not realized (and therefore taxed) at a different rate due to the</w:t>
      </w:r>
      <w:r>
        <w:t xml:space="preserve"> </w:t>
      </w:r>
      <w:r>
        <w:t xml:space="preserve">productivity shock or the capital-labor shift.</w:t>
      </w:r>
    </w:p>
    <w:bookmarkStart w:id="32" w:name="Xa76c862354a5ada657ee0c06f6c05fb9f0d73e8"/>
    <w:p>
      <w:pPr>
        <w:pStyle w:val="Heading3"/>
      </w:pPr>
      <w:r>
        <w:t xml:space="preserve">From the macro shock to dollars flowing to households</w:t>
      </w:r>
    </w:p>
    <w:p>
      <w:pPr>
        <w:pStyle w:val="FirstParagraph"/>
      </w:pPr>
      <w:r>
        <w:t xml:space="preserve">The aggregate capital income flow added by the shock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Corporate income tax operates</w:t>
      </w:r>
      <w:r>
        <w:t xml:space="preserve"> </w:t>
      </w:r>
      <w:r>
        <w:rPr>
          <w:b/>
          <w:bCs/>
        </w:rPr>
        <w:t xml:space="preserve">upstream</w:t>
      </w:r>
      <w:r>
        <w:t xml:space="preserve"> </w:t>
      </w:r>
      <w:r>
        <w:t xml:space="preserve">of household realizations,</w:t>
      </w:r>
      <w:r>
        <w:t xml:space="preserve"> </w:t>
      </w:r>
      <w:r>
        <w:t xml:space="preserve">so the AI capital flow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reaches tax units in full. We capture the</w:t>
      </w:r>
      <w:r>
        <w:t xml:space="preserve"> </w:t>
      </w:r>
      <w:r>
        <w:t xml:space="preserve">corporate-tax effect of the shock as a macro bolt-on, anchored to CBO’s</w:t>
      </w:r>
      <w:r>
        <w:t xml:space="preserve"> </w:t>
      </w:r>
      <w:r>
        <w:t xml:space="preserve">baseline-year CIT level, rather than as a household-side wedge that</w:t>
      </w:r>
      <w:r>
        <w:t xml:space="preserve"> </w:t>
      </w:r>
      <w:r>
        <w:t xml:space="preserve">mechanically subtracts from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A fraction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flows through C-corporations in the</w:t>
      </w:r>
      <w:r>
        <w:t xml:space="preserve"> </w:t>
      </w:r>
      <w:r>
        <w:t xml:space="preserve">household-realized frame. To scale that household-realized slice up</w:t>
      </w:r>
      <w:r>
        <w:t xml:space="preserve"> </w:t>
      </w:r>
      <w:r>
        <w:t xml:space="preserve">to the pre-realization corporate tax base — and absorb the</w:t>
      </w:r>
      <w:r>
        <w:t xml:space="preserve"> </w:t>
      </w:r>
      <w:r>
        <w:t xml:space="preserve">statutory-vs-effective gap (avoidance, NOLs, credits, profit</w:t>
      </w:r>
      <w:r>
        <w:t xml:space="preserve"> </w:t>
      </w:r>
      <w:r>
        <w:t xml:space="preserve">shifting) — we calibrate a single factor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against CBO’s</w:t>
      </w:r>
      <w:r>
        <w:t xml:space="preserve"> </w:t>
      </w:r>
      <w:r>
        <w:t xml:space="preserve">baseline-year CIT level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p>
        </m:sSubSup>
      </m:oMath>
      <w:r>
        <w:t xml:space="preserve">, calculated by</w:t>
      </w:r>
      <w:r>
        <w:t xml:space="preserve"> </w:t>
      </w:r>
      <w:r>
        <w:t xml:space="preserve">multiplying the baseline (2030 in this case) CIT revenue to GDP ratio (from</w:t>
      </w:r>
      <w:r>
        <w:t xml:space="preserve"> </w:t>
      </w:r>
      <w:r>
        <w:t xml:space="preserve">CBO’s 2026 Budget and Economic Outlook) by baseline GDP: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bSup>
                <m:e>
                  <m:r>
                    <m:t>τ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κ</m:t>
              </m:r>
            </m:num>
            <m:den>
              <m:sSubSup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</m:sub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The AI CIT delta then scales linearly with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bSup>
                <m:e>
                  <m:r>
                    <m:t>τ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r>
                <m:rPr>
                  <m:sty m:val="p"/>
                </m:rPr>
                <m:t>⋅</m:t>
              </m:r>
              <m:r>
                <m:t>κ</m:t>
              </m:r>
              <m:r>
                <m:rPr>
                  <m:sty m:val="p"/>
                </m:rPr>
                <m:t>⋅</m:t>
              </m:r>
              <m:r>
                <m:t>X</m:t>
              </m:r>
            </m:num>
            <m:den>
              <m:r>
                <m:t>η</m:t>
              </m:r>
            </m:den>
          </m:f>
          <m:r>
            <m:t> </m:t>
          </m:r>
          <m:r>
            <m:rPr>
              <m:sty m:val="p"/>
            </m:rPr>
            <m:t>≡</m:t>
          </m:r>
          <m:r>
            <m:t> </m:t>
          </m:r>
          <m:f>
            <m:fPr>
              <m:type m:val="bar"/>
            </m:fPr>
            <m:num>
              <m:r>
                <m:t>X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Δ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compact form on the right is exact and intuitive: the AI CIT</w:t>
      </w:r>
      <w:r>
        <w:t xml:space="preserve"> </w:t>
      </w:r>
      <w:r>
        <w:t xml:space="preserve">delta equals the AI capital flow’s share of baseline capital income</w:t>
      </w:r>
      <w:r>
        <w:t xml:space="preserve"> </w:t>
      </w:r>
      <w:r>
        <w:t xml:space="preserve">times the CBO baseline CIT level. With</w:t>
      </w:r>
      <w:r>
        <w:t xml:space="preserve"> </w:t>
      </w:r>
      <m:oMath>
        <m:sSubSup>
          <m:e>
            <m:r>
              <m:t>τ</m:t>
            </m:r>
          </m:e>
          <m:sub>
            <m:r>
              <m:t>C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=</m:t>
        </m:r>
        <m:r>
          <m:t>21</m:t>
        </m:r>
        <m:r>
          <m:rPr>
            <m:sty m:val="p"/>
          </m:rPr>
          <m:t>%</m:t>
        </m:r>
      </m:oMath>
      <w:r>
        <w:t xml:space="preserve"> </w:t>
      </w:r>
      <w:r>
        <w:t xml:space="preserve">(TCJA),</w:t>
      </w:r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0.50</m:t>
        </m:r>
      </m:oMath>
      <w:r>
        <w:t xml:space="preserve"> </w:t>
      </w:r>
      <w:r>
        <w:t xml:space="preserve">(the narrow C-corp share of</w:t>
      </w:r>
      <w:r>
        <w:t xml:space="preserve"> </w:t>
      </w:r>
      <w:r>
        <w:t xml:space="preserve">capital income from NIPA 2024, with S-Corp profit stripped from the</w:t>
      </w:r>
      <w:r>
        <w:t xml:space="preserve"> </w:t>
      </w:r>
      <w:r>
        <w:t xml:space="preserve">numerator), and CBO’s 2030 CIT anchor of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$</m:t>
        </m:r>
        <m:r>
          <m:t>486</m:t>
        </m:r>
      </m:oMath>
      <w:r>
        <w:t xml:space="preserve">B</w:t>
      </w:r>
      <w:r>
        <w:t xml:space="preserve"> </w:t>
      </w:r>
      <w:r>
        <w:t xml:space="preserve">(or CIT-to-GDP equaling</w:t>
      </w:r>
      <w:r>
        <w:t xml:space="preserve"> </w:t>
      </w:r>
      <m:oMath>
        <m:r>
          <m:t>0.013</m:t>
        </m:r>
      </m:oMath>
      <w:r>
        <w:t xml:space="preserve"> </w:t>
      </w:r>
      <w:r>
        <w:t xml:space="preserve">times GDP),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falls out to roughly one in practice; its exact value is</w:t>
      </w:r>
      <w:r>
        <w:t xml:space="preserve"> </w:t>
      </w:r>
      <w:r>
        <w:t xml:space="preserve">reported on the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sheet of every run.</w:t>
      </w:r>
    </w:p>
    <w:p>
      <w:pPr>
        <w:pStyle w:val="BodyText"/>
      </w:pPr>
      <w:r>
        <w:t xml:space="preserve">The corporate-tax delta enters aggregate revenue as a single number</w:t>
      </w:r>
      <w:r>
        <w:t xml:space="preserve"> </w:t>
      </w:r>
      <w:r>
        <w:t xml:space="preserve">layered onto the microsim revenue total;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attributed</w:t>
      </w:r>
      <w:r>
        <w:t xml:space="preserve"> </w:t>
      </w:r>
      <w:r>
        <w:t xml:space="preserve">back to individual households. As a result, every distributional</w:t>
      </w:r>
      <w:r>
        <w:t xml:space="preserve"> </w:t>
      </w:r>
      <w:r>
        <w:t xml:space="preserve">figure in our output reflects the full capital flow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reaches</w:t>
      </w:r>
      <w:r>
        <w:t xml:space="preserve"> </w:t>
      </w:r>
      <w:r>
        <w:t xml:space="preserve">households. This is a deliberate choice: we do not adopt a</w:t>
      </w:r>
      <w:r>
        <w:t xml:space="preserve"> </w:t>
      </w:r>
      <w:r>
        <w:t xml:space="preserve">per-household corporate-incidence assumption.</w:t>
      </w:r>
      <w:r>
        <w:t xml:space="preserve"> </w:t>
      </w:r>
      <w:r>
        <w:t xml:space="preserve">### Across-unit allocation</w:t>
      </w:r>
    </w:p>
    <w:p>
      <w:pPr>
        <w:pStyle w:val="BodyText"/>
      </w:pPr>
      <w:r>
        <w:t xml:space="preserve">We distribute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across tax units in</w:t>
      </w:r>
      <w:r>
        <w:t xml:space="preserve"> </w:t>
      </w:r>
      <w:r>
        <w:t xml:space="preserve">proportion to each unit’s share of total household wealth: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X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sum of the unit’s SCF-imputed wealth columns</w:t>
      </w:r>
      <w:r>
        <w:t xml:space="preserve"> </w:t>
      </w:r>
      <w:r>
        <w:t xml:space="preserve">(cash, equities, bonds, retirement balances, life insurance,</w:t>
      </w:r>
      <w:r>
        <w:t xml:space="preserve"> </w:t>
      </w:r>
      <w:r>
        <w:t xml:space="preserve">annuities, trusts, real-estate funds, primary and other home equity,</w:t>
      </w:r>
      <w:r>
        <w:t xml:space="preserve"> </w:t>
      </w:r>
      <w:r>
        <w:t xml:space="preserve">pass-through equity, and miscellaneous non-financial assets).</w:t>
      </w:r>
      <w:r>
        <w:t xml:space="preserve"> </w:t>
      </w:r>
      <w:r>
        <w:t xml:space="preserve">Allocating to total wealth assumes the AI shock raises returns</w:t>
      </w:r>
      <w:r>
        <w:t xml:space="preserve"> </w:t>
      </w:r>
      <w:r>
        <w:t xml:space="preserve">proportionally across asset classes; pinning to a narrower base</w:t>
      </w:r>
      <w:r>
        <w:t xml:space="preserve"> </w:t>
      </w:r>
      <w:r>
        <w:t xml:space="preserve">would push the distributional incidence further toward the top and is</w:t>
      </w:r>
      <w:r>
        <w:t xml:space="preserve"> </w:t>
      </w:r>
      <w:r>
        <w:t xml:space="preserve">an area we plan to explore in the future.</w:t>
      </w:r>
    </w:p>
    <w:bookmarkEnd w:id="32"/>
    <w:bookmarkStart w:id="33" w:name="Xdf0cdb5b5b13c090ad0bd6642bad7d1901c7222"/>
    <w:p>
      <w:pPr>
        <w:pStyle w:val="Heading3"/>
      </w:pPr>
      <w:r>
        <w:t xml:space="preserve">Within-unit allocation across income types</w:t>
      </w:r>
    </w:p>
    <w:p>
      <w:pPr>
        <w:pStyle w:val="FirstParagraph"/>
      </w:pPr>
      <w:r>
        <w:t xml:space="preserve">The asset base contains both income-bearing and non-income-bearing</w:t>
      </w:r>
      <w:r>
        <w:t xml:space="preserve"> </w:t>
      </w:r>
      <w:r>
        <w:t xml:space="preserve">classes. Of the income-bearing classes, four matter for tax</w:t>
      </w:r>
      <w:r>
        <w:t xml:space="preserve"> </w:t>
      </w:r>
      <w:r>
        <w:t xml:space="preserve">purposes: equities (taxable), bonds, pass-through equity, and</w:t>
      </w:r>
      <w:r>
        <w:t xml:space="preserve"> </w:t>
      </w:r>
      <w:r>
        <w:t xml:space="preserve">retirement balances.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be their sum for a</w:t>
      </w:r>
      <w:r>
        <w:t xml:space="preserve"> </w:t>
      </w:r>
      <w:r>
        <w:t xml:space="preserve">given tax unit. We allocate each unit’s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across the four</w:t>
      </w:r>
      <w:r>
        <w:t xml:space="preserve"> </w:t>
      </w:r>
      <w:r>
        <w:t xml:space="preserve">classes proportional to its baseline holdings within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Units with zero income-bearing holdings route their entire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w:r>
        <w:t xml:space="preserve">retirement, preserving the aggregate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s</m:t>
            </m:r>
          </m:sub>
        </m:sSub>
      </m:oMath>
      <w:r>
        <w:t xml:space="preserve">. This fallback affects roughly 33% of tax</w:t>
      </w:r>
      <w:r>
        <w:t xml:space="preserve"> </w:t>
      </w:r>
      <w:r>
        <w:t xml:space="preserve">units in 2030 but only 6.7% of</w:t>
      </w:r>
      <w:r>
        <w:t xml:space="preserve"> </w:t>
      </w:r>
      <m:oMath>
        <m:r>
          <m:t>X</m:t>
        </m:r>
      </m:oMath>
      <w:r>
        <w:t xml:space="preserve">; most of the affected mass sits</w:t>
      </w:r>
      <w:r>
        <w:t xml:space="preserve"> </w:t>
      </w:r>
      <w:r>
        <w:t xml:space="preserve">in tax units whose wealth is only in housing. If we redefine the</w:t>
      </w:r>
      <w:r>
        <w:t xml:space="preserve"> </w:t>
      </w:r>
      <w:r>
        <w:t xml:space="preserve">asset base to exclude housing, only 2.4%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routed through</w:t>
      </w:r>
      <w:r>
        <w:t xml:space="preserve"> </w:t>
      </w:r>
      <w:r>
        <w:t xml:space="preserve">retirement via this fallback.</w:t>
      </w:r>
    </w:p>
    <w:p>
      <w:pPr>
        <w:pStyle w:val="BodyText"/>
      </w:pPr>
      <w:r>
        <w:t xml:space="preserve">Each class then flows through to specific taxable-income types: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Taxable public-equity flow</w:t>
      </w:r>
      <w:r>
        <w:t xml:space="preserve"> </w:t>
      </w:r>
      <w:r>
        <w:t xml:space="preserve">splits between qualified dividends</w:t>
      </w:r>
      <w:r>
        <w:t xml:space="preserve"> </w:t>
      </w:r>
      <w:r>
        <w:t xml:space="preserve">and gross long-term capital gains using a fixed share table (30%</w:t>
      </w:r>
      <w:r>
        <w:t xml:space="preserve"> </w:t>
      </w:r>
      <w:r>
        <w:t xml:space="preserve">dividend / 70% gross LTCG).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Fixed-income flow</w:t>
      </w:r>
      <w:r>
        <w:t xml:space="preserve"> </w:t>
      </w:r>
      <w:r>
        <w:t xml:space="preserve">splits between taxable and tax-exempt</w:t>
      </w:r>
      <w:r>
        <w:t xml:space="preserve"> </w:t>
      </w:r>
      <w:r>
        <w:t xml:space="preserve">interest at each unit’s baseline ratio.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Pass-through equity flow</w:t>
      </w:r>
      <w:r>
        <w:t xml:space="preserve"> </w:t>
      </w:r>
      <w:r>
        <w:t xml:space="preserve">becomes pass-through ordinary income,</w:t>
      </w:r>
      <w:r>
        <w:t xml:space="preserve"> </w:t>
      </w:r>
      <w:r>
        <w:t xml:space="preserve">further allocated across S-Corp and partnership active/passive</w:t>
      </w:r>
      <w:r>
        <w:t xml:space="preserve"> </w:t>
      </w:r>
      <w:r>
        <w:t xml:space="preserve">sub-buckets using baseline positive capital holdings as weights.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Retirement flow</w:t>
      </w:r>
      <w:r>
        <w:t xml:space="preserve"> </w:t>
      </w:r>
      <w:r>
        <w:t xml:space="preserve">runs through the procedure described in the</w:t>
      </w:r>
      <w:r>
        <w:t xml:space="preserve"> </w:t>
      </w:r>
      <w:r>
        <w:t xml:space="preserve">next section.</w:t>
      </w:r>
    </w:p>
    <w:bookmarkEnd w:id="33"/>
    <w:bookmarkEnd w:id="34"/>
    <w:bookmarkStart w:id="36" w:name="Xeb1502d9e2c6f52d382fe37509e62d8937c769e"/>
    <w:p>
      <w:pPr>
        <w:pStyle w:val="Heading2"/>
      </w:pPr>
      <w:r>
        <w:t xml:space="preserve">Building the counterfactual and running the tax calculator</w:t>
      </w:r>
    </w:p>
    <w:p>
      <w:pPr>
        <w:pStyle w:val="FirstParagraph"/>
      </w:pPr>
      <w:r>
        <w:t xml:space="preserve">For every cell in the scenario grid — a tuple of (variant, share</w:t>
      </w:r>
      <w:r>
        <w:t xml:space="preserve"> </w:t>
      </w:r>
      <w:r>
        <w:t xml:space="preserve">mode, labor scenario, realization) — we construct a tax-unit file</w:t>
      </w:r>
      <w:r>
        <w:t xml:space="preserve"> </w:t>
      </w:r>
      <w:r>
        <w:t xml:space="preserve">with the same schema as the baseline and write it to a sibling</w:t>
      </w:r>
      <w:r>
        <w:t xml:space="preserve"> </w:t>
      </w:r>
      <w:r>
        <w:t xml:space="preserve">scenario folder under the pinned Tax-Data vintage. The construction</w:t>
      </w:r>
      <w:r>
        <w:t xml:space="preserve"> </w:t>
      </w:r>
      <w:r>
        <w:t xml:space="preserve">steps: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Labor scaling.</w:t>
      </w:r>
      <w:r>
        <w:t xml:space="preserve"> </w:t>
      </w:r>
      <w:r>
        <w:t xml:space="preserve">Each unit’s labor scaling factor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Y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Y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applied to</w:t>
      </w:r>
      <w:r>
        <w:t xml:space="preserve"> </w:t>
      </w:r>
      <w:r>
        <w:t xml:space="preserve">every uniformly-labor PUF column: wages, overtime, tips,</w:t>
      </w:r>
      <w:r>
        <w:t xml:space="preserve"> </w:t>
      </w:r>
      <w:r>
        <w:t xml:space="preserve">sole-prop, farm, partnership self-employment, plus the</w:t>
      </w:r>
      <w:r>
        <w:t xml:space="preserve"> </w:t>
      </w:r>
      <w:r>
        <w:t xml:space="preserve">per-spouse splits.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Pass-through reconstruction.</w:t>
      </w:r>
      <w:r>
        <w:t xml:space="preserve"> </w:t>
      </w:r>
      <w:r>
        <w:t xml:space="preserve">Each of the four pass-through</w:t>
      </w:r>
      <w:r>
        <w:t xml:space="preserve"> </w:t>
      </w:r>
      <w:r>
        <w:t xml:space="preserve">sub-buckets (S-Corp active and passive, partnership active and</w:t>
      </w:r>
      <w:r>
        <w:t xml:space="preserve"> </w:t>
      </w:r>
      <w:r>
        <w:t xml:space="preserve">passive) gets its labor side scaled by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capital</w:t>
      </w:r>
      <w:r>
        <w:t xml:space="preserve"> </w:t>
      </w:r>
      <w:r>
        <w:t xml:space="preserve">side augmented by the relevant share of the AI pass-through</w:t>
      </w:r>
      <w:r>
        <w:t xml:space="preserve"> </w:t>
      </w:r>
      <w:r>
        <w:t xml:space="preserve">flow. The new net is decomposed back into positive and loss</w:t>
      </w:r>
      <w:r>
        <w:t xml:space="preserve"> </w:t>
      </w:r>
      <w:r>
        <w:t xml:space="preserve">columns so the calculator sees a normal pass-through structure.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Pure-capital flow add-ons.</w:t>
      </w:r>
      <w:r>
        <w:t xml:space="preserve"> </w:t>
      </w:r>
      <w:r>
        <w:t xml:space="preserve">Per-unit AI flows are added to</w:t>
      </w:r>
      <w:r>
        <w:t xml:space="preserve"> </w:t>
      </w:r>
      <w:r>
        <w:t xml:space="preserve">the relevant PUF columns: qualified dividends, taxable and</w:t>
      </w:r>
      <w:r>
        <w:t xml:space="preserve"> </w:t>
      </w:r>
      <w:r>
        <w:t xml:space="preserve">exempt interest, long-term capital gains, and the retirement</w:t>
      </w:r>
      <w:r>
        <w:t xml:space="preserve"> </w:t>
      </w:r>
      <w:r>
        <w:t xml:space="preserve">procedure outputs from the previous section (gross pension</w:t>
      </w:r>
      <w:r>
        <w:t xml:space="preserve"> </w:t>
      </w:r>
      <w:r>
        <w:t xml:space="preserve">distributions, taxable pension distributions, and taxable IRA</w:t>
      </w:r>
      <w:r>
        <w:t xml:space="preserve"> </w:t>
      </w:r>
      <w:r>
        <w:t xml:space="preserve">distributions). For new long-term gains we populate cost basis</w:t>
      </w:r>
      <w:r>
        <w:t xml:space="preserve"> </w:t>
      </w:r>
      <w:r>
        <w:t xml:space="preserve">and holding period using gain-weighted blends of the unit’s</w:t>
      </w:r>
      <w:r>
        <w:t xml:space="preserve"> </w:t>
      </w:r>
      <w:r>
        <w:t xml:space="preserve">baseline values, which the calculator needs to compute the</w:t>
      </w:r>
      <w:r>
        <w:t xml:space="preserve"> </w:t>
      </w:r>
      <w:r>
        <w:t xml:space="preserve">inflation-adjusted basis.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Schema restoration.</w:t>
      </w:r>
      <w:r>
        <w:t xml:space="preserve"> </w:t>
      </w:r>
      <w:r>
        <w:t xml:space="preserve">Every analytic column we constructed</w:t>
      </w:r>
      <w:r>
        <w:t xml:space="preserve"> </w:t>
      </w:r>
      <w:r>
        <w:t xml:space="preserve">along the way (</w:t>
      </w:r>
      <m:oMath>
        <m:r>
          <m:rPr>
            <m:sty m:val="p"/>
          </m:rPr>
          <m:t>Y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Y</m:t>
        </m:r>
        <m:r>
          <m:rPr>
            <m:sty m:val="p"/>
          </m:rPr>
          <m:t>i</m:t>
        </m:r>
        <m:r>
          <m:rPr>
            <m:sty m:val="p"/>
          </m:rPr>
          <m:t>K</m:t>
        </m:r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, the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flows, capital-share blends) is dropped, so the output reads</w:t>
      </w:r>
      <w:r>
        <w:t xml:space="preserve"> </w:t>
      </w:r>
      <w:r>
        <w:t xml:space="preserve">as a vanilla baseline file with shifted income totals.</w:t>
      </w:r>
    </w:p>
    <w:p>
      <w:pPr>
        <w:pStyle w:val="FirstParagraph"/>
      </w:pPr>
      <w:r>
        <w:t xml:space="preserve">Tax-Simulator then reads the counterfactual file as a sibling</w:t>
      </w:r>
      <w:r>
        <w:t xml:space="preserve"> </w:t>
      </w:r>
      <w:r>
        <w:t xml:space="preserve">Tax-Data ID and runs the full IIT + payroll calculation on it. The</w:t>
      </w:r>
      <w:r>
        <w:t xml:space="preserve"> </w:t>
      </w:r>
      <w:r>
        <w:t xml:space="preserve">shock parameters never enter the tax calculator — they reach it</w:t>
      </w:r>
      <w:r>
        <w:t xml:space="preserve"> </w:t>
      </w:r>
      <w:r>
        <w:t xml:space="preserve">only through the income totals on the counterfactual file.</w:t>
      </w:r>
    </w:p>
    <w:bookmarkStart w:id="35" w:name="Xb51b35558bc4690d1866979061a09befca37ce0"/>
    <w:p>
      <w:pPr>
        <w:pStyle w:val="Heading3"/>
      </w:pPr>
      <w:r>
        <w:t xml:space="preserve">Decomposing the revenue change into labor and capital contributions</w:t>
      </w:r>
    </w:p>
    <w:p>
      <w:pPr>
        <w:pStyle w:val="FirstParagraph"/>
      </w:pPr>
      <w:r>
        <w:t xml:space="preserve">Two separate channels move revenue in a typical scenario: shifting</w:t>
      </w:r>
      <w:r>
        <w:t xml:space="preserve"> </w:t>
      </w:r>
      <w:r>
        <w:t xml:space="preserve">labor income and adding capital income. The interaction between</w:t>
      </w:r>
      <w:r>
        <w:t xml:space="preserve"> </w:t>
      </w:r>
      <w:r>
        <w:t xml:space="preserve">them is non-linear (because the tax schedule itself is non-linear:</w:t>
      </w:r>
      <w:r>
        <w:t xml:space="preserve"> </w:t>
      </w:r>
      <w:r>
        <w:t xml:space="preserve">brackets, phase-outs, AMT), so a clean</w:t>
      </w:r>
      <w:r>
        <w:t xml:space="preserve"> </w:t>
      </w:r>
      <w:r>
        <w:t xml:space="preserve">“labor versus capital”</w:t>
      </w:r>
      <w:r>
        <w:t xml:space="preserve"> </w:t>
      </w:r>
      <w:r>
        <w:t xml:space="preserve">attribution requires care.</w:t>
      </w:r>
    </w:p>
    <w:p>
      <w:pPr>
        <w:pStyle w:val="BodyText"/>
      </w:pPr>
      <w:r>
        <w:t xml:space="preserve">Each cell produces three Tax-Simulator runs: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Both</w:t>
      </w:r>
      <w:r>
        <w:t xml:space="preserve"> </w:t>
      </w:r>
      <w:r>
        <w:t xml:space="preserve">— labor and capital shocks both applied (the standard</w:t>
      </w:r>
      <w:r>
        <w:t xml:space="preserve"> </w:t>
      </w:r>
      <w:r>
        <w:t xml:space="preserve">scenario).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Labor-only</w:t>
      </w:r>
      <w:r>
        <w:t xml:space="preserve"> </w:t>
      </w:r>
      <w:r>
        <w:t xml:space="preserve">— labor side shocked; capital flows held at</w:t>
      </w:r>
      <w:r>
        <w:t xml:space="preserve"> </w:t>
      </w:r>
      <w:r>
        <w:t xml:space="preserve">baseline.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Capital-only</w:t>
      </w:r>
      <w:r>
        <w:t xml:space="preserve"> </w:t>
      </w:r>
      <w:r>
        <w:t xml:space="preserve">— capital side shocked; labor flows held at</w:t>
      </w:r>
      <w:r>
        <w:t xml:space="preserve"> </w:t>
      </w:r>
      <w:r>
        <w:t xml:space="preserve">baseline.</w:t>
      </w:r>
    </w:p>
    <w:p>
      <w:pPr>
        <w:pStyle w:val="FirstParagraph"/>
      </w:pPr>
      <w:r>
        <w:t xml:space="preserve">We then decompose the total revenue change as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+</m:t>
          </m:r>
          <m: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interaction term captures non-linear bracket effects (the</w:t>
      </w:r>
      <w:r>
        <w:t xml:space="preserve"> </w:t>
      </w:r>
      <w:r>
        <w:t xml:space="preserve">combined shock can push a unit across an AMT or NIIT threshold that</w:t>
      </w:r>
      <w:r>
        <w:t xml:space="preserve"> </w:t>
      </w:r>
      <w:r>
        <w:t xml:space="preserve">neither side would have triggered alone). Payroll tax counts</w:t>
      </w:r>
      <w:r>
        <w:t xml:space="preserve"> </w:t>
      </w:r>
      <w:r>
        <w:t xml:space="preserve">mechanically as labor: the capital-only run leaves wages at</w:t>
      </w:r>
      <w:r>
        <w:t xml:space="preserve"> </w:t>
      </w:r>
      <w:r>
        <w:t xml:space="preserve">baseline, so its payroll delta is zero.</w:t>
      </w:r>
    </w:p>
    <w:bookmarkEnd w:id="35"/>
    <w:bookmarkEnd w:id="36"/>
    <w:bookmarkStart w:id="38" w:name="Xa15f6b03e081c3dc0dff65a140fa9c06b8ad990"/>
    <w:p>
      <w:pPr>
        <w:pStyle w:val="Heading2"/>
      </w:pPr>
      <w:r>
        <w:t xml:space="preserve">Aggregation and the revenue-to-GDP anchor</w:t>
      </w:r>
    </w:p>
    <w:p>
      <w:pPr>
        <w:pStyle w:val="FirstParagraph"/>
      </w:pPr>
      <w:r>
        <w:t xml:space="preserve">The final step reads Tax-Simulator output and produces the</w:t>
      </w:r>
      <w:r>
        <w:t xml:space="preserve"> </w:t>
      </w:r>
      <w:r>
        <w:t xml:space="preserve">publishable aggregates: revenue deltas per instrument, pre-tax and</w:t>
      </w:r>
      <w:r>
        <w:t xml:space="preserve"> </w:t>
      </w:r>
      <w:r>
        <w:t xml:space="preserve">after-tax income deltas, Gini deltas on pre-tax and after-tax</w:t>
      </w:r>
      <w:r>
        <w:t xml:space="preserve"> </w:t>
      </w:r>
      <w:r>
        <w:t xml:space="preserve">income, decile shares, and top-1, top-0.1, top-0.01 shares. We also</w:t>
      </w:r>
      <w:r>
        <w:t xml:space="preserve"> </w:t>
      </w:r>
      <w:r>
        <w:t xml:space="preserve">layer the macro CIT delta onto the microsim revenue total to</w:t>
      </w:r>
      <w:r>
        <w:t xml:space="preserve"> </w:t>
      </w:r>
      <w:r>
        <w:t xml:space="preserve">produce the bottom-line revenue change.</w:t>
      </w:r>
    </w:p>
    <w:p>
      <w:pPr>
        <w:pStyle w:val="BodyText"/>
      </w:pPr>
      <w:r>
        <w:t xml:space="preserve">Because the microsim does not include a baseline corporate income</w:t>
      </w:r>
      <w:r>
        <w:t xml:space="preserve"> </w:t>
      </w:r>
      <w:r>
        <w:t xml:space="preserve">tax level — Tax-Simulator handles only the individual-and-payroll</w:t>
      </w:r>
      <w:r>
        <w:t xml:space="preserve"> </w:t>
      </w:r>
      <w:r>
        <w:t xml:space="preserve">base — the model’s internal revenue / GDP ratio understates the</w:t>
      </w:r>
      <w:r>
        <w:t xml:space="preserve"> </w:t>
      </w:r>
      <w:r>
        <w:t xml:space="preserve">published level by roughly 1.3 percentage points at 2030. For the</w:t>
      </w:r>
      <w:r>
        <w:t xml:space="preserve"> </w:t>
      </w:r>
      <w:r>
        <w:t xml:space="preserve">publishable revenue-to-GDP comparison we therefore anchor the</w:t>
      </w:r>
      <w:r>
        <w:t xml:space="preserve"> </w:t>
      </w:r>
      <w:r>
        <w:t xml:space="preserve">baseline to CBO’s published 2030 ratio (17.7%; CBO publication</w:t>
      </w:r>
      <w:r>
        <w:t xml:space="preserve"> </w:t>
      </w:r>
      <w:r>
        <w:t xml:space="preserve">62105) and add the model’s</w:t>
      </w:r>
      <w:r>
        <w:t xml:space="preserve"> </w:t>
      </w:r>
      <m:oMath>
        <m:r>
          <m:t>Δ</m:t>
        </m:r>
        <m:r>
          <m:t>R</m:t>
        </m:r>
      </m:oMath>
      <w:r>
        <w:t xml:space="preserve"> </w:t>
      </w:r>
      <w:r>
        <w:t xml:space="preserve">on top: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Y</m:t>
              </m:r>
            </m:den>
          </m:f>
          <m:sSubSup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publishable change in the revenue-to-GDP ratio is then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r>
                        <m:t>Y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b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</m:sup>
              </m:sSubSup>
            </m:num>
            <m:den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Y</m:t>
              </m:r>
            </m:den>
          </m:f>
          <m:sSubSup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Δ</m:t>
              </m:r>
              <m:r>
                <m:t>R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Y</m:t>
              </m:r>
            </m:den>
          </m:f>
          <m:sSubSup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term is the</w:t>
      </w:r>
      <w:r>
        <w:t xml:space="preserve"> </w:t>
      </w:r>
      <w:r>
        <w:rPr>
          <w:b/>
          <w:bCs/>
        </w:rPr>
        <w:t xml:space="preserve">dilution drag</w:t>
      </w:r>
      <w:r>
        <w:t xml:space="preserve">: even with no revenue</w:t>
      </w:r>
      <w:r>
        <w:t xml:space="preserve"> </w:t>
      </w:r>
      <w:r>
        <w:t xml:space="preserve">change, GDP growth alone would push revenue / GDP down by</w:t>
      </w:r>
      <w:r>
        <w:t xml:space="preserve"> </w:t>
      </w:r>
      <m:oMath>
        <m:sSub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/</m:t>
                </m:r>
                <m:r>
                  <m:t>Y</m:t>
                </m:r>
              </m:e>
            </m:d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⋅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g</m:t>
                </m:r>
              </m:e>
              <m:sub>
                <m:r>
                  <m:t>y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Anchoring to CBO applies that drag to a realistic revenue base, so</w:t>
      </w:r>
      <w:r>
        <w:t xml:space="preserve"> </w:t>
      </w:r>
      <w:r>
        <w:t xml:space="preserve">the published response number is meaningful relative to the</w:t>
      </w:r>
      <w:r>
        <w:t xml:space="preserve"> </w:t>
      </w:r>
      <w:r>
        <w:t xml:space="preserve">forecast level. The maintained assumption is that revenue streams</w:t>
      </w:r>
      <w:r>
        <w:t xml:space="preserve"> </w:t>
      </w:r>
      <w:r>
        <w:t xml:space="preserve">the model omits (notably the baseline CIT level and any pieces of</w:t>
      </w:r>
      <w:r>
        <w:t xml:space="preserve"> </w:t>
      </w:r>
      <w:r>
        <w:t xml:space="preserve">“other”</w:t>
      </w:r>
      <w:r>
        <w:t xml:space="preserve"> </w:t>
      </w:r>
      <w:r>
        <w:t xml:space="preserve">revenue not captured by Tax-Simulator) are unchanged in</w:t>
      </w:r>
      <w:r>
        <w:t xml:space="preserve"> </w:t>
      </w:r>
      <w:r>
        <w:t xml:space="preserve">the scenario except through channels already in</w:t>
      </w:r>
      <w:r>
        <w:t xml:space="preserve"> </w:t>
      </w:r>
      <m:oMath>
        <m:r>
          <m:t>Δ</m:t>
        </m:r>
        <m:r>
          <m:t>R</m:t>
        </m:r>
      </m:oMath>
      <w:r>
        <w:t xml:space="preserve">.</w:t>
      </w:r>
    </w:p>
    <w:bookmarkStart w:id="37" w:name="connecting-to-the-macro-model"/>
    <w:p>
      <w:pPr>
        <w:pStyle w:val="Heading3"/>
      </w:pPr>
      <w:r>
        <w:t xml:space="preserve">Connecting to the macro model</w:t>
      </w:r>
    </w:p>
    <w:p>
      <w:pPr>
        <w:pStyle w:val="FirstParagraph"/>
      </w:pPr>
      <w:r>
        <w:t xml:space="preserve">The revenue-to-GDP delta is the natural handoff into the</w:t>
      </w:r>
      <w:r>
        <w:t xml:space="preserve"> </w:t>
      </w:r>
      <w:r>
        <w:rPr>
          <w:b/>
          <w:bCs/>
        </w:rPr>
        <w:t xml:space="preserve">Budget</w:t>
      </w:r>
      <w:r>
        <w:rPr>
          <w:b/>
          <w:bCs/>
        </w:rPr>
        <w:t xml:space="preserve"> </w:t>
      </w:r>
      <w:r>
        <w:rPr>
          <w:b/>
          <w:bCs/>
        </w:rPr>
        <w:t xml:space="preserve">Lab Small Macro Model (BLSMM)</w:t>
      </w:r>
      <w:r>
        <w:t xml:space="preserve">, which carries baseline projections</w:t>
      </w:r>
      <w:r>
        <w:t xml:space="preserve"> </w:t>
      </w:r>
      <w:r>
        <w:t xml:space="preserve">for federal debt. For each scenario in</w:t>
      </w:r>
      <w:r>
        <w:t xml:space="preserve"> </w:t>
      </w:r>
      <w:r>
        <w:rPr>
          <w:rStyle w:val="VerbatimChar"/>
        </w:rPr>
        <w:t xml:space="preserve">revenue_to_gdp_&lt;year&gt;.csv</w:t>
      </w:r>
      <w:r>
        <w:t xml:space="preserve"> </w:t>
      </w:r>
      <w:r>
        <w:t xml:space="preserve">the optional step</w:t>
      </w:r>
      <w:r>
        <w:t xml:space="preserve"> </w:t>
      </w:r>
      <w:r>
        <w:rPr>
          <w:rStyle w:val="VerbatimChar"/>
        </w:rPr>
        <w:t xml:space="preserve">code/15_blsmm_debt_gdp.R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Applies the CBO-anchored revenue/GDP delta as a linear ramp on</w:t>
      </w:r>
      <w:r>
        <w:t xml:space="preserve"> </w:t>
      </w:r>
      <w:r>
        <w:t xml:space="preserve">BLSMM’s federal-revenue path (</w:t>
      </w:r>
      <m:oMath>
        <m:r>
          <m:rPr>
            <m:sty m:val="p"/>
            <m:scr m:val="monospace"/>
          </m:rPr>
          <m:t>r</m:t>
        </m:r>
        <m:r>
          <m:rPr>
            <m:sty m:val="p"/>
            <m:scr m:val="monospace"/>
          </m:rPr>
          <m:t>g</m:t>
        </m:r>
        <m:r>
          <m:rPr>
            <m:sty m:val="p"/>
            <m:scr m:val="monospace"/>
          </m:rPr>
          <m:t>f</m:t>
        </m:r>
        <m:r>
          <m:rPr>
            <m:sty m:val="p"/>
            <m:scr m:val="monospace"/>
          </m:rPr>
          <m:t>r</m:t>
        </m:r>
        <m:r>
          <m:rPr>
            <m:sty m:val="p"/>
            <m:scr m:val="monospace"/>
          </m:rPr>
          <m:t>_</m:t>
        </m:r>
        <m:r>
          <m:rPr>
            <m:sty m:val="p"/>
            <m:scr m:val="monospace"/>
          </m:rPr>
          <m:t>s</m:t>
        </m:r>
        <m:r>
          <m:rPr>
            <m:sty m:val="p"/>
            <m:scr m:val="monospace"/>
          </m:rPr>
          <m:t>t</m:t>
        </m:r>
        <m:r>
          <m:rPr>
            <m:sty m:val="p"/>
            <m:scr m:val="monospace"/>
          </m:rPr>
          <m:t>a</m:t>
        </m:r>
        <m:r>
          <m:rPr>
            <m:sty m:val="p"/>
            <m:scr m:val="monospace"/>
          </m:rPr>
          <m:t>r</m:t>
        </m:r>
      </m:oMath>
      <w:r>
        <w:t xml:space="preserve">) from</w:t>
      </w:r>
      <w:r>
        <w:t xml:space="preserve"> </w:t>
      </w:r>
      <w:r>
        <w:t xml:space="preserve">2026 through the baseline year, held at full level thereafter.</w:t>
      </w:r>
    </w:p>
    <w:p>
      <w:pPr>
        <w:pStyle w:val="Compact"/>
        <w:numPr>
          <w:ilvl w:val="0"/>
          <w:numId w:val="1007"/>
        </w:numPr>
      </w:pPr>
      <w:r>
        <w:t xml:space="preserve">Solves for a constant per-year productivity bump (added to</w:t>
      </w:r>
      <w:r>
        <w:t xml:space="preserve"> </w:t>
      </w:r>
      <w:r>
        <w:t xml:space="preserve">BLSMM’s potential-output path</w:t>
      </w:r>
      <w:r>
        <w:t xml:space="preserve"> </w:t>
      </w:r>
      <m:oMath>
        <m:r>
          <m:rPr>
            <m:sty m:val="p"/>
            <m:scr m:val="monospace"/>
          </m:rPr>
          <m:t>g</m:t>
        </m:r>
        <m:r>
          <m:rPr>
            <m:sty m:val="p"/>
            <m:scr m:val="monospace"/>
          </m:rPr>
          <m:t>l</m:t>
        </m:r>
        <m:r>
          <m:rPr>
            <m:sty m:val="p"/>
            <m:scr m:val="monospace"/>
          </m:rPr>
          <m:t>q</m:t>
        </m:r>
        <m:r>
          <m:rPr>
            <m:sty m:val="p"/>
            <m:scr m:val="monospace"/>
          </m:rPr>
          <m:t>s</m:t>
        </m:r>
        <m:r>
          <m:rPr>
            <m:sty m:val="p"/>
            <m:scr m:val="monospace"/>
          </m:rPr>
          <m:t>t</m:t>
        </m:r>
        <m:r>
          <m:rPr>
            <m:sty m:val="p"/>
            <m:scr m:val="monospace"/>
          </m:rPr>
          <m:t>a</m:t>
        </m:r>
        <m:r>
          <m:rPr>
            <m:sty m:val="p"/>
            <m:scr m:val="monospace"/>
          </m:rPr>
          <m:t>r</m:t>
        </m:r>
      </m:oMath>
      <w:r>
        <w:t xml:space="preserve">) such that the</w:t>
      </w:r>
      <w:r>
        <w:t xml:space="preserve"> </w:t>
      </w:r>
      <w:r>
        <w:t xml:space="preserve">annualized 2025–baseline-year real GDP growth in BLSMM matches</w:t>
      </w:r>
      <w:r>
        <w:t xml:space="preserve"> </w:t>
      </w:r>
      <w:r>
        <w:t xml:space="preserve">the Karger variant’s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t xml:space="preserve">target.</w:t>
      </w:r>
    </w:p>
    <w:p>
      <w:pPr>
        <w:pStyle w:val="Compact"/>
        <w:numPr>
          <w:ilvl w:val="0"/>
          <w:numId w:val="1007"/>
        </w:numPr>
      </w:pPr>
      <w:r>
        <w:t xml:space="preserve">Reads off BLSMM’s 2030 federal debt and debt/GDP and writes the</w:t>
      </w:r>
      <w:r>
        <w:t xml:space="preserve"> </w:t>
      </w:r>
      <w:r>
        <w:t xml:space="preserve">results to</w:t>
      </w:r>
      <w:r>
        <w:t xml:space="preserve"> </w:t>
      </w:r>
      <w:r>
        <w:rPr>
          <w:rStyle w:val="VerbatimChar"/>
        </w:rPr>
        <w:t xml:space="preserve">blsmm_debt_to_gdp_&lt;year&gt;.csv</w:t>
      </w:r>
      <w:r>
        <w:t xml:space="preserve"> </w:t>
      </w:r>
      <w:r>
        <w:t xml:space="preserve">plus a sheet on both</w:t>
      </w:r>
      <w:r>
        <w:t xml:space="preserve"> </w:t>
      </w:r>
      <w:r>
        <w:t xml:space="preserve">xlsx bundles and per-share-mode bar plots.</w:t>
      </w:r>
    </w:p>
    <w:p>
      <w:pPr>
        <w:pStyle w:val="FirstParagraph"/>
      </w:pPr>
      <w:r>
        <w:t xml:space="preserve">BLSMM’s CBO-style fiscal feedback (the model’s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elasticities) mechanically lowers outlays as potential output</w:t>
      </w:r>
      <w:r>
        <w:t xml:space="preserve"> </w:t>
      </w:r>
      <w:r>
        <w:t xml:space="preserve">rises. Under an AI shock policymakers may instead raise outlays</w:t>
      </w:r>
      <w:r>
        <w:t xml:space="preserve"> </w:t>
      </w:r>
      <w:r>
        <w:t xml:space="preserve">for displaced-worker support; the BLSMM number therefore reads</w:t>
      </w:r>
      <w:r>
        <w:t xml:space="preserve"> </w:t>
      </w:r>
      <w:r>
        <w:t xml:space="preserve">as a baseline-feedback estimate of debt/GDP rather than an</w:t>
      </w:r>
      <w:r>
        <w:t xml:space="preserve"> </w:t>
      </w:r>
      <w:r>
        <w:t xml:space="preserve">all-things-considered projection. The step requires a local clone</w:t>
      </w:r>
      <w:r>
        <w:t xml:space="preserve"> </w:t>
      </w:r>
      <w:r>
        <w:t xml:space="preserve">of the BLSMM repo (env var</w:t>
      </w:r>
      <w:r>
        <w:t xml:space="preserve"> </w:t>
      </w:r>
      <w:r>
        <w:rPr>
          <w:rStyle w:val="VerbatimChar"/>
        </w:rPr>
        <w:t xml:space="preserve">BLSMM_DIR</w:t>
      </w:r>
      <w:r>
        <w:t xml:space="preserve">); if absent, the rest of</w:t>
      </w:r>
      <w:r>
        <w:t xml:space="preserve"> </w:t>
      </w:r>
      <w:r>
        <w:t xml:space="preserve">the pipeline finishes normally without the BLSMM outputs.</w:t>
      </w:r>
    </w:p>
    <w:bookmarkEnd w:id="37"/>
    <w:bookmarkEnd w:id="38"/>
    <w:bookmarkStart w:id="39" w:name="the-scenario-grid"/>
    <w:p>
      <w:pPr>
        <w:pStyle w:val="Heading2"/>
      </w:pPr>
      <w:r>
        <w:t xml:space="preserve">The scenario grid</w:t>
      </w:r>
    </w:p>
    <w:p>
      <w:pPr>
        <w:pStyle w:val="FirstParagraph"/>
      </w:pPr>
      <w:r>
        <w:t xml:space="preserve">The canonical run covers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S</m:t>
          </m:r>
          <m:r>
            <m:rPr>
              <m:sty m:val="p"/>
            </m:rPr>
            <m:t>,</m:t>
          </m:r>
          <m:r>
            <m:t> </m:t>
          </m:r>
          <m:r>
            <m:t>M</m:t>
          </m:r>
          <m:r>
            <m:rPr>
              <m:sty m:val="p"/>
            </m:rPr>
            <m:t>,</m:t>
          </m:r>
          <m:r>
            <m:t> </m:t>
          </m:r>
          <m:r>
            <m:t>R</m:t>
          </m:r>
          <m:r>
            <m:rPr>
              <m:sty m:val="p"/>
            </m:rPr>
            <m:t>}</m:t>
          </m:r>
          <m:r>
            <m:rPr>
              <m:sty m:val="p"/>
            </m:rPr>
            <m:t>×</m:t>
          </m:r>
          <m:r>
            <m:rPr>
              <m:sty m:val="p"/>
            </m:rPr>
            <m:t>{</m:t>
          </m:r>
          <m:r>
            <m:t>R</m:t>
          </m:r>
          <m:r>
            <m:rPr>
              <m:sty m:val="p"/>
            </m:rPr>
            <m:t>,</m:t>
          </m:r>
          <m:r>
            <m:t> </m:t>
          </m:r>
          <m:r>
            <m:t>F</m:t>
          </m:r>
          <m:r>
            <m:rPr>
              <m:sty m:val="p"/>
            </m:rPr>
            <m:t>}</m:t>
          </m:r>
          <m:r>
            <m:rPr>
              <m:sty m:val="p"/>
            </m:rPr>
            <m:t>×</m:t>
          </m:r>
          <m:r>
            <m:rPr>
              <m:sty m:val="p"/>
            </m:rPr>
            <m:t>{</m:t>
          </m:r>
          <m:r>
            <m:t>S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S</m:t>
          </m:r>
          <m:r>
            <m:t>2</m:t>
          </m:r>
          <m:r>
            <m:rPr>
              <m:sty m:val="p"/>
            </m:rPr>
            <m:t>,</m:t>
          </m:r>
          <m:r>
            <m:t> </m:t>
          </m:r>
          <m:r>
            <m:t>S</m:t>
          </m:r>
          <m:r>
            <m:t>3</m:t>
          </m:r>
          <m:r>
            <m:rPr>
              <m:sty m:val="p"/>
            </m:rPr>
            <m:t>}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18</m:t>
          </m:r>
          <m:r>
            <m:rPr>
              <m:nor/>
              <m:sty m:val="p"/>
            </m:rPr>
            <m:t> cells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18-cell grid yields a layered comparison: across columns</w:t>
      </w:r>
      <w:r>
        <w:t xml:space="preserve"> </w:t>
      </w:r>
      <w:r>
        <w:t xml:space="preserve">(variants), across the factor-share axis (R versus F), and across</w:t>
      </w:r>
      <w:r>
        <w:t xml:space="preserve"> </w:t>
      </w:r>
      <w:r>
        <w:t xml:space="preserve">labor-side specifications. We use the comparison to bound any</w:t>
      </w:r>
      <w:r>
        <w:t xml:space="preserve"> </w:t>
      </w:r>
      <w:r>
        <w:t xml:space="preserve">single headline estimate.</w:t>
      </w:r>
    </w:p>
    <w:bookmarkEnd w:id="39"/>
    <w:bookmarkStart w:id="40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The model is built on several layers of upstream calibration; we</w:t>
      </w:r>
      <w:r>
        <w:t xml:space="preserve"> </w:t>
      </w:r>
      <w:r>
        <w:t xml:space="preserve">check each before relying on a result. The internal identities hold</w:t>
      </w:r>
      <w:r>
        <w:t xml:space="preserve"> </w:t>
      </w:r>
      <w:r>
        <w:t xml:space="preserve">by construction and are asserted in the test suite:</w:t>
      </w:r>
    </w:p>
    <w:p>
      <w:pPr>
        <w:pStyle w:val="Compact"/>
        <w:numPr>
          <w:ilvl w:val="0"/>
          <w:numId w:val="1008"/>
        </w:numPr>
      </w:pPr>
      <w:r>
        <w:t xml:space="preserve">The post-shock labor aggregate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α</m:t>
            </m:r>
            <m:sSub>
              <m:e>
                <m:r>
                  <m:t>g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exactly for every implemented labor scenario.</w:t>
      </w:r>
    </w:p>
    <w:p>
      <w:pPr>
        <w:pStyle w:val="Compact"/>
        <w:numPr>
          <w:ilvl w:val="0"/>
          <w:numId w:val="1008"/>
        </w:numPr>
      </w:pPr>
      <w:r>
        <w:t xml:space="preserve">The per-unit capital flow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exactly.</w:t>
      </w:r>
    </w:p>
    <w:p>
      <w:pPr>
        <w:pStyle w:val="Compact"/>
        <w:numPr>
          <w:ilvl w:val="0"/>
          <w:numId w:val="1008"/>
        </w:numPr>
      </w:pPr>
      <w:r>
        <w:t xml:space="preserve">The within-unit class allocations sum to each unit’s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w:r>
        <w:t xml:space="preserve">the residual routed to retirement when income-bearing assets are</w:t>
      </w:r>
      <w:r>
        <w:t xml:space="preserve"> </w:t>
      </w:r>
      <w:r>
        <w:t xml:space="preserve">zero.</w:t>
      </w:r>
    </w:p>
    <w:p>
      <w:pPr>
        <w:pStyle w:val="Compact"/>
        <w:numPr>
          <w:ilvl w:val="0"/>
          <w:numId w:val="1008"/>
        </w:numPr>
      </w:pPr>
      <w:r>
        <w:t xml:space="preserve">The decomposition identity</w:t>
      </w:r>
      <w:r>
        <w:t xml:space="preserve"> </w:t>
      </w:r>
      <m:oMath>
        <m: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+</m:t>
        </m:r>
        <m: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n</m:t>
        </m:r>
      </m:oMath>
      <w:r>
        <w:t xml:space="preserve"> </w:t>
      </w:r>
      <w:r>
        <w:t xml:space="preserve">holds at the dollar.</w:t>
      </w:r>
    </w:p>
    <w:p>
      <w:pPr>
        <w:pStyle w:val="Compact"/>
        <w:numPr>
          <w:ilvl w:val="0"/>
          <w:numId w:val="1008"/>
        </w:numPr>
      </w:pPr>
      <w:r>
        <w:t xml:space="preserve">The publishable revenue total equals the microsim revenue total</w:t>
      </w:r>
      <w:r>
        <w:t xml:space="preserve"> </w:t>
      </w:r>
      <w:r>
        <w:t xml:space="preserve">plus the macro CIT delta.</w:t>
      </w:r>
    </w:p>
    <w:p>
      <w:pPr>
        <w:pStyle w:val="FirstParagraph"/>
      </w:pPr>
      <w:r>
        <w:t xml:space="preserve">The upstream-data benchmarks compare the baseline (no-AI)</w:t>
      </w:r>
      <w:r>
        <w:t xml:space="preserve"> </w:t>
      </w:r>
      <w:r>
        <w:t xml:space="preserve">aggregates to external published series:</w:t>
      </w:r>
    </w:p>
    <w:p>
      <w:pPr>
        <w:pStyle w:val="Compact"/>
        <w:numPr>
          <w:ilvl w:val="0"/>
          <w:numId w:val="1009"/>
        </w:numPr>
      </w:pPr>
      <w:r>
        <w:t xml:space="preserve">Microsim revenue totals are reconciled to CBO / Treasury IIT and</w:t>
      </w:r>
      <w:r>
        <w:t xml:space="preserve"> </w:t>
      </w:r>
      <w:r>
        <w:t xml:space="preserve">CIT projections for the baseline year.</w:t>
      </w:r>
    </w:p>
    <w:p>
      <w:pPr>
        <w:pStyle w:val="Compact"/>
        <w:numPr>
          <w:ilvl w:val="0"/>
          <w:numId w:val="1009"/>
        </w:numPr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rPr>
                <m:sty m:val="p"/>
              </m:rPr>
              <m:t>Y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rPr>
                <m:sty m:val="p"/>
              </m:rPr>
              <m:t>Y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reconcile to NIPA and SOI line items within the microsim’s</w:t>
      </w:r>
      <w:r>
        <w:t xml:space="preserve"> </w:t>
      </w:r>
      <w:r>
        <w:t xml:space="preserve">calibration tolerance.</w:t>
      </w:r>
    </w:p>
    <w:p>
      <w:pPr>
        <w:pStyle w:val="Compact"/>
        <w:numPr>
          <w:ilvl w:val="0"/>
          <w:numId w:val="1009"/>
        </w:numPr>
      </w:pPr>
      <w:r>
        <w:t xml:space="preserve">Per-asset aggregates match Distributional Financial Accounts</w:t>
      </w:r>
      <w:r>
        <w:t xml:space="preserve"> </w:t>
      </w:r>
      <w:r>
        <w:t xml:space="preserve">totals post-match.</w:t>
      </w:r>
    </w:p>
    <w:p>
      <w:pPr>
        <w:pStyle w:val="Compact"/>
        <w:numPr>
          <w:ilvl w:val="0"/>
          <w:numId w:val="1009"/>
        </w:numPr>
      </w:pPr>
      <w:r>
        <w:t xml:space="preserve">Top-1% and top-10% shares of asset and capital-income holdings</w:t>
      </w:r>
      <w:r>
        <w:t xml:space="preserve"> </w:t>
      </w:r>
      <w:r>
        <w:t xml:space="preserve">match published SCF and SOI tabulations.</w:t>
      </w:r>
    </w:p>
    <w:p>
      <w:pPr>
        <w:pStyle w:val="FirstParagraph"/>
      </w:pPr>
      <w:r>
        <w:t xml:space="preserve">A planned gap to flag: the microsim-implied capital share of factor</w:t>
      </w:r>
      <w:r>
        <w:t xml:space="preserve"> </w:t>
      </w:r>
      <w:r>
        <w:t xml:space="preserve">income is well below the NIPA share, because the microsim</w:t>
      </w:r>
      <w:r>
        <w:t xml:space="preserve"> </w:t>
      </w:r>
      <w:r>
        <w:t xml:space="preserve">aggregates exclude employer FICA, undistributed C-corp profits, and</w:t>
      </w:r>
      <w:r>
        <w:t xml:space="preserve"> </w:t>
      </w:r>
      <w:r>
        <w:t xml:space="preserve">imputed housing rent. This is why we apply the shock as a growth</w:t>
      </w:r>
      <w:r>
        <w:t xml:space="preserve"> </w:t>
      </w:r>
      <w:r>
        <w:t xml:space="preserve">rate on the microsim baseline rather than as a level target — a</w:t>
      </w:r>
      <w:r>
        <w:t xml:space="preserve"> </w:t>
      </w:r>
      <w:r>
        <w:t xml:space="preserve">level target on a non-NIPA base would over-correct.</w:t>
      </w:r>
    </w:p>
    <w:p>
      <w:pPr>
        <w:pStyle w:val="BodyText"/>
      </w:pPr>
      <w:r>
        <w:rPr>
          <w:b/>
          <w:bCs/>
        </w:rPr>
        <w:t xml:space="preserve">Per-scenario sanity checks.</w:t>
      </w:r>
      <w:r>
        <w:t xml:space="preserve"> </w:t>
      </w:r>
      <w:r>
        <w:t xml:space="preserve">Aggregate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g</m:t>
                </m:r>
              </m:e>
              <m:sub>
                <m:r>
                  <m:t>y</m:t>
                </m:r>
              </m:sub>
            </m:sSub>
          </m:e>
        </m:d>
      </m:oMath>
      <w:r>
        <w:t xml:space="preserve"> </w:t>
      </w:r>
      <w:r>
        <w:t xml:space="preserve">on the microsim baseline (a per-cell identity),</w:t>
      </w:r>
      <w:r>
        <w:t xml:space="preserve"> </w:t>
      </w:r>
      <w:r>
        <w:t xml:space="preserve">and the revenue change is bounded above in absolute terms by the</w:t>
      </w:r>
      <w:r>
        <w:t xml:space="preserve"> </w:t>
      </w:r>
      <w:r>
        <w:t xml:space="preserve">mechanical swap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L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τ</m:t>
                    </m:r>
                  </m:e>
                </m:acc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‾"/>
                  </m:accPr>
                  <m:e>
                    <m:r>
                      <m:t>τ</m:t>
                    </m:r>
                  </m:e>
                </m:acc>
              </m:e>
              <m:sup>
                <m:r>
                  <m:t>K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τ</m:t>
            </m:r>
          </m:e>
        </m:acc>
      </m:oMath>
      <w:r>
        <w:t xml:space="preserve"> </w:t>
      </w:r>
      <w:r>
        <w:t xml:space="preserve">are average effective rates by factor.</w:t>
      </w:r>
    </w:p>
    <w:bookmarkEnd w:id="40"/>
    <w:bookmarkStart w:id="41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We flag four limitations explicitly so the headline numbers can be</w:t>
      </w:r>
      <w:r>
        <w:t xml:space="preserve"> </w:t>
      </w:r>
      <w:r>
        <w:t xml:space="preserve">read in context.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Behavioral response.</w:t>
      </w:r>
      <w:r>
        <w:t xml:space="preserve"> </w:t>
      </w:r>
      <w:r>
        <w:t xml:space="preserve">The primary specification is mechanical.</w:t>
      </w:r>
      <w:r>
        <w:t xml:space="preserve"> </w:t>
      </w:r>
      <w:r>
        <w:t xml:space="preserve">Labor-supply and realization responses to the change in net-of-tax</w:t>
      </w:r>
      <w:r>
        <w:t xml:space="preserve"> </w:t>
      </w:r>
      <w:r>
        <w:t xml:space="preserve">returns are not modeled.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Corporate microsim.</w:t>
      </w:r>
      <w:r>
        <w:t xml:space="preserve"> </w:t>
      </w:r>
      <w:r>
        <w:t xml:space="preserve">We capture corporate income tax through a</w:t>
      </w:r>
      <w:r>
        <w:t xml:space="preserve"> </w:t>
      </w:r>
      <w:r>
        <w:t xml:space="preserve">single macro bolt-on rather than re-deriving corporate liability</w:t>
      </w:r>
      <w:r>
        <w:t xml:space="preserve"> </w:t>
      </w:r>
      <w:r>
        <w:t xml:space="preserve">from per-firm data. Per-household corporate-incidence assumptions</w:t>
      </w:r>
      <w:r>
        <w:t xml:space="preserve"> </w:t>
      </w:r>
      <w:r>
        <w:t xml:space="preserve">are deliberately not applied; corporate tax operates upstream of household</w:t>
      </w:r>
      <w:r>
        <w:t xml:space="preserve"> </w:t>
      </w:r>
      <w:r>
        <w:t xml:space="preserve">realizations, so the full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reaches households, and the macro</w:t>
      </w:r>
      <w:r>
        <w:t xml:space="preserve"> </w:t>
      </w:r>
      <w:r>
        <w:t xml:space="preserve">CIT delta is layered onto aggregate revenue separately. Any</w:t>
      </w:r>
      <w:r>
        <w:t xml:space="preserve"> </w:t>
      </w:r>
      <w:r>
        <w:t xml:space="preserve">distributional spillover of CIT changes is absorbed into the</w:t>
      </w:r>
      <w:r>
        <w:t xml:space="preserve"> </w:t>
      </w:r>
      <w:r>
        <w:t xml:space="preserve">aggregate delta, not the per-household totals.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General equilibrium.</w:t>
      </w:r>
      <w:r>
        <w:t xml:space="preserve"> </w:t>
      </w:r>
      <w:r>
        <w:t xml:space="preserve">Prices and wages outside the shock, and</w:t>
      </w:r>
      <w:r>
        <w:t xml:space="preserve"> </w:t>
      </w:r>
      <w:r>
        <w:t xml:space="preserve">the asset stock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itself, are held at baseline. We</w:t>
      </w:r>
      <w:r>
        <w:t xml:space="preserve"> </w:t>
      </w:r>
      <w:r>
        <w:t xml:space="preserve">distribute the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m:oMath>
        <m:r>
          <m:t>X</m:t>
        </m:r>
      </m:oMath>
      <w:r>
        <w:t xml:space="preserve">; we do not revalue the stock. A full</w:t>
      </w:r>
      <w:r>
        <w:t xml:space="preserve"> </w:t>
      </w:r>
      <w:r>
        <w:t xml:space="preserve">GE pass would allow asset prices to re-equilibrate as AI capital</w:t>
      </w:r>
      <w:r>
        <w:t xml:space="preserve"> </w:t>
      </w:r>
      <w:r>
        <w:t xml:space="preserve">returns rise, which would push the distributional results further</w:t>
      </w:r>
      <w:r>
        <w:t xml:space="preserve"> </w:t>
      </w:r>
      <w:r>
        <w:t xml:space="preserve">toward the top — current results should be read as a lower bound</w:t>
      </w:r>
      <w:r>
        <w:t xml:space="preserve"> </w:t>
      </w:r>
      <w:r>
        <w:t xml:space="preserve">on that effect.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2015 PUF base.</w:t>
      </w:r>
      <w:r>
        <w:t xml:space="preserve"> </w:t>
      </w:r>
      <w:r>
        <w:t xml:space="preserve">The aging procedure assumes the current</w:t>
      </w:r>
      <w:r>
        <w:t xml:space="preserve"> </w:t>
      </w:r>
      <w:r>
        <w:t xml:space="preserve">structure of the economy. A multi-percentage-point labor-share</w:t>
      </w:r>
      <w:r>
        <w:t xml:space="preserve"> </w:t>
      </w:r>
      <w:r>
        <w:t xml:space="preserve">shift is a material deviation, and the validation checks above</w:t>
      </w:r>
      <w:r>
        <w:t xml:space="preserve"> </w:t>
      </w:r>
      <w:r>
        <w:t xml:space="preserve">bound (but do not eliminate) the resulting uncertainty.</w:t>
      </w:r>
    </w:p>
    <w:bookmarkEnd w:id="41"/>
    <w:bookmarkStart w:id="48" w:name="future-work"/>
    <w:p>
      <w:pPr>
        <w:pStyle w:val="Heading2"/>
      </w:pPr>
      <w:r>
        <w:t xml:space="preserve">Future work</w:t>
      </w:r>
    </w:p>
    <w:p>
      <w:pPr>
        <w:pStyle w:val="FirstParagraph"/>
      </w:pPr>
      <w:r>
        <w:t xml:space="preserve">The release described above is the first publishable cut. We flag</w:t>
      </w:r>
      <w:r>
        <w:t xml:space="preserve"> </w:t>
      </w:r>
      <w:r>
        <w:t xml:space="preserve">five directions where the model can be extended.</w:t>
      </w:r>
    </w:p>
    <w:bookmarkStart w:id="42" w:name="labor-side-ai-exposure"/>
    <w:p>
      <w:pPr>
        <w:pStyle w:val="Heading3"/>
      </w:pPr>
      <w:r>
        <w:t xml:space="preserve">Labor-side AI exposure</w:t>
      </w:r>
    </w:p>
    <w:p>
      <w:pPr>
        <w:pStyle w:val="FirstParagraph"/>
      </w:pPr>
      <w:r>
        <w:t xml:space="preserve">A natural fourth labor-incidence rule scales each unit’s labor</w:t>
      </w:r>
      <w:r>
        <w:t xml:space="preserve"> </w:t>
      </w:r>
      <w:r>
        <w:t xml:space="preserve">income by an occupation’s exposure to AI:</w:t>
      </w:r>
      <w:r>
        <w:t xml:space="preserve"> </w:t>
      </w:r>
      <m:oMath>
        <m:sSub>
          <m:e>
            <m:r>
              <m:rPr>
                <m:sty m:val="p"/>
              </m:rPr>
              <m:t>Y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⋅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rPr>
                <m:sty m:val="p"/>
              </m:rPr>
              <m:t>Y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</m:e>
          <m:sub>
            <m:r>
              <m:t>i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</w:t>
      </w:r>
      <w:r>
        <w:t xml:space="preserve"> </w:t>
      </w:r>
      <w:r>
        <w:t xml:space="preserve">occupation-level AI-exposure index, 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solved so the aggregate</w:t>
      </w:r>
      <w:r>
        <w:t xml:space="preserve"> </w:t>
      </w:r>
      <w:r>
        <w:t xml:space="preserve">matches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 The mechanic is straightforward; the missing piece is an</w:t>
      </w:r>
      <w:r>
        <w:t xml:space="preserve"> </w:t>
      </w:r>
      <w:r>
        <w:t xml:space="preserve">occupation-level exposure imputation onto the tax-unit file. Once</w:t>
      </w:r>
      <w:r>
        <w:t xml:space="preserve"> </w:t>
      </w:r>
      <w:r>
        <w:t xml:space="preserve">that imputation exists, the AI-exposure scenario slots into the</w:t>
      </w:r>
      <w:r>
        <w:t xml:space="preserve"> </w:t>
      </w:r>
      <w:r>
        <w:t xml:space="preserve">labor-scenario axis alongside the existing proportional /</w:t>
      </w:r>
      <w:r>
        <w:t xml:space="preserve"> </w:t>
      </w:r>
      <w:r>
        <w:t xml:space="preserve">compressive / expansive rules.</w:t>
      </w:r>
    </w:p>
    <w:bookmarkEnd w:id="42"/>
    <w:bookmarkStart w:id="43" w:name="parameterizing-the-realization-rate"/>
    <w:p>
      <w:pPr>
        <w:pStyle w:val="Heading3"/>
      </w:pPr>
      <w:r>
        <w:t xml:space="preserve">Parameterizing the realization rate</w:t>
      </w:r>
    </w:p>
    <w:p>
      <w:pPr>
        <w:pStyle w:val="FirstParagraph"/>
      </w:pPr>
      <w:r>
        <w:t xml:space="preserve">The current release treats AI capital gains as recognized</w:t>
      </w:r>
      <w:r>
        <w:t xml:space="preserve"> </w:t>
      </w:r>
      <w:r>
        <w:t xml:space="preserve">immediately at accrual, because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built from the on-1040</w:t>
      </w:r>
      <w:r>
        <w:t xml:space="preserve"> </w:t>
      </w:r>
      <w:r>
        <w:t xml:space="preserve">realized base and re-applying a realization discount would</w:t>
      </w:r>
      <w:r>
        <w:t xml:space="preserve"> </w:t>
      </w:r>
      <w:r>
        <w:t xml:space="preserve">double-count. A natural extension is to begin with a definition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includes unrealized capital gains and apply an explicit</w:t>
      </w:r>
      <w:r>
        <w:t xml:space="preserve"> </w:t>
      </w:r>
      <w:r>
        <w:t xml:space="preserve">realization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the share of the annual gain stock realized</w:t>
      </w:r>
      <w:r>
        <w:t xml:space="preserve"> </w:t>
      </w:r>
      <w:r>
        <w:t xml:space="preserve">each year — as a separate parameter: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  <m:su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G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r</m:t>
          </m:r>
          <m:r>
            <m:rPr>
              <m:sty m:val="p"/>
            </m:rPr>
            <m:t>⋅</m:t>
          </m:r>
          <m:sSubSup>
            <m:e>
              <m:r>
                <m:t>X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  <m:su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G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requires (a)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capture unrealized as well as realized</w:t>
      </w:r>
      <w:r>
        <w:t xml:space="preserve"> </w:t>
      </w:r>
      <w:r>
        <w:t xml:space="preserve">gains (see the wealth-frame extension below) and (b) an estimate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 the literature. Counter-anchors include CRS R41364 (which</w:t>
      </w:r>
      <w:r>
        <w:t xml:space="preserve"> </w:t>
      </w:r>
      <w:r>
        <w:t xml:space="preserve">reports a 20-year realization rate near 0.6). Further work would</w:t>
      </w:r>
      <w:r>
        <w:t xml:space="preserve"> </w:t>
      </w:r>
      <w:r>
        <w:t xml:space="preserve">condition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on individual or economy-level characteristics: the</w:t>
      </w:r>
      <w:r>
        <w:t xml:space="preserve"> </w:t>
      </w:r>
      <w:r>
        <w:t xml:space="preserve">marginal tax rates a unit faces, the composition of its wealth and income,</w:t>
      </w:r>
      <w:r>
        <w:t xml:space="preserve"> </w:t>
      </w:r>
      <w:r>
        <w:t xml:space="preserve">and the relative size of its capital versus labor base.</w:t>
      </w:r>
    </w:p>
    <w:bookmarkEnd w:id="43"/>
    <w:bookmarkStart w:id="44" w:name="lifetime-present-value"/>
    <w:p>
      <w:pPr>
        <w:pStyle w:val="Heading3"/>
      </w:pPr>
      <w:r>
        <w:t xml:space="preserve">Lifetime present value</w:t>
      </w:r>
    </w:p>
    <w:p>
      <w:pPr>
        <w:pStyle w:val="FirstParagraph"/>
      </w:pPr>
      <w:r>
        <w:t xml:space="preserve">The single-year flow treatment misses a longer-term dimension of</w:t>
      </w:r>
      <w:r>
        <w:t xml:space="preserve"> </w:t>
      </w:r>
      <w:r>
        <w:t xml:space="preserve">capital-gains taxation: gains can compound unrealized, get realized</w:t>
      </w:r>
      <w:r>
        <w:t xml:space="preserve"> </w:t>
      </w:r>
      <w:r>
        <w:t xml:space="preserve">at some hazard rate, or escape tax entirely via step-up at death. A</w:t>
      </w:r>
      <w:r>
        <w:t xml:space="preserve"> </w:t>
      </w:r>
      <w:r>
        <w:t xml:space="preserve">present-value formulation — unrealized pool compounding at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realized at hazard rate</w:t>
      </w:r>
      <w:r>
        <w:t xml:space="preserve"> </w:t>
      </w:r>
      <m:oMath>
        <m:r>
          <m:t>r</m:t>
        </m:r>
      </m:oMath>
      <w:r>
        <w:t xml:space="preserve">, discounted at</w:t>
      </w:r>
      <w:r>
        <w:t xml:space="preserve"> </w:t>
      </w:r>
      <m:oMath>
        <m:r>
          <m:t>δ</m:t>
        </m:r>
      </m:oMath>
      <w:r>
        <w:t xml:space="preserve">, with a</w:t>
      </w:r>
      <w:r>
        <w:t xml:space="preserve"> </w:t>
      </w:r>
      <w:r>
        <w:t xml:space="preserve">step-up haircut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on the residual at horizon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captures</w:t>
      </w:r>
      <w:r>
        <w:t xml:space="preserve"> </w:t>
      </w:r>
      <w:r>
        <w:t xml:space="preserve">this. Tax-Simulator is an annual-flow object and cannot natively</w:t>
      </w:r>
      <w:r>
        <w:t xml:space="preserve"> </w:t>
      </w:r>
      <w:r>
        <w:t xml:space="preserve">consume a lifetime-PV input, so this extension requires either an</w:t>
      </w:r>
      <w:r>
        <w:t xml:space="preserve"> </w:t>
      </w:r>
      <w:r>
        <w:t xml:space="preserve">out-of-model aggregation step or a redesign of the Tax-Simulator</w:t>
      </w:r>
      <w:r>
        <w:t xml:space="preserve"> </w:t>
      </w:r>
      <w:r>
        <w:t xml:space="preserve">handoff.</w:t>
      </w:r>
    </w:p>
    <w:bookmarkEnd w:id="44"/>
    <w:bookmarkStart w:id="45" w:name="wealth-frame-redefinition-of-x"/>
    <w:p>
      <w:pPr>
        <w:pStyle w:val="Heading3"/>
      </w:pPr>
      <w:r>
        <w:t xml:space="preserve">Wealth-frame redefinition of X</w:t>
      </w:r>
    </w:p>
    <w:p>
      <w:pPr>
        <w:pStyle w:val="FirstParagraph"/>
      </w:pPr>
      <w:r>
        <w:t xml:space="preserve">The two realization extensions above only have a clean economic</w:t>
      </w:r>
      <w:r>
        <w:t xml:space="preserve"> </w:t>
      </w:r>
      <w:r>
        <w:t xml:space="preserve">interpretation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sized at the wealth level, before</w:t>
      </w:r>
      <w:r>
        <w:t xml:space="preserve"> </w:t>
      </w:r>
      <w:r>
        <w:t xml:space="preserve">realization decisions, rather than off the on-1040 realized base.</w:t>
      </w:r>
      <w:r>
        <w:t xml:space="preserve"> </w:t>
      </w:r>
      <w:r>
        <w:t xml:space="preserve">Migrating to a wealth-frame definition would require:</w:t>
      </w:r>
    </w:p>
    <w:p>
      <w:pPr>
        <w:pStyle w:val="Compact"/>
        <w:numPr>
          <w:ilvl w:val="0"/>
          <w:numId w:val="1011"/>
        </w:numPr>
      </w:pPr>
      <w:r>
        <w:t xml:space="preserve">Replacing the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baseline with a wealth aggregate (e.g. SCF</w:t>
      </w:r>
      <w:r>
        <w:t xml:space="preserve"> </w:t>
      </w:r>
      <w:r>
        <w:t xml:space="preserve">net worth or DFA household wealth), and re-deriving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⋅</m:t>
        </m:r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Calibrating the realization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discussed above.</w:t>
      </w:r>
    </w:p>
    <w:p>
      <w:pPr>
        <w:pStyle w:val="Compact"/>
        <w:numPr>
          <w:ilvl w:val="0"/>
          <w:numId w:val="1011"/>
        </w:numPr>
      </w:pPr>
      <w:r>
        <w:t xml:space="preserve">For retirement income specifically, modeling not just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but the</w:t>
      </w:r>
      <w:r>
        <w:t xml:space="preserve"> </w:t>
      </w:r>
      <w:r>
        <w:t xml:space="preserve">share of realizations that are taxable. Most retirement wealth</w:t>
      </w:r>
      <w:r>
        <w:t xml:space="preserve"> </w:t>
      </w:r>
      <w:r>
        <w:t xml:space="preserve">sits in tax-deferred vehicles (401(k), IRA, traditional</w:t>
      </w:r>
      <w:r>
        <w:t xml:space="preserve"> </w:t>
      </w:r>
      <w:r>
        <w:t xml:space="preserve">pensions); the marginal AI dollar flowing into those accounts</w:t>
      </w:r>
      <w:r>
        <w:t xml:space="preserve"> </w:t>
      </w:r>
      <w:r>
        <w:t xml:space="preserve">would not be taxed in-year. We propose disciplining the relevant</w:t>
      </w:r>
      <w:r>
        <w:t xml:space="preserve"> </w:t>
      </w:r>
      <w:r>
        <w:t xml:space="preserve">rates with five national constants from published tabulations:</w:t>
      </w:r>
      <w:r>
        <w:t xml:space="preserve"> </w:t>
      </w:r>
      <w:r>
        <w:t xml:space="preserve">the realization rate</w:t>
      </w:r>
      <w:r>
        <w:t xml:space="preserve"> </w:t>
      </w:r>
      <m:oMath>
        <m:sSub>
          <m:e>
            <m:r>
              <m:t>r</m:t>
            </m:r>
          </m:e>
          <m:sub>
            <m:r>
              <m:t>R</m:t>
            </m:r>
          </m:sub>
        </m:sSub>
      </m:oMath>
      <w:r>
        <w:t xml:space="preserve">; pension and IRA shares of gross</w:t>
      </w:r>
      <w:r>
        <w:t xml:space="preserve"> </w:t>
      </w:r>
      <w:r>
        <w:t xml:space="preserve">retirement distributions (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); and taxable shares of</w:t>
      </w:r>
      <w:r>
        <w:t xml:space="preserve"> </w:t>
      </w:r>
      <w:r>
        <w:t xml:space="preserve">each (</w:t>
      </w:r>
      <m:oMath>
        <m:sSub>
          <m:e>
            <m:r>
              <m:t>τ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). IRS SOI Publication 1304, the SOI IRA</w:t>
      </w:r>
      <w:r>
        <w:t xml:space="preserve"> </w:t>
      </w:r>
      <w:r>
        <w:t xml:space="preserve">Bulletin, and the Federal Reserve’s Distributional Financial</w:t>
      </w:r>
      <w:r>
        <w:t xml:space="preserve"> </w:t>
      </w:r>
      <w:r>
        <w:t xml:space="preserve">Accounts supply the constants. With these, the gross and taxable</w:t>
      </w:r>
      <w:r>
        <w:t xml:space="preserve"> </w:t>
      </w:r>
      <w:r>
        <w:t xml:space="preserve">distributions can be derived as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R</m:t>
            </m:r>
          </m:sub>
        </m:sSub>
        <m:r>
          <m:rPr>
            <m:sty m:val="p"/>
          </m:rPr>
          <m:t>⋅</m:t>
        </m:r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τ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R</m:t>
            </m:r>
          </m:sub>
        </m:sSub>
        <m:r>
          <m:rPr>
            <m:sty m:val="p"/>
          </m:rPr>
          <m:t>⋅</m:t>
        </m:r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, respectively (IRA</w:t>
      </w:r>
      <w:r>
        <w:t xml:space="preserve"> </w:t>
      </w:r>
      <w:r>
        <w:t xml:space="preserve">components defined symmetrically).</w:t>
      </w:r>
    </w:p>
    <w:bookmarkEnd w:id="45"/>
    <w:bookmarkStart w:id="46" w:name="behavioral-response"/>
    <w:p>
      <w:pPr>
        <w:pStyle w:val="Heading3"/>
      </w:pPr>
      <w:r>
        <w:t xml:space="preserve">Behavioral response</w:t>
      </w:r>
    </w:p>
    <w:p>
      <w:pPr>
        <w:pStyle w:val="FirstParagraph"/>
      </w:pPr>
      <w:r>
        <w:t xml:space="preserve">The current specification is mechanical. Two behavioral channels</w:t>
      </w:r>
      <w:r>
        <w:t xml:space="preserve"> </w:t>
      </w:r>
      <w:r>
        <w:t xml:space="preserve">are worth modeling: labor-supply responses to the change in</w:t>
      </w:r>
      <w:r>
        <w:t xml:space="preserve"> </w:t>
      </w:r>
      <w:r>
        <w:t xml:space="preserve">net-of-tax returns (Elasticity of Taxable Income</w:t>
      </w:r>
      <w:r>
        <w:t xml:space="preserve"> </w:t>
      </w:r>
      <m:oMath>
        <m:r>
          <m:rPr>
            <m:sty m:val="p"/>
          </m:rPr>
          <m:t>∼</m:t>
        </m:r>
        <m:r>
          <m:t>0.25</m:t>
        </m:r>
      </m:oMath>
      <w:r>
        <w:t xml:space="preserve"> </w:t>
      </w:r>
      <w:r>
        <w:t xml:space="preserve">per</w:t>
      </w:r>
      <w:r>
        <w:t xml:space="preserve"> </w:t>
      </w:r>
      <w:r>
        <w:t xml:space="preserve">Saez-Slemrod-Giertz), and realization-rate responses to capital</w:t>
      </w:r>
      <w:r>
        <w:t xml:space="preserve"> </w:t>
      </w:r>
      <w:r>
        <w:t xml:space="preserve">gains tax exposure.</w:t>
      </w:r>
    </w:p>
    <w:bookmarkEnd w:id="46"/>
    <w:bookmarkStart w:id="47" w:name="general-equilibrium"/>
    <w:p>
      <w:pPr>
        <w:pStyle w:val="Heading3"/>
      </w:pPr>
      <w:r>
        <w:t xml:space="preserve">General equilibrium</w:t>
      </w:r>
    </w:p>
    <w:p>
      <w:pPr>
        <w:pStyle w:val="FirstParagraph"/>
      </w:pPr>
      <w:r>
        <w:t xml:space="preserve">The current model holds prices, wages, and the asset stock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at baseline and distributes the flow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revaluing the</w:t>
      </w:r>
      <w:r>
        <w:t xml:space="preserve"> </w:t>
      </w:r>
      <w:r>
        <w:t xml:space="preserve">stock. A full GE pass would let asset prices re-equilibrate as AI</w:t>
      </w:r>
      <w:r>
        <w:t xml:space="preserve"> </w:t>
      </w:r>
      <w:r>
        <w:t xml:space="preserve">capital returns rise, pushing the distributional results further</w:t>
      </w:r>
      <w:r>
        <w:t xml:space="preserve"> </w:t>
      </w:r>
      <w:r>
        <w:t xml:space="preserve">toward the top.</w:t>
      </w:r>
    </w:p>
    <w:bookmarkEnd w:id="47"/>
    <w:bookmarkEnd w:id="48"/>
    <w:bookmarkStart w:id="4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2"/>
        </w:numPr>
      </w:pPr>
      <w:r>
        <w:t xml:space="preserve">Karger, E., Bredemeier, C., et al. (2026).</w:t>
      </w:r>
      <w:r>
        <w:t xml:space="preserve"> </w:t>
      </w:r>
      <w:r>
        <w:rPr>
          <w:i/>
          <w:iCs/>
        </w:rPr>
        <w:t xml:space="preserve">AI and the Macroeconomy:</w:t>
      </w:r>
      <w:r>
        <w:rPr>
          <w:i/>
          <w:iCs/>
        </w:rPr>
        <w:t xml:space="preserve"> </w:t>
      </w:r>
      <w:r>
        <w:rPr>
          <w:i/>
          <w:iCs/>
        </w:rPr>
        <w:t xml:space="preserve">Productivity, Income, and Distribution.</w:t>
      </w:r>
      <w:r>
        <w:t xml:space="preserve"> </w:t>
      </w:r>
      <w:r>
        <w:t xml:space="preserve">NBER working paper w35046.</w:t>
      </w:r>
    </w:p>
    <w:p>
      <w:pPr>
        <w:pStyle w:val="Compact"/>
        <w:numPr>
          <w:ilvl w:val="0"/>
          <w:numId w:val="1012"/>
        </w:numPr>
      </w:pPr>
      <w:r>
        <w:t xml:space="preserve">Smith, M., Yagan, D., Zidar, O., and Zwick, E. (2019).</w:t>
      </w:r>
      <w:r>
        <w:t xml:space="preserve"> </w:t>
      </w:r>
      <w:r>
        <w:t xml:space="preserve">“Capitalists</w:t>
      </w:r>
      <w:r>
        <w:t xml:space="preserve"> </w:t>
      </w:r>
      <w:r>
        <w:t xml:space="preserve">in the Twenty-First Century.”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 </w:t>
      </w:r>
      <w:r>
        <w:t xml:space="preserve">134(4).</w:t>
      </w:r>
    </w:p>
    <w:p>
      <w:pPr>
        <w:pStyle w:val="Compact"/>
        <w:numPr>
          <w:ilvl w:val="0"/>
          <w:numId w:val="1012"/>
        </w:numPr>
      </w:pPr>
      <w:r>
        <w:t xml:space="preserve">Saez, E., and Zucman, G. (2020).</w:t>
      </w:r>
      <w:r>
        <w:t xml:space="preserve"> </w:t>
      </w:r>
      <w:r>
        <w:t xml:space="preserve">“The Rise of Income and Wealth</w:t>
      </w:r>
      <w:r>
        <w:t xml:space="preserve"> </w:t>
      </w:r>
      <w:r>
        <w:t xml:space="preserve">Inequality in America: Evidence from Distributional Macroeconomic</w:t>
      </w:r>
      <w:r>
        <w:t xml:space="preserve"> </w:t>
      </w:r>
      <w:r>
        <w:t xml:space="preserve">Accounts.”</w:t>
      </w:r>
      <w:r>
        <w:t xml:space="preserve"> </w:t>
      </w:r>
      <w:r>
        <w:rPr>
          <w:i/>
          <w:iCs/>
        </w:rPr>
        <w:t xml:space="preserve">Journal of Economic Perspectives</w:t>
      </w:r>
      <w:r>
        <w:t xml:space="preserve"> </w:t>
      </w:r>
      <w:r>
        <w:t xml:space="preserve">34(4).</w:t>
      </w:r>
    </w:p>
    <w:p>
      <w:pPr>
        <w:pStyle w:val="Compact"/>
        <w:numPr>
          <w:ilvl w:val="0"/>
          <w:numId w:val="1012"/>
        </w:numPr>
      </w:pPr>
      <w:r>
        <w:t xml:space="preserve">Saez, E., Slemrod, J., and Giertz, S. (2012).</w:t>
      </w:r>
      <w:r>
        <w:t xml:space="preserve"> </w:t>
      </w:r>
      <w:r>
        <w:t xml:space="preserve">“The Elasticity of</w:t>
      </w:r>
      <w:r>
        <w:t xml:space="preserve"> </w:t>
      </w:r>
      <w:r>
        <w:t xml:space="preserve">Taxable Income with Respect to Marginal Tax Rates.”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Literature.</w:t>
      </w:r>
    </w:p>
    <w:p>
      <w:pPr>
        <w:pStyle w:val="Compact"/>
        <w:numPr>
          <w:ilvl w:val="0"/>
          <w:numId w:val="1012"/>
        </w:numPr>
      </w:pPr>
      <w:r>
        <w:t xml:space="preserve">Piketty, T., Saez, E., and Zucman, G. (2018).</w:t>
      </w:r>
      <w:r>
        <w:t xml:space="preserve"> </w:t>
      </w:r>
      <w:r>
        <w:t xml:space="preserve">“Distributional</w:t>
      </w:r>
      <w:r>
        <w:t xml:space="preserve"> </w:t>
      </w:r>
      <w:r>
        <w:t xml:space="preserve">National Accounts.”</w:t>
      </w:r>
    </w:p>
    <w:p>
      <w:pPr>
        <w:pStyle w:val="Compact"/>
        <w:numPr>
          <w:ilvl w:val="0"/>
          <w:numId w:val="1012"/>
        </w:numPr>
      </w:pPr>
      <w:r>
        <w:t xml:space="preserve">Eloundou, T., Manning, S., Mishkin, P., and Rock, D. (2023).</w:t>
      </w:r>
      <w:r>
        <w:t xml:space="preserve"> </w:t>
      </w:r>
      <w:r>
        <w:t xml:space="preserve">“GPTs</w:t>
      </w:r>
      <w:r>
        <w:t xml:space="preserve"> </w:t>
      </w:r>
      <w:r>
        <w:t xml:space="preserve">are GPTs: An Early Look at the Labor Market Impact Potential of</w:t>
      </w:r>
      <w:r>
        <w:t xml:space="preserve"> </w:t>
      </w:r>
      <w:r>
        <w:t xml:space="preserve">Large Language Models.”</w:t>
      </w:r>
    </w:p>
    <w:p>
      <w:pPr>
        <w:pStyle w:val="Compact"/>
        <w:numPr>
          <w:ilvl w:val="0"/>
          <w:numId w:val="1012"/>
        </w:numPr>
      </w:pPr>
      <w:r>
        <w:t xml:space="preserve">Felten, E., Raj, M., and Seamans, R.</w:t>
      </w:r>
      <w:r>
        <w:t xml:space="preserve"> </w:t>
      </w:r>
      <w:r>
        <w:t xml:space="preserve">“How will Language Modelers</w:t>
      </w:r>
      <w:r>
        <w:t xml:space="preserve"> </w:t>
      </w:r>
      <w:r>
        <w:t xml:space="preserve">like ChatGPT Affect Occupations and Industries?”</w:t>
      </w:r>
    </w:p>
    <w:p>
      <w:pPr>
        <w:pStyle w:val="Compact"/>
        <w:numPr>
          <w:ilvl w:val="0"/>
          <w:numId w:val="1012"/>
        </w:numPr>
      </w:pPr>
      <w:r>
        <w:t xml:space="preserve">Chodorow-Reich, G., et al. (2024).</w:t>
      </w:r>
      <w:r>
        <w:t xml:space="preserve"> </w:t>
      </w:r>
      <w:r>
        <w:t xml:space="preserve">“The Effects of the 2017 Tax</w:t>
      </w:r>
      <w:r>
        <w:t xml:space="preserve"> </w:t>
      </w:r>
      <w:r>
        <w:t xml:space="preserve">Cuts and Jobs Act on US Corporations.”</w:t>
      </w:r>
    </w:p>
    <w:p>
      <w:pPr>
        <w:pStyle w:val="Compact"/>
        <w:numPr>
          <w:ilvl w:val="0"/>
          <w:numId w:val="1012"/>
        </w:numPr>
      </w:pPr>
      <w:r>
        <w:t xml:space="preserve">Congressional Budget Office (2025).</w:t>
      </w:r>
      <w:r>
        <w:t xml:space="preserve"> </w:t>
      </w:r>
      <w:r>
        <w:rPr>
          <w:i/>
          <w:iCs/>
        </w:rPr>
        <w:t xml:space="preserve">Budget and Economic Outlook</w:t>
      </w:r>
      <w:r>
        <w:t xml:space="preserve"> </w:t>
      </w:r>
      <w:r>
        <w:t xml:space="preserve">(publication 62105).</w:t>
      </w:r>
    </w:p>
    <w:p>
      <w:pPr>
        <w:pStyle w:val="Compact"/>
        <w:numPr>
          <w:ilvl w:val="0"/>
          <w:numId w:val="1012"/>
        </w:numPr>
      </w:pPr>
      <w:r>
        <w:t xml:space="preserve">Federal Reserve Board.</w:t>
      </w:r>
      <w:r>
        <w:t xml:space="preserve"> </w:t>
      </w:r>
      <w:r>
        <w:rPr>
          <w:i/>
          <w:iCs/>
        </w:rPr>
        <w:t xml:space="preserve">Distributional Financial Accounts.</w:t>
      </w:r>
    </w:p>
    <w:p>
      <w:pPr>
        <w:pStyle w:val="Compact"/>
        <w:numPr>
          <w:ilvl w:val="0"/>
          <w:numId w:val="1012"/>
        </w:numPr>
      </w:pPr>
      <w:r>
        <w:t xml:space="preserve">The Budget Lab at Yale.</w:t>
      </w:r>
      <w:r>
        <w:t xml:space="preserve"> </w:t>
      </w:r>
      <w:r>
        <w:rPr>
          <w:i/>
          <w:iCs/>
        </w:rPr>
        <w:t xml:space="preserve">Tax Microsimulation at The Budget Lab.</w:t>
      </w:r>
    </w:p>
    <w:p>
      <w:pPr>
        <w:pStyle w:val="Compact"/>
        <w:numPr>
          <w:ilvl w:val="0"/>
          <w:numId w:val="1012"/>
        </w:numPr>
      </w:pPr>
      <w:r>
        <w:t xml:space="preserve">The Budget Lab at Yale.</w:t>
      </w:r>
      <w:r>
        <w:t xml:space="preserve"> </w:t>
      </w:r>
      <w:r>
        <w:rPr>
          <w:i/>
          <w:iCs/>
        </w:rPr>
        <w:t xml:space="preserve">Estimating the Distributional Impact of</w:t>
      </w:r>
      <w:r>
        <w:rPr>
          <w:i/>
          <w:iCs/>
        </w:rPr>
        <w:t xml:space="preserve"> </w:t>
      </w:r>
      <w:r>
        <w:rPr>
          <w:i/>
          <w:iCs/>
        </w:rPr>
        <w:t xml:space="preserve">Policy Reforms.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2026-05-26T15:21:11Z</dcterms:created>
  <dcterms:modified xsi:type="dcterms:W3CDTF">2026-05-26T15:21:11Z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