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Tax-Data: state weights, filer weights and IRS data</w:t>
      </w:r>
    </w:p>
    <w:p>
      <w:pPr>
        <w:pStyle w:val="Subtitle"/>
      </w:pPr>
      <w:r>
        <w:t xml:space="preserve">Update on the work of 24–27 September 2026, for collaborators</w:t>
      </w:r>
    </w:p>
    <w:p>
      <w:pPr>
        <w:pStyle w:val="Date"/>
      </w:pPr>
      <w:r>
        <w:t xml:space="preserve">2026-09-27 - phase3b-filer-refit @ 699515e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about-this-document"/>
    <w:p>
      <w:pPr>
        <w:pStyle w:val="Heading1"/>
      </w:pPr>
      <w:r>
        <w:t xml:space="preserve">About this document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Rendered</w:t>
            </w:r>
          </w:p>
        </w:tc>
        <w:tc>
          <w:tcPr/>
          <w:p>
            <w:pPr>
              <w:pStyle w:val="Compact"/>
            </w:pPr>
            <w:r>
              <w:t xml:space="preserve">2026-09-27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Tax-Simulator, branch</w:t>
            </w:r>
            <w:r>
              <w:t xml:space="preserve"> </w:t>
            </w:r>
            <w:r>
              <w:rPr>
                <w:rStyle w:val="VerbatimChar"/>
              </w:rPr>
              <w:t xml:space="preserve">phase3b-filer-refit</w:t>
            </w:r>
            <w:r>
              <w:t xml:space="preserve">, commit</w:t>
            </w:r>
            <w:r>
              <w:t xml:space="preserve"> </w:t>
            </w:r>
            <w:r>
              <w:rPr>
                <w:rStyle w:val="VerbatimChar"/>
              </w:rPr>
              <w:t xml:space="preserve">699515e</w:t>
            </w:r>
            <w:r>
              <w:t xml:space="preserve"> </w:t>
            </w:r>
            <w:r>
              <w:rPr>
                <w:b/>
                <w:bCs/>
              </w:rPr>
              <w:t xml:space="preserve">(plus uncommitted edits under research/)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Regenerate with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Rscript research/tools/render_release.R filer_refit_update</w:t>
            </w:r>
          </w:p>
        </w:tc>
      </w:tr>
    </w:tbl>
    <w:p>
      <w:pPr>
        <w:pStyle w:val="BodyText"/>
      </w:pPr>
      <w:r>
        <w:t xml:space="preserve">Assembled from the Markdown sources below, which are the source of truth.</w:t>
      </w:r>
      <w:r>
        <w:t xml:space="preserve"> </w:t>
      </w:r>
      <w:r>
        <w:t xml:space="preserve">This Word file is a point-in-time snapshot: comments on it are welcome, but</w:t>
      </w:r>
      <w:r>
        <w:t xml:space="preserve"> </w:t>
      </w:r>
      <w:r>
        <w:t xml:space="preserve">edits are not carried back – they are applied to the Markdown and a new</w:t>
      </w:r>
      <w:r>
        <w:t xml:space="preserve"> </w:t>
      </w:r>
      <w:r>
        <w:t xml:space="preserve">release is cut.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updated:</w:t>
            </w:r>
          </w:p>
        </w:tc>
        <w:tc>
          <w:tcPr/>
          <w:p>
            <w:pPr>
              <w:pStyle w:val="Compact"/>
            </w:pPr>
            <w:r>
              <w:t xml:space="preserve">Last 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research/state_weights/notes/filer_refit_collaborator_update.md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2026-09-27</w:t>
            </w:r>
          </w:p>
        </w:tc>
        <w:tc>
          <w:tcPr/>
          <w:p>
            <w:pPr>
              <w:pStyle w:val="Compact"/>
            </w:pPr>
            <w:r>
              <w:t xml:space="preserve">uncommitted</w:t>
            </w:r>
          </w:p>
        </w:tc>
      </w:tr>
    </w:tbl>
    <w:bookmarkEnd w:id="20"/>
    <w:bookmarkStart w:id="28" w:name="update-2427-september-2026"/>
    <w:p>
      <w:pPr>
        <w:pStyle w:val="Heading1"/>
      </w:pPr>
      <w:r>
        <w:t xml:space="preserve">Update, 24–27 September 2026</w:t>
      </w:r>
    </w:p>
    <w:bookmarkStart w:id="27" w:name="Xaf6b5eaea54212b2e363ce4bfc9a612acdb75f1"/>
    <w:p>
      <w:pPr>
        <w:pStyle w:val="Heading2"/>
      </w:pPr>
      <w:r>
        <w:t xml:space="preserve">Tax-Data: state weights, filer weights and IRS data</w:t>
      </w:r>
    </w:p>
    <w:p>
      <w:pPr>
        <w:pStyle w:val="FirstParagraph"/>
      </w:pPr>
      <w:r>
        <w:rPr>
          <w:i/>
          <w:iCs/>
        </w:rPr>
        <w:t xml:space="preserve">Update on the work of 24–27 September 2026, for collaborators. Detailed records: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research/state_weights/plan.md</w:t>
      </w:r>
      <w:r>
        <w:rPr>
          <w:i/>
          <w:iCs/>
        </w:rPr>
        <w:t xml:space="preserve"> </w:t>
      </w:r>
      <w:r>
        <w:rPr>
          <w:i/>
          <w:iCs/>
        </w:rPr>
        <w:t xml:space="preserve">(§5a, Phases 3 and 3b); decisions S39–S40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research/decisions_log.md</w:t>
      </w:r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research/state_weights/notes/filer_refit_design.md</w:t>
      </w:r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research/state_weights/notes/low_income_filer_aging.md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In one paragraph.</w:t>
      </w:r>
      <w:r>
        <w:t xml:space="preserve"> </w:t>
      </w:r>
      <w:r>
        <w:t xml:space="preserve">We picked a tentative method for state weights across 2017–2023. A</w:t>
      </w:r>
      <w:r>
        <w:t xml:space="preserve"> </w:t>
      </w:r>
      <w:r>
        <w:t xml:space="preserve">downstream user then found the aged file keeps far too many low-income filers in 2023.</w:t>
      </w:r>
      <w:r>
        <w:t xml:space="preserve"> </w:t>
      </w:r>
      <w:r>
        <w:t xml:space="preserve">Tracing it exposed a deeper flaw: the 2017 base weights were all-or-nothing. We built a</w:t>
      </w:r>
      <w:r>
        <w:t xml:space="preserve"> </w:t>
      </w:r>
      <w:r>
        <w:t xml:space="preserve">checked reader for the IRS’s national tables and rebuilt filer weights in every year from</w:t>
      </w:r>
      <w:r>
        <w:t xml:space="preserve"> </w:t>
      </w:r>
      <w:r>
        <w:t xml:space="preserve">2017 to 2023 by calibrating them to IRS return counts. The first rebuild matches the IRS by</w:t>
      </w:r>
      <w:r>
        <w:t xml:space="preserve"> </w:t>
      </w:r>
      <w:r>
        <w:t xml:space="preserve">income class and fixes the low-income gap; a second rebuild, which also keeps 2017 income</w:t>
      </w:r>
      <w:r>
        <w:t xml:space="preserve"> </w:t>
      </w:r>
      <w:r>
        <w:t xml:space="preserve">amounts on their IRS totals, is running now.</w:t>
      </w:r>
    </w:p>
    <w:bookmarkStart w:id="21" w:name="Xb9b4ac6685a24eea4e09f37a7a606574cc5d8c5"/>
    <w:p>
      <w:pPr>
        <w:pStyle w:val="Heading3"/>
      </w:pPr>
      <w:r>
        <w:t xml:space="preserve">1. State weights, Phase 3: choosing how to fit each year</w:t>
      </w:r>
    </w:p>
    <w:p>
      <w:pPr>
        <w:pStyle w:val="FirstParagraph"/>
      </w:pPr>
      <w:r>
        <w:t xml:space="preserve">Tax-Data splits each tax return’s national weight across states, so state-level results add</w:t>
      </w:r>
      <w:r>
        <w:t xml:space="preserve"> </w:t>
      </w:r>
      <w:r>
        <w:t xml:space="preserve">up to published IRS state totals (HT2, the IRS’s state-by-income-class tables). Phase 3</w:t>
      </w:r>
      <w:r>
        <w:t xml:space="preserve"> </w:t>
      </w:r>
      <w:r>
        <w:t xml:space="preserve">extended this from one year to every year 2017–2023, and compared three ways of doing 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A:</w:t>
      </w:r>
      <w:r>
        <w:t xml:space="preserve"> </w:t>
      </w:r>
      <w:r>
        <w:t xml:space="preserve">fit each year independently.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B:</w:t>
      </w:r>
      <w:r>
        <w:t xml:space="preserve"> </w:t>
      </w:r>
      <w:r>
        <w:t xml:space="preserve">start each year from the previous year’s fit.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C:</w:t>
      </w:r>
      <w:r>
        <w:t xml:space="preserve"> </w:t>
      </w:r>
      <w:r>
        <w:t xml:space="preserve">fit all years jointly, with a penalty on a return’s state split changing from year</w:t>
      </w:r>
      <w:r>
        <w:t xml:space="preserve"> </w:t>
      </w:r>
      <w:r>
        <w:t xml:space="preserve">to year.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Arm (2018–2023 averages)</w:t>
            </w:r>
          </w:p>
        </w:tc>
        <w:tc>
          <w:tcPr/>
          <w:p>
            <w:pPr>
              <w:pStyle w:val="Compact"/>
            </w:pPr>
            <w:r>
              <w:t xml:space="preserve">Targets within 2%</w:t>
            </w:r>
          </w:p>
        </w:tc>
        <w:tc>
          <w:tcPr/>
          <w:p>
            <w:pPr>
              <w:pStyle w:val="Compact"/>
            </w:pPr>
            <w:r>
              <w:t xml:space="preserve">Error on untargeted HT2 series</w:t>
            </w:r>
          </w:p>
        </w:tc>
        <w:tc>
          <w:tcPr/>
          <w:p>
            <w:pPr>
              <w:pStyle w:val="Compact"/>
            </w:pPr>
            <w:r>
              <w:t xml:space="preserve">Year-over-year churn in state shares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— independent</w:t>
            </w:r>
          </w:p>
        </w:tc>
        <w:tc>
          <w:tcPr/>
          <w:p>
            <w:pPr>
              <w:pStyle w:val="Compact"/>
            </w:pPr>
            <w:r>
              <w:t xml:space="preserve">95.6%</w:t>
            </w:r>
          </w:p>
        </w:tc>
        <w:tc>
          <w:tcPr/>
          <w:p>
            <w:pPr>
              <w:pStyle w:val="Compact"/>
            </w:pPr>
            <w:r>
              <w:t xml:space="preserve">19.02%</w:t>
            </w:r>
          </w:p>
        </w:tc>
        <w:tc>
          <w:tcPr/>
          <w:p>
            <w:pPr>
              <w:pStyle w:val="Compact"/>
            </w:pPr>
            <w:r>
              <w:t xml:space="preserve">5.6%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— warm-started chain</w:t>
            </w:r>
          </w:p>
        </w:tc>
        <w:tc>
          <w:tcPr/>
          <w:p>
            <w:pPr>
              <w:pStyle w:val="Compact"/>
            </w:pPr>
            <w:r>
              <w:t xml:space="preserve">96.0%</w:t>
            </w:r>
          </w:p>
        </w:tc>
        <w:tc>
          <w:tcPr/>
          <w:p>
            <w:pPr>
              <w:pStyle w:val="Compact"/>
            </w:pPr>
            <w:r>
              <w:t xml:space="preserve">18.69%</w:t>
            </w:r>
          </w:p>
        </w:tc>
        <w:tc>
          <w:tcPr/>
          <w:p>
            <w:pPr>
              <w:pStyle w:val="Compact"/>
            </w:pPr>
            <w:r>
              <w:t xml:space="preserve">5.3%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— joint, warm-started from B</w:t>
            </w:r>
          </w:p>
        </w:tc>
        <w:tc>
          <w:tcPr/>
          <w:p>
            <w:pPr>
              <w:pStyle w:val="Compact"/>
            </w:pPr>
            <w:r>
              <w:t xml:space="preserve">95.3%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18.63%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2.2%</w:t>
            </w:r>
          </w:p>
        </w:tc>
      </w:tr>
    </w:tbl>
    <w:p>
      <w:pPr>
        <w:pStyle w:val="BodyText"/>
      </w:pPr>
      <w:r>
        <w:t xml:space="preserve">C warm-started from B is best on everything untargeted, and gives up 0.7 points on the</w:t>
      </w:r>
      <w:r>
        <w:t xml:space="preserve"> </w:t>
      </w:r>
      <w:r>
        <w:t xml:space="preserve">targeted fit.</w:t>
      </w:r>
      <w:r>
        <w:t xml:space="preserve"> </w:t>
      </w:r>
      <w:r>
        <w:rPr>
          <w:b/>
          <w:bCs/>
        </w:rPr>
        <w:t xml:space="preserve">It is the tentative choice (decision S39)</w:t>
      </w:r>
      <w:r>
        <w:t xml:space="preserve">, to be re-run once the national</w:t>
      </w:r>
      <w:r>
        <w:t xml:space="preserve"> </w:t>
      </w:r>
      <w:r>
        <w:t xml:space="preserve">filer weights below are rebuilt, since the state split sits on top of them.</w:t>
      </w:r>
    </w:p>
    <w:bookmarkEnd w:id="21"/>
    <w:bookmarkStart w:id="22" w:name="X81e6dda01edafcd707b325d2cdd5507ff55351b"/>
    <w:p>
      <w:pPr>
        <w:pStyle w:val="Heading3"/>
      </w:pPr>
      <w:r>
        <w:t xml:space="preserve">2. A problem found downstream: too many low-income filers</w:t>
      </w:r>
    </w:p>
    <w:p>
      <w:pPr>
        <w:pStyle w:val="FirstParagraph"/>
      </w:pPr>
      <w:r>
        <w:t xml:space="preserve">A downstream project (Affordability-Index) found that Tax-Data’s aged file does not</w:t>
      </w:r>
      <w:r>
        <w:t xml:space="preserve"> </w:t>
      </w:r>
      <w:r>
        <w:t xml:space="preserve">reproduce the fall in low-income filing: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Returns with wages, AGI $1–10k</w:t>
            </w:r>
          </w:p>
        </w:tc>
        <w:tc>
          <w:tcPr/>
          <w:p>
            <w:pPr>
              <w:pStyle w:val="Compact"/>
            </w:pPr>
            <w:r>
              <w:t xml:space="preserve">TY2019</w:t>
            </w:r>
          </w:p>
        </w:tc>
        <w:tc>
          <w:tcPr/>
          <w:p>
            <w:pPr>
              <w:pStyle w:val="Compact"/>
            </w:pPr>
            <w:r>
              <w:t xml:space="preserve">TY2023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IRS</w:t>
            </w:r>
          </w:p>
        </w:tc>
        <w:tc>
          <w:tcPr/>
          <w:p>
            <w:pPr>
              <w:pStyle w:val="Compact"/>
            </w:pPr>
            <w:r>
              <w:t xml:space="preserve">14.2M</w:t>
            </w:r>
          </w:p>
        </w:tc>
        <w:tc>
          <w:tcPr/>
          <w:p>
            <w:pPr>
              <w:pStyle w:val="Compact"/>
            </w:pPr>
            <w:r>
              <w:t xml:space="preserve">9.3M (−34%)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Tax-Data</w:t>
            </w:r>
          </w:p>
        </w:tc>
        <w:tc>
          <w:tcPr/>
          <w:p>
            <w:pPr>
              <w:pStyle w:val="Compact"/>
            </w:pPr>
            <w:r>
              <w:t xml:space="preserve">13.6M</w:t>
            </w:r>
          </w:p>
        </w:tc>
        <w:tc>
          <w:tcPr/>
          <w:p>
            <w:pPr>
              <w:pStyle w:val="Compact"/>
            </w:pPr>
            <w:r>
              <w:t xml:space="preserve">12.1M (−11%, about 30% high)</w:t>
            </w:r>
          </w:p>
        </w:tc>
      </w:tr>
    </w:tbl>
    <w:p>
      <w:pPr>
        <w:pStyle w:val="BodyText"/>
      </w:pPr>
      <w:r>
        <w:t xml:space="preserve">We traced it to how the file ages. For 2018 onward, each 2017 record’s weight is scaled by</w:t>
      </w:r>
      <w:r>
        <w:t xml:space="preserve"> </w:t>
      </w:r>
      <w:r>
        <w:t xml:space="preserve">one factor per filing status × age group. Those totals are right by construction, but the</w:t>
      </w:r>
      <w:r>
        <w:t xml:space="preserve"> </w:t>
      </w:r>
      <w:r>
        <w:t xml:space="preserve">income mix inside each group stays frozen at 2017’s. Most of the TY2023 excess (about 2.9M of</w:t>
      </w:r>
      <w:r>
        <w:t xml:space="preserve"> </w:t>
      </w:r>
      <w:r>
        <w:t xml:space="preserve">3.0M) is dependent filers, such as teenagers with small jobs.</w:t>
      </w:r>
    </w:p>
    <w:bookmarkEnd w:id="22"/>
    <w:bookmarkStart w:id="23" w:name="a-problem-in-the-2017-base-weights"/>
    <w:p>
      <w:pPr>
        <w:pStyle w:val="Heading3"/>
      </w:pPr>
      <w:r>
        <w:t xml:space="preserve">3. A problem in the 2017 base weights</w:t>
      </w:r>
    </w:p>
    <w:p>
      <w:pPr>
        <w:pStyle w:val="FirstParagraph"/>
      </w:pPr>
      <w:r>
        <w:t xml:space="preserve">Checking the fix turned up a pre-existing flaw. The linear program that built the 2017</w:t>
      </w:r>
      <w:r>
        <w:t xml:space="preserve"> </w:t>
      </w:r>
      <w:r>
        <w:t xml:space="preserve">weights minimized the</w:t>
      </w:r>
      <w:r>
        <w:t xml:space="preserve"> </w:t>
      </w:r>
      <w:r>
        <w:rPr>
          <w:i/>
          <w:iCs/>
        </w:rPr>
        <w:t xml:space="preserve">sum</w:t>
      </w:r>
      <w:r>
        <w:t xml:space="preserve"> </w:t>
      </w:r>
      <w:r>
        <w:t xml:space="preserve">of the weight multipliers instead of how far each moved from 1.</w:t>
      </w:r>
      <w:r>
        <w:t xml:space="preserve"> </w:t>
      </w:r>
      <w:r>
        <w:t xml:space="preserve">So</w:t>
      </w:r>
      <w:r>
        <w:t xml:space="preserve"> </w:t>
      </w:r>
      <w:r>
        <w:rPr>
          <w:b/>
          <w:bCs/>
        </w:rPr>
        <w:t xml:space="preserve">every one of the 207,692 records sat at a bound: 62% multiplied by 0.34, 38% by 1.66</w:t>
      </w:r>
      <w:r>
        <w:t xml:space="preserve">,</w:t>
      </w:r>
      <w:r>
        <w:t xml:space="preserve"> </w:t>
      </w:r>
      <w:r>
        <w:t xml:space="preserve">and none left unchanged.</w:t>
      </w:r>
    </w:p>
    <w:p>
      <w:pPr>
        <w:pStyle w:val="BodyText"/>
      </w:pPr>
      <w:r>
        <w:t xml:space="preserve">The totals it targeted were hit, in $10k AGI bands. Inside each band the weights alternated</w:t>
      </w:r>
      <w:r>
        <w:t xml:space="preserve"> </w:t>
      </w:r>
      <w:r>
        <w:t xml:space="preserve">sharply. For example, TY2017 returns at AGI $1–5k were 38% too high and at $5–10k 33% too</w:t>
      </w:r>
      <w:r>
        <w:t xml:space="preserve"> </w:t>
      </w:r>
      <w:r>
        <w:t xml:space="preserve">low, against IRS Table 1.4. Every later year inherited this.</w:t>
      </w:r>
    </w:p>
    <w:bookmarkEnd w:id="23"/>
    <w:bookmarkStart w:id="24" w:name="X17c6effaf853a29e6fc9a31709235092f10599b"/>
    <w:p>
      <w:pPr>
        <w:pStyle w:val="Heading3"/>
      </w:pPr>
      <w:r>
        <w:t xml:space="preserve">4. IRS data: a clean, checked reader for the national tables</w:t>
      </w:r>
    </w:p>
    <w:p>
      <w:pPr>
        <w:pStyle w:val="FirstParagraph"/>
      </w:pPr>
      <w:r>
        <w:t xml:space="preserve">To fit to finer IRS detail, we built a reader in the IRS-Ind repo for the 15 national</w:t>
      </w:r>
      <w:r>
        <w:t xml:space="preserve"> </w:t>
      </w:r>
      <w:r>
        <w:t xml:space="preserve">“by</w:t>
      </w:r>
      <w:r>
        <w:t xml:space="preserve"> </w:t>
      </w:r>
      <w:r>
        <w:t xml:space="preserve">size of AGI”</w:t>
      </w:r>
      <w:r>
        <w:t xml:space="preserve"> </w:t>
      </w:r>
      <w:r>
        <w:t xml:space="preserve">tables of IRS Publication 1304, 2011–2023 (one table back to 1996). It</w:t>
      </w:r>
      <w:r>
        <w:t xml:space="preserve"> </w:t>
      </w:r>
      <w:r>
        <w:t xml:space="preserve">produces: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 long panel per table</w:t>
      </w:r>
      <w:r>
        <w:t xml:space="preserve">, with every published value flagged. The IRS’s disclosure</w:t>
      </w:r>
      <w:r>
        <w:t xml:space="preserve"> </w:t>
      </w:r>
      <w:r>
        <w:t xml:space="preserve">marks (</w:t>
      </w:r>
      <w:r>
        <w:t xml:space="preserve">“use with caution”</w:t>
      </w:r>
      <w:r>
        <w:t xml:space="preserve">,</w:t>
      </w:r>
      <w:r>
        <w:t xml:space="preserve"> </w:t>
      </w:r>
      <w:r>
        <w:t xml:space="preserve">“combined to prevent disclosure”</w:t>
      </w:r>
      <w:r>
        <w:t xml:space="preserve">) are hidden in Excel number</w:t>
      </w:r>
      <w:r>
        <w:t xml:space="preserve"> </w:t>
      </w:r>
      <w:r>
        <w:t xml:space="preserve">formats, and standard readers turn a combined cell into a false zero.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Built-in checks:</w:t>
      </w:r>
      <w:r>
        <w:t xml:space="preserve"> </w:t>
      </w:r>
      <w:r>
        <w:t xml:space="preserve">size classes must add to their totals, and return counts must agree</w:t>
      </w:r>
      <w:r>
        <w:t xml:space="preserve"> </w:t>
      </w:r>
      <w:r>
        <w:t xml:space="preserve">across tables. All 20,000+ comparisons pass or are explained.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harmonized version</w:t>
      </w:r>
      <w:r>
        <w:t xml:space="preserve"> </w:t>
      </w:r>
      <w:r>
        <w:t xml:space="preserve">that keeps each series consistent across years when the IRS</w:t>
      </w:r>
      <w:r>
        <w:t xml:space="preserve"> </w:t>
      </w:r>
      <w:r>
        <w:t xml:space="preserve">merges, splits or relabels a line.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version of Table 1.6 (returns by age × filing status × AGI) ready for reweighting.</w:t>
      </w:r>
      <w:r>
        <w:t xml:space="preserve"> </w:t>
      </w:r>
      <w:r>
        <w:t xml:space="preserve">Cells the IRS combined for disclosure are grouped into blocks whose totals are known, and</w:t>
      </w:r>
      <w:r>
        <w:t xml:space="preserve"> </w:t>
      </w:r>
      <w:r>
        <w:t xml:space="preserve">every row and column total balances.</w:t>
      </w:r>
    </w:p>
    <w:bookmarkEnd w:id="24"/>
    <w:bookmarkStart w:id="25" w:name="Xc49c8281cf1629fe844febb85943ac36aca816f"/>
    <w:p>
      <w:pPr>
        <w:pStyle w:val="Heading3"/>
      </w:pPr>
      <w:r>
        <w:t xml:space="preserve">5. The fix: rebuilding filer weights for every year, 2017–2023</w:t>
      </w:r>
    </w:p>
    <w:p>
      <w:pPr>
        <w:pStyle w:val="FirstParagraph"/>
      </w:pPr>
      <w:r>
        <w:t xml:space="preserve">Filer weights are now</w:t>
      </w:r>
      <w:r>
        <w:t xml:space="preserve"> </w:t>
      </w:r>
      <w:r>
        <w:rPr>
          <w:b/>
          <w:bCs/>
        </w:rPr>
        <w:t xml:space="preserve">calibrated each year to IRS targets</w:t>
      </w:r>
      <w:r>
        <w:t xml:space="preserve"> </w:t>
      </w:r>
      <w:r>
        <w:t xml:space="preserve">(decision S40):</w:t>
      </w:r>
    </w:p>
    <w:p>
      <w:pPr>
        <w:pStyle w:val="Compact"/>
        <w:numPr>
          <w:ilvl w:val="0"/>
          <w:numId w:val="1003"/>
        </w:numPr>
      </w:pPr>
      <w:r>
        <w:t xml:space="preserve">returns by filing status × age × AGI class (Table 1.6);</w:t>
      </w:r>
    </w:p>
    <w:p>
      <w:pPr>
        <w:pStyle w:val="Compact"/>
        <w:numPr>
          <w:ilvl w:val="0"/>
          <w:numId w:val="1003"/>
        </w:numPr>
      </w:pPr>
      <w:r>
        <w:t xml:space="preserve">returns with wages by AGI class (Table 1.4);</w:t>
      </w:r>
    </w:p>
    <w:p>
      <w:pPr>
        <w:pStyle w:val="Compact"/>
        <w:numPr>
          <w:ilvl w:val="0"/>
          <w:numId w:val="1003"/>
        </w:numPr>
      </w:pPr>
      <w:r>
        <w:t xml:space="preserve">dependent returns, all and with wages, by AGI class (Table 1.7).</w:t>
      </w:r>
    </w:p>
    <w:p>
      <w:pPr>
        <w:pStyle w:val="FirstParagraph"/>
      </w:pPr>
      <w:r>
        <w:t xml:space="preserve">How it works: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AGI:</w:t>
      </w:r>
      <w:r>
        <w:t xml:space="preserve"> </w:t>
      </w:r>
      <w:r>
        <w:t xml:space="preserve">records are classed with a reconstruction of AGI from each record’s components.</w:t>
      </w:r>
      <w:r>
        <w:t xml:space="preserve"> </w:t>
      </w:r>
      <w:r>
        <w:t xml:space="preserve">It matches Tax-Simulator’s computed AGI for 99% of returns.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Method:</w:t>
      </w:r>
      <w:r>
        <w:t xml:space="preserve"> </w:t>
      </w:r>
      <w:r>
        <w:t xml:space="preserve">we compared the old linear program with its objective fixed against entropy</w:t>
      </w:r>
      <w:r>
        <w:t xml:space="preserve"> </w:t>
      </w:r>
      <w:r>
        <w:t xml:space="preserve">calibration, which moves weights as little as possible from a starting point. Both hit the</w:t>
      </w:r>
      <w:r>
        <w:t xml:space="preserve"> </w:t>
      </w:r>
      <w:r>
        <w:t xml:space="preserve">targets.</w:t>
      </w:r>
      <w:r>
        <w:t xml:space="preserve"> </w:t>
      </w:r>
      <w:r>
        <w:rPr>
          <w:b/>
          <w:bCs/>
        </w:rPr>
        <w:t xml:space="preserve">Calibration was clearly better on weight quality</w:t>
      </w:r>
      <w:r>
        <w:t xml:space="preserve">: a higher effective sample</w:t>
      </w:r>
      <w:r>
        <w:t xml:space="preserve"> </w:t>
      </w:r>
      <w:r>
        <w:t xml:space="preserve">size, a third of the linear program’s lumpiness, and almost no records at a bound, against</w:t>
      </w:r>
      <w:r>
        <w:t xml:space="preserve"> </w:t>
      </w:r>
      <w:r>
        <w:t xml:space="preserve">6–11% for the linear program. It was also slightly better on untargeted IRS series.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2017 base</w:t>
      </w:r>
      <w:r>
        <w:t xml:space="preserve"> </w:t>
      </w:r>
      <w:r>
        <w:t xml:space="preserve">is refit from its weights before the old linear program ran.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Later years:</w:t>
      </w:r>
      <w:r>
        <w:t xml:space="preserve"> </w:t>
      </w:r>
      <w:r>
        <w:t xml:space="preserve">each is fit starting from its prior (the refit 2017 weights × the status</w:t>
      </w:r>
      <w:r>
        <w:t xml:space="preserve"> </w:t>
      </w:r>
      <w:r>
        <w:t xml:space="preserve">× age factors), iterating with the income factors that depend on the weights. Years after</w:t>
      </w:r>
      <w:r>
        <w:t xml:space="preserve"> </w:t>
      </w:r>
      <w:r>
        <w:t xml:space="preserve">2023 grow from the refit 2023 weights.</w:t>
      </w:r>
    </w:p>
    <w:p>
      <w:pPr>
        <w:pStyle w:val="FirstParagraph"/>
      </w:pPr>
      <w:r>
        <w:t xml:space="preserve">Results in a full rebuild (vintage</w:t>
      </w:r>
      <w:r>
        <w:t xml:space="preserve"> </w:t>
      </w:r>
      <w:r>
        <w:rPr>
          <w:rStyle w:val="VerbatimChar"/>
        </w:rPr>
        <w:t xml:space="preserve">2026092712_filer_refit</w:t>
      </w:r>
      <w:r>
        <w:t xml:space="preserve">, compared with the previous</w:t>
      </w:r>
      <w:r>
        <w:t xml:space="preserve"> </w:t>
      </w:r>
      <w:r>
        <w:t xml:space="preserve">vintage):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Returns by AGI class vs Table 1.4, average error</w:t>
            </w:r>
          </w:p>
        </w:tc>
        <w:tc>
          <w:tcPr/>
          <w:p>
            <w:pPr>
              <w:pStyle w:val="Compact"/>
            </w:pPr>
            <w:r>
              <w:t xml:space="preserve">12–13%</w:t>
            </w:r>
          </w:p>
        </w:tc>
        <w:tc>
          <w:tcPr/>
          <w:p>
            <w:pPr>
              <w:pStyle w:val="Compact"/>
            </w:pPr>
            <w:r>
              <w:t xml:space="preserve">under 0.5%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Returns with wages by AGI class, average error</w:t>
            </w:r>
          </w:p>
        </w:tc>
        <w:tc>
          <w:tcPr/>
          <w:p>
            <w:pPr>
              <w:pStyle w:val="Compact"/>
            </w:pPr>
            <w:r>
              <w:t xml:space="preserve">15–17%</w:t>
            </w:r>
          </w:p>
        </w:tc>
        <w:tc>
          <w:tcPr/>
          <w:p>
            <w:pPr>
              <w:pStyle w:val="Compact"/>
            </w:pPr>
            <w:r>
              <w:t xml:space="preserve">about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TY2023 wage filers at AGI $1–10k (IRS 9.56M)</w:t>
            </w:r>
          </w:p>
        </w:tc>
        <w:tc>
          <w:tcPr/>
          <w:p>
            <w:pPr>
              <w:pStyle w:val="Compact"/>
            </w:pPr>
            <w:r>
              <w:t xml:space="preserve">13.29M</w:t>
            </w:r>
          </w:p>
        </w:tc>
        <w:tc>
          <w:tcPr/>
          <w:p>
            <w:pPr>
              <w:pStyle w:val="Compact"/>
            </w:pPr>
            <w:r>
              <w:t xml:space="preserve">9.56M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TY2023 dependent wage filers at AGI $1–10k (IRS 3.75M)</w:t>
            </w:r>
          </w:p>
        </w:tc>
        <w:tc>
          <w:tcPr/>
          <w:p>
            <w:pPr>
              <w:pStyle w:val="Compact"/>
            </w:pPr>
            <w:r>
              <w:t xml:space="preserve">6.69M</w:t>
            </w:r>
          </w:p>
        </w:tc>
        <w:tc>
          <w:tcPr/>
          <w:p>
            <w:pPr>
              <w:pStyle w:val="Compact"/>
            </w:pPr>
            <w:r>
              <w:t xml:space="preserve">3.75M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filers vs IRS</w:t>
            </w:r>
          </w:p>
        </w:tc>
        <w:tc>
          <w:tcPr/>
          <w:p>
            <w:pPr>
              <w:pStyle w:val="Compact"/>
            </w:pPr>
            <w:r>
              <w:t xml:space="preserve">0.5% short</w:t>
            </w:r>
          </w:p>
        </w:tc>
        <w:tc>
          <w:tcPr/>
          <w:p>
            <w:pPr>
              <w:pStyle w:val="Compact"/>
            </w:pPr>
            <w:r>
              <w:t xml:space="preserve">exact</w:t>
            </w:r>
          </w:p>
        </w:tc>
      </w:tr>
    </w:tbl>
    <w:p>
      <w:pPr>
        <w:pStyle w:val="BodyText"/>
      </w:pPr>
      <w:r>
        <w:t xml:space="preserve">A column-by-column check confirmed that only weight-dependent values changed.</w:t>
      </w:r>
    </w:p>
    <w:bookmarkEnd w:id="25"/>
    <w:bookmarkStart w:id="26" w:name="in-progress"/>
    <w:p>
      <w:pPr>
        <w:pStyle w:val="Heading3"/>
      </w:pPr>
      <w:r>
        <w:t xml:space="preserve">6. In progress</w:t>
      </w:r>
    </w:p>
    <w:p>
      <w:pPr>
        <w:pStyle w:val="FirstParagraph"/>
      </w:pPr>
      <w:r>
        <w:t xml:space="preserve">That rebuild drifted the 2017 income amounts off their IRS totals: business income +23%,</w:t>
      </w:r>
      <w:r>
        <w:t xml:space="preserve"> </w:t>
      </w:r>
      <w:r>
        <w:t xml:space="preserve">interest +7%. The cause is that the step scaling 2017 amounts to IRS totals ran on the old</w:t>
      </w:r>
      <w:r>
        <w:t xml:space="preserve"> </w:t>
      </w:r>
      <w:r>
        <w:t xml:space="preserve">weights. The fix, now in the code, calibrates the 2017 weights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that step. A test</w:t>
      </w:r>
      <w:r>
        <w:t xml:space="preserve"> </w:t>
      </w:r>
      <w:r>
        <w:t xml:space="preserve">confirmed 2017 amounts then match IRS totals exactly.</w:t>
      </w:r>
      <w:r>
        <w:t xml:space="preserve"> </w:t>
      </w:r>
      <w:r>
        <w:rPr>
          <w:b/>
          <w:bCs/>
        </w:rPr>
        <w:t xml:space="preserve">A second rebuild with this fix is</w:t>
      </w:r>
      <w:r>
        <w:rPr>
          <w:b/>
          <w:bCs/>
        </w:rPr>
        <w:t xml:space="preserve"> </w:t>
      </w:r>
      <w:r>
        <w:rPr>
          <w:b/>
          <w:bCs/>
        </w:rPr>
        <w:t xml:space="preserve">running now</w:t>
      </w:r>
      <w:r>
        <w:t xml:space="preserve">, followed by the same diagnostics.</w:t>
      </w:r>
    </w:p>
    <w:p>
      <w:pPr>
        <w:pStyle w:val="BodyText"/>
      </w:pPr>
      <w:r>
        <w:rPr>
          <w:b/>
          <w:bCs/>
        </w:rPr>
        <w:t xml:space="preserve">After that:</w:t>
      </w:r>
    </w:p>
    <w:p>
      <w:pPr>
        <w:pStyle w:val="Compact"/>
        <w:numPr>
          <w:ilvl w:val="0"/>
          <w:numId w:val="1005"/>
        </w:numPr>
      </w:pPr>
      <w:r>
        <w:t xml:space="preserve">Re-run the state-weight comparison (section 1) on the new national weights.</w:t>
      </w:r>
    </w:p>
    <w:p>
      <w:pPr>
        <w:pStyle w:val="Compact"/>
        <w:numPr>
          <w:ilvl w:val="0"/>
          <w:numId w:val="1005"/>
        </w:numPr>
      </w:pPr>
      <w:r>
        <w:t xml:space="preserve">Run Tax-Simulator on the new vintage.</w:t>
      </w:r>
    </w:p>
    <w:p>
      <w:pPr>
        <w:pStyle w:val="Compact"/>
        <w:numPr>
          <w:ilvl w:val="0"/>
          <w:numId w:val="1005"/>
        </w:numPr>
      </w:pPr>
      <w:r>
        <w:t xml:space="preserve">Pick up the smaller open items:</w:t>
      </w:r>
    </w:p>
    <w:p>
      <w:pPr>
        <w:pStyle w:val="Compact"/>
        <w:numPr>
          <w:ilvl w:val="1"/>
          <w:numId w:val="1006"/>
        </w:numPr>
      </w:pPr>
      <w:r>
        <w:t xml:space="preserve">the file has no filer under 18, although the IRS counts about 2M such returns a year;</w:t>
      </w:r>
    </w:p>
    <w:p>
      <w:pPr>
        <w:pStyle w:val="Compact"/>
        <w:numPr>
          <w:ilvl w:val="1"/>
          <w:numId w:val="1006"/>
        </w:numPr>
      </w:pPr>
      <w:r>
        <w:t xml:space="preserve">some research scripts still need to switch to the shared pipeline code.</w:t>
      </w:r>
    </w:p>
    <w:p>
      <w:pPr>
        <w:pStyle w:val="FirstParagraph"/>
      </w:pPr>
      <w:r>
        <w:rPr>
          <w:b/>
          <w:bCs/>
        </w:rPr>
        <w:t xml:space="preserve">What collaborators should expect.</w:t>
      </w:r>
      <w:r>
        <w:t xml:space="preserve"> </w:t>
      </w:r>
      <w:r>
        <w:t xml:space="preserve">Once this ships, filer weights change in every year</w:t>
      </w:r>
      <w:r>
        <w:t xml:space="preserve"> </w:t>
      </w:r>
      <w:r>
        <w:t xml:space="preserve">from 2017 on, so Tax-Simulator results shift, most noticeably at low incomes and for</w:t>
      </w:r>
      <w:r>
        <w:t xml:space="preserve"> </w:t>
      </w:r>
      <w:r>
        <w:t xml:space="preserve">dependents.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Tax-Data: state weights, filer weights and IRS data</dc:title>
  <dc:creator/>
  <cp:keywords/>
  <dcterms:created xsi:type="dcterms:W3CDTF">2026-09-28T00:39:09Z</dcterms:created>
  <dcterms:modified xsi:type="dcterms:W3CDTF">2026-09-28T00:39:09Z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2026-09-27 - phase3b-filer-refit @ 699515e</vt:lpwstr>
  </property>
  <property fmtid="{D5CDD505-2E9C-101B-9397-08002B2CF9AE}" pid="3" name="subtitle">
    <vt:lpwstr>Update on the work of 24–27 September 2026, for collaborators</vt:lpwstr>
  </property>
</Properties>
</file>