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Non-Filer Replacement: Handoff for Review</w:t>
      </w:r>
    </w:p>
    <w:p>
      <w:pPr>
        <w:pStyle w:val="Subtitle"/>
      </w:pPr>
      <w:r>
        <w:t xml:space="preserve">Tax-Simulator state-tax / Tax-Data asec-nonfiler-pool — 30 August 2026</w:t>
      </w:r>
    </w:p>
    <w:p>
      <w:pPr>
        <w:pStyle w:val="Date"/>
      </w:pPr>
      <w:r>
        <w:t xml:space="preserve">2026-08-30 - state-tax @ 24584c441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out-this-document"/>
    <w:p>
      <w:pPr>
        <w:pStyle w:val="Heading1"/>
      </w:pPr>
      <w:r>
        <w:t xml:space="preserve">About this document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Rendered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Tax-Simulator, branch</w:t>
            </w:r>
            <w:r>
              <w:t xml:space="preserve"> </w:t>
            </w:r>
            <w:r>
              <w:rPr>
                <w:rStyle w:val="VerbatimChar"/>
              </w:rPr>
              <w:t xml:space="preserve">state-tax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24584c441</w:t>
            </w:r>
            <w:r>
              <w:t xml:space="preserve"> </w:t>
            </w:r>
            <w:r>
              <w:rPr>
                <w:b/>
                <w:bCs/>
              </w:rPr>
              <w:t xml:space="preserve">(plus uncommitted edits under research/)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Regenerate with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Rscript research/tools/render_release.R nonfiler_handoff</w:t>
            </w:r>
          </w:p>
        </w:tc>
      </w:tr>
    </w:tbl>
    <w:p>
      <w:pPr>
        <w:pStyle w:val="BodyText"/>
      </w:pPr>
      <w:r>
        <w:t xml:space="preserve">Assembled from the Markdown sources below, which are the source of truth.</w:t>
      </w:r>
      <w:r>
        <w:t xml:space="preserve"> </w:t>
      </w:r>
      <w:r>
        <w:t xml:space="preserve">This Word file is a point-in-time snapshot: comments on it are welcome, but</w:t>
      </w:r>
      <w:r>
        <w:t xml:space="preserve"> </w:t>
      </w:r>
      <w:r>
        <w:t xml:space="preserve">edits are not carried back – they are applied to the Markdown and a new</w:t>
      </w:r>
      <w:r>
        <w:t xml:space="preserve"> </w:t>
      </w:r>
      <w:r>
        <w:t xml:space="preserve">release is cut.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updated:</w:t>
            </w:r>
          </w:p>
        </w:tc>
        <w:tc>
          <w:tcPr/>
          <w:p>
            <w:pPr>
              <w:pStyle w:val="Compact"/>
            </w:pPr>
            <w:r>
              <w:t xml:space="preserve">Last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research/state_weights/handoff.md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research/state_weights/notes/state_work_proposal.md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</w:tr>
    </w:tbl>
    <w:bookmarkEnd w:id="20"/>
    <w:bookmarkStart w:id="27" w:name="the-map"/>
    <w:p>
      <w:pPr>
        <w:pStyle w:val="Heading1"/>
      </w:pPr>
      <w:r>
        <w:t xml:space="preserve">The map</w:t>
      </w:r>
    </w:p>
    <w:bookmarkStart w:id="26" w:name="the-non-filer-replacement-handoff-map"/>
    <w:p>
      <w:pPr>
        <w:pStyle w:val="Heading2"/>
      </w:pPr>
      <w:r>
        <w:t xml:space="preserve">The non-filer replacement: handoff map</w:t>
      </w:r>
    </w:p>
    <w:p>
      <w:pPr>
        <w:pStyle w:val="FirstParagraph"/>
      </w:pPr>
      <w:r>
        <w:t xml:space="preserve">The map of the non-filer workstream for collaborators, organized in four</w:t>
      </w:r>
      <w:r>
        <w:t xml:space="preserve"> </w:t>
      </w:r>
      <w:r>
        <w:t xml:space="preserve">parts: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this document,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fixes and updates to existing Tax-Data</w:t>
      </w:r>
      <w:r>
        <w:t xml:space="preserve"> </w:t>
      </w:r>
      <w:r>
        <w:t xml:space="preserve">code,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the non-filer construction itself,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the state work that</w:t>
      </w:r>
      <w:r>
        <w:t xml:space="preserve"> </w:t>
      </w:r>
      <w:r>
        <w:t xml:space="preserve">follows. Every claim links its evidence; every settled argument carries its</w:t>
      </w:r>
      <w:r>
        <w:t xml:space="preserve"> </w:t>
      </w:r>
      <w:r>
        <w:t xml:space="preserve">decision ID (</w:t>
      </w:r>
      <w:r>
        <w:rPr>
          <w:rStyle w:val="VerbatimChar"/>
        </w:rPr>
        <w:t xml:space="preserve">research/decisions_log.md</w:t>
      </w:r>
      <w:r>
        <w:t xml:space="preserve">, S13–S19). Render per S8 for review;</w:t>
      </w:r>
      <w:r>
        <w:t xml:space="preserve"> </w:t>
      </w:r>
      <w:r>
        <w:t xml:space="preserve">comments come back to the Markdown.</w:t>
      </w:r>
    </w:p>
    <w:bookmarkStart w:id="21" w:name="what-this-replaces-in-one-paragraph"/>
    <w:p>
      <w:pPr>
        <w:pStyle w:val="Heading3"/>
      </w:pPr>
      <w:r>
        <w:t xml:space="preserve">What this replaces, in one paragraph</w:t>
      </w:r>
    </w:p>
    <w:p>
      <w:pPr>
        <w:pStyle w:val="FirstParagraph"/>
      </w:pPr>
      <w:r>
        <w:t xml:space="preserve">Tax-Data appended DINA microdata as its non-filing population: no observed</w:t>
      </w:r>
      <w:r>
        <w:t xml:space="preserve"> </w:t>
      </w:r>
      <w:r>
        <w:t xml:space="preserve">ages (three</w:t>
      </w:r>
      <w:r>
        <w:t xml:space="preserve"> </w:t>
      </w:r>
      <w:r>
        <w:rPr>
          <w:rStyle w:val="VerbatimChar"/>
        </w:rPr>
        <w:t xml:space="preserve">runif</w:t>
      </w:r>
      <w:r>
        <w:t xml:space="preserve"> </w:t>
      </w:r>
      <w:r>
        <w:t xml:space="preserve">buckets), no sex, no dependents (hard-coded probability</w:t>
      </w:r>
      <w:r>
        <w:t xml:space="preserve"> </w:t>
      </w:r>
      <w:r>
        <w:t xml:space="preserve">draws), 0.0% interest and dividend receipt, and an age composition</w:t>
      </w:r>
      <w:r>
        <w:t xml:space="preserve"> </w:t>
      </w:r>
      <w:r>
        <w:rPr>
          <w:i/>
          <w:iCs/>
        </w:rPr>
        <w:t xml:space="preserve">inverted</w:t>
      </w:r>
      <w:r>
        <w:t xml:space="preserve"> </w:t>
      </w:r>
      <w:r>
        <w:t xml:space="preserve">relative to the administrative residual. The replacement is built from the</w:t>
      </w:r>
      <w:r>
        <w:t xml:space="preserve"> </w:t>
      </w:r>
      <w:r>
        <w:t xml:space="preserve">CPS ASEC — tax units constructed rule-by-rule, a two-model filing decision</w:t>
      </w:r>
      <w:r>
        <w:t xml:space="preserve"> </w:t>
      </w:r>
      <w:r>
        <w:t xml:space="preserve">(Mok’s probits below the filing threshold, a Pub 5785 composition hazard</w:t>
      </w:r>
      <w:r>
        <w:t xml:space="preserve"> </w:t>
      </w:r>
      <w:r>
        <w:t xml:space="preserve">above it), group quarters backfilled from the ACS — calibrated so that</w:t>
      </w:r>
      <w:r>
        <w:t xml:space="preserve"> </w:t>
      </w:r>
      <w:r>
        <w:t xml:space="preserve">emitted records plus claimed-dependent netting equal the residual count of</w:t>
      </w:r>
      <w:r>
        <w:t xml:space="preserve"> </w:t>
      </w:r>
      <w:r>
        <w:t xml:space="preserve">non-filing adults exactly, per age band, per year. It beats the DINA file on</w:t>
      </w:r>
      <w:r>
        <w:t xml:space="preserve"> </w:t>
      </w:r>
      <w:r>
        <w:t xml:space="preserve">every measurable dimension (</w:t>
      </w:r>
      <w:r>
        <w:rPr>
          <w:rStyle w:val="VerbatimChar"/>
        </w:rPr>
        <w:t xml:space="preserve">nonfiler_pool/results/acceptance_{year}.csv</w:t>
      </w:r>
      <w:r>
        <w:t xml:space="preserve">).</w:t>
      </w:r>
    </w:p>
    <w:bookmarkEnd w:id="21"/>
    <w:bookmarkStart w:id="22" w:name="X846ad49615415b0b7d3de46ee753981ee63fbb8"/>
    <w:p>
      <w:pPr>
        <w:pStyle w:val="Heading3"/>
      </w:pPr>
      <w:r>
        <w:t xml:space="preserve">(b) The Tax-Data branch:</w:t>
      </w:r>
      <w:r>
        <w:t xml:space="preserve"> </w:t>
      </w:r>
      <w:r>
        <w:rPr>
          <w:rStyle w:val="VerbatimChar"/>
        </w:rPr>
        <w:t xml:space="preserve">asec-nonfiler-pool</w:t>
      </w:r>
      <w:r>
        <w:t xml:space="preserve">, three commits</w:t>
      </w:r>
    </w:p>
    <w:p>
      <w:pPr>
        <w:pStyle w:val="FirstParagraph"/>
      </w:pPr>
      <w:r>
        <w:t xml:space="preserve">Review in order;</w:t>
      </w:r>
      <w:r>
        <w:t xml:space="preserve"> </w:t>
      </w:r>
      <w:r>
        <w:rPr>
          <w:rStyle w:val="VerbatimChar"/>
        </w:rPr>
        <w:t xml:space="preserve">NONFILER_BRANCH_NOTES.md</w:t>
      </w:r>
      <w:r>
        <w:t xml:space="preserve"> </w:t>
      </w:r>
      <w:r>
        <w:t xml:space="preserve">on the branch carries the</w:t>
      </w:r>
      <w:r>
        <w:t xml:space="preserve"> </w:t>
      </w:r>
      <w:r>
        <w:t xml:space="preserve">per-commit checklist.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review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Extensive-factor mask restricted to filers.</w:t>
            </w:r>
            <w:r>
              <w:t xml:space="preserve"> </w:t>
            </w:r>
            <w:r>
              <w:t xml:space="preserve">A standing defect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: non-filers sat inside the mask that sets every 2020+ growth factor, and their weights grow apart from filers by +4.7% (2025) / +18.6% (2055). DINA’s wages and pensions contaminate it</w:t>
            </w:r>
            <w:r>
              <w:t xml:space="preserve"> </w:t>
            </w:r>
            <w:r>
              <w:rPr>
                <w:i/>
                <w:iCs/>
              </w:rPr>
              <w:t xml:space="preserve">today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accept that filer totals move by exactly this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Filer weights on observed IRS counts through 2023</w:t>
            </w:r>
            <w:r>
              <w:t xml:space="preserve"> </w:t>
            </w:r>
            <w:r>
              <w:t xml:space="preserve">(returns per adult: .5991 → .6314 in 2020 → .6008 in 2023, fully reverted — the demographic handoff now lands after the spike, not inside it), and</w:t>
            </w:r>
            <w:r>
              <w:t xml:space="preserve"> </w:t>
            </w:r>
            <w:r>
              <w:rPr>
                <w:b/>
                <w:bCs/>
              </w:rPr>
              <w:t xml:space="preserve">non-filer weights on the S18(b) band series</w:t>
            </w:r>
            <w:r>
              <w:t xml:space="preserve"> </w:t>
            </w:r>
            <w:r>
              <w:t xml:space="preserve">(observed residual counts through 2023, then a 10-year phase to the 2017–19 share norm on CBO band population).</w:t>
            </w:r>
          </w:p>
        </w:tc>
        <w:tc>
          <w:tcPr/>
          <w:p>
            <w:pPr>
              <w:pStyle w:val="Compact"/>
            </w:pPr>
            <w:r>
              <w:t xml:space="preserve">the 10-vs-5-year phase; the stable-netting-share assumption; weights@2023 with income factors@2022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the published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ASEC-Nonfilers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pool.</w:t>
            </w:r>
            <w:r>
              <w:t xml:space="preserve"> </w:t>
            </w:r>
            <w:r>
              <w:rPr>
                <w:rStyle w:val="VerbatimChar"/>
              </w:rPr>
              <w:t xml:space="preserve">impute_nonfilers.R</w:t>
            </w:r>
            <w:r>
              <w:t xml:space="preserve"> </w:t>
            </w:r>
            <w:r>
              <w:t xml:space="preserve">collapses to read + assertions + bind; non-filer sex observed, not redrawn (S14); DINA interface stays for its remaining filer-side consumer.</w:t>
            </w:r>
          </w:p>
        </w:tc>
        <w:tc>
          <w:tcPr/>
          <w:p>
            <w:pPr>
              <w:pStyle w:val="Compact"/>
            </w:pPr>
            <w:r>
              <w:t xml:space="preserve">reproduce</w:t>
            </w:r>
            <w:r>
              <w:t xml:space="preserve"> </w:t>
            </w:r>
            <w:r>
              <w:rPr>
                <w:rStyle w:val="VerbatimChar"/>
              </w:rPr>
              <w:t xml:space="preserve">male1</w:t>
            </w:r>
            <w:r>
              <w:t xml:space="preserve">/</w:t>
            </w:r>
            <w:r>
              <w:rPr>
                <w:rStyle w:val="VerbatimChar"/>
              </w:rPr>
              <w:t xml:space="preserve">male2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— they route EITC/CDCTC</w:t>
            </w:r>
          </w:p>
        </w:tc>
      </w:tr>
    </w:tbl>
    <w:p>
      <w:pPr>
        <w:pStyle w:val="BodyText"/>
      </w:pPr>
      <w:r>
        <w:rPr>
          <w:b/>
          <w:bCs/>
        </w:rPr>
        <w:t xml:space="preserve">Mortality needs no change, and the reason must survive this document:</w:t>
      </w:r>
      <w:r>
        <w:t xml:space="preserve"> </w:t>
      </w:r>
      <w:r>
        <w:t xml:space="preserve">ages are never incremented; every cell is rescaled to its year’s population,</w:t>
      </w:r>
      <w:r>
        <w:t xml:space="preserve"> </w:t>
      </w:r>
      <w:r>
        <w:t xml:space="preserve">so a record is an</w:t>
      </w:r>
      <w:r>
        <w:t xml:space="preserve"> </w:t>
      </w:r>
      <w:r>
        <w:rPr>
          <w:i/>
          <w:iCs/>
        </w:rPr>
        <w:t xml:space="preserve">age slice</w:t>
      </w:r>
      <w:r>
        <w:t xml:space="preserve">, not an aging cohort.</w:t>
      </w:r>
      <w:r>
        <w:t xml:space="preserve"> </w:t>
      </w:r>
      <w:r>
        <w:rPr>
          <w:rStyle w:val="VerbatimChar"/>
        </w:rPr>
        <w:t xml:space="preserve">q_death(frozen age, actual year)</w:t>
      </w:r>
      <w:r>
        <w:t xml:space="preserve"> </w:t>
      </w:r>
      <w:r>
        <w:t xml:space="preserve">is the correct lookup under that semantics, deaths already</w:t>
      </w:r>
      <w:r>
        <w:t xml:space="preserve"> </w:t>
      </w:r>
      <w:r>
        <w:t xml:space="preserve">live on the weight side (cohort ratios track CBO survival within 0.5pp), and</w:t>
      </w:r>
      <w:r>
        <w:t xml:space="preserve"> </w:t>
      </w:r>
      <w:r>
        <w:t xml:space="preserve">q_death never scales weights.</w:t>
      </w:r>
      <w:r>
        <w:t xml:space="preserve"> </w:t>
      </w:r>
      <w:r>
        <w:t xml:space="preserve">“Fixing”</w:t>
      </w:r>
      <w:r>
        <w:t xml:space="preserve"> </w:t>
      </w:r>
      <w:r>
        <w:t xml:space="preserve">frozen ages into cohort aging would</w:t>
      </w:r>
      <w:r>
        <w:t xml:space="preserve"> </w:t>
      </w:r>
      <w:r>
        <w:t xml:space="preserve">double-count mortality.</w:t>
      </w:r>
    </w:p>
    <w:p>
      <w:pPr>
        <w:pStyle w:val="BodyText"/>
      </w:pPr>
      <w:r>
        <w:rPr>
          <w:b/>
          <w:bCs/>
        </w:rPr>
        <w:t xml:space="preserve">Flagged, not fixed:</w:t>
      </w:r>
      <w:r>
        <w:t xml:space="preserve"> </w:t>
      </w:r>
      <w:r>
        <w:t xml:space="preserve">the person-slot demography joins</w:t>
      </w:r>
      <w:r>
        <w:t xml:space="preserve"> </w:t>
      </w:r>
      <w:r>
        <w:rPr>
          <w:rStyle w:val="VerbatimChar"/>
        </w:rPr>
        <w:t xml:space="preserve">dep_age_group1-3</w:t>
      </w:r>
      <w:r>
        <w:t xml:space="preserve"> </w:t>
      </w:r>
      <w:r>
        <w:t xml:space="preserve">— codes 1–4, not ages — as ages, so dependents match the population factor</w:t>
      </w:r>
      <w:r>
        <w:t xml:space="preserve"> </w:t>
      </w:r>
      <w:r>
        <w:t xml:space="preserve">for age 1–4. Pre-existing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affects filers too, owner’s call.</w:t>
      </w:r>
    </w:p>
    <w:bookmarkEnd w:id="22"/>
    <w:bookmarkStart w:id="23" w:name="Xaea673ecdf90ab4ab54014b3bc2c6c28ff5e12f"/>
    <w:p>
      <w:pPr>
        <w:pStyle w:val="Heading3"/>
      </w:pPr>
      <w:r>
        <w:t xml:space="preserve">(c) The construction, and where its evidence lives</w:t>
      </w:r>
    </w:p>
    <w:p>
      <w:pPr>
        <w:pStyle w:val="FirstParagraph"/>
      </w:pPr>
      <w:r>
        <w:t xml:space="preserve">The build is</w:t>
      </w:r>
      <w:r>
        <w:t xml:space="preserve"> </w:t>
      </w:r>
      <w:r>
        <w:rPr>
          <w:rStyle w:val="VerbatimChar"/>
        </w:rPr>
        <w:t xml:space="preserve">research/state_weights/nonfiler_pool/01</w:t>
      </w:r>
      <w:r>
        <w:t xml:space="preserve">–</w:t>
      </w:r>
      <w:r>
        <w:rPr>
          <w:rStyle w:val="VerbatimChar"/>
        </w:rPr>
        <w:t xml:space="preserve">15</w:t>
      </w:r>
      <w:r>
        <w:t xml:space="preserve">, one numbered</w:t>
      </w:r>
      <w:r>
        <w:t xml:space="preserve"> </w:t>
      </w:r>
      <w:r>
        <w:t xml:space="preserve">script per stage, gates printed and committed. The method reference is the</w:t>
      </w:r>
      <w:r>
        <w:t xml:space="preserve"> </w:t>
      </w:r>
      <w:r>
        <w:rPr>
          <w:i/>
          <w:iCs/>
        </w:rPr>
        <w:t xml:space="preserve">Non-Filer Residual</w:t>
      </w:r>
      <w:r>
        <w:t xml:space="preserve"> </w:t>
      </w:r>
      <w:r>
        <w:t xml:space="preserve">artifact; decisions S13–S18; benchmark disputes in</w:t>
      </w:r>
      <w:r>
        <w:t xml:space="preserve"> </w:t>
      </w:r>
      <w:r>
        <w:rPr>
          <w:rStyle w:val="VerbatimChar"/>
        </w:rPr>
        <w:t xml:space="preserve">notes/anchor_basis_comparison.md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Years.</w:t>
      </w:r>
      <w:r>
        <w:t xml:space="preserve"> </w:t>
      </w:r>
      <w:r>
        <w:t xml:space="preserve">Built directly for every year 2014–2023. The ceiling is set by</w:t>
      </w:r>
      <w:r>
        <w:t xml:space="preserve"> </w:t>
      </w:r>
      <w:r>
        <w:t xml:space="preserve">the inputs, not the survey: HT2 ends 2022 (state products), Pub 1304 T1.6</w:t>
      </w:r>
      <w:r>
        <w:t xml:space="preserve"> </w:t>
      </w:r>
      <w:r>
        <w:t xml:space="preserve">ends 2023 (the national anchor), the ASEC reaches income year 2024. For</w:t>
      </w:r>
      <w:r>
        <w:t xml:space="preserve"> </w:t>
      </w:r>
      <w:r>
        <w:t xml:space="preserve">2023 the two S15 level corrections are</w:t>
      </w:r>
      <w:r>
        <w:t xml:space="preserve"> </w:t>
      </w:r>
      <w:r>
        <w:rPr>
          <w:i/>
          <w:iCs/>
        </w:rPr>
        <w:t xml:space="preserve">carried</w:t>
      </w:r>
      <w:r>
        <w:t xml:space="preserve"> </w:t>
      </w:r>
      <w:r>
        <w:t xml:space="preserve">from 2022 at 0.59% of the</w:t>
      </w:r>
      <w:r>
        <w:t xml:space="preserve"> </w:t>
      </w:r>
      <w:r>
        <w:t xml:space="preserve">published level, since HT2 cannot measure them there.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Calibration basis.</w:t>
      </w:r>
      <w:r>
        <w:t xml:space="preserve"> </w:t>
      </w:r>
      <w:r>
        <w:t xml:space="preserve">The hazard calibrates on each year’s own Pub 5785</w:t>
      </w:r>
      <w:r>
        <w:t xml:space="preserve"> </w:t>
      </w:r>
      <w:r>
        <w:t xml:space="preserve">column (2014–16) and on rates against our own above-threshold population</w:t>
      </w:r>
      <w:r>
        <w:t xml:space="preserve"> </w:t>
      </w:r>
      <w:r>
        <w:t xml:space="preserve">after (S18); the mean-income ratio is flat to 1.1% across the published</w:t>
      </w:r>
      <w:r>
        <w:t xml:space="preserve"> </w:t>
      </w:r>
      <w:r>
        <w:t xml:space="preserve">years, the strongest evidence for the approach.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Known bounds.</w:t>
      </w:r>
      <w:r>
        <w:t xml:space="preserve"> </w:t>
      </w:r>
      <w:r>
        <w:t xml:space="preserve">The self-employment margin misses by 1.1–2.4pp in</w:t>
      </w:r>
      <w:r>
        <w:t xml:space="preserve"> </w:t>
      </w:r>
      <w:r>
        <w:t xml:space="preserve">projected years — the ASEC’s joint distribution cannot supply Pub 5785’s</w:t>
      </w:r>
      <w:r>
        <w:t xml:space="preserve"> </w:t>
      </w:r>
      <w:r>
        <w:t xml:space="preserve">wages×self-employment overlap (S17, accepted and recorded per year in</w:t>
      </w:r>
      <w:r>
        <w:t xml:space="preserve"> </w:t>
      </w:r>
      <w:r>
        <w:rPr>
          <w:rStyle w:val="VerbatimChar"/>
        </w:rPr>
        <w:t xml:space="preserve">hazard_margins_{year}.csv</w:t>
      </w:r>
      <w:r>
        <w:t xml:space="preserve">). Aging-vs-rebuild drift:</w:t>
      </w:r>
      <w:r>
        <w:t xml:space="preserve"> </w:t>
      </w:r>
      <w:r>
        <w:rPr>
          <w:rStyle w:val="VerbatimChar"/>
        </w:rPr>
        <w:t xml:space="preserve">aging_check_summary.csv</w:t>
      </w:r>
      <w:r>
        <w:t xml:space="preserve"> </w:t>
      </w:r>
      <w:r>
        <w:t xml:space="preserve">— one year costs +1.2%, five cost ~5% on the</w:t>
      </w:r>
      <w:r>
        <w:t xml:space="preserve"> </w:t>
      </w:r>
      <w:r>
        <w:t xml:space="preserve">level with the age composition swinging sign, and 2020–21 refuse a</w:t>
      </w:r>
      <w:r>
        <w:t xml:space="preserve"> </w:t>
      </w:r>
      <w:r>
        <w:t xml:space="preserve">projection outright; hence S18(c), rebuild through the ceiling.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handoff-year alignment (S19).</w:t>
      </w:r>
      <w:r>
        <w:t xml:space="preserve"> </w:t>
      </w:r>
      <w:r>
        <w:t xml:space="preserve">At T = 2023 the partition</w:t>
      </w:r>
      <w:r>
        <w:t xml:space="preserve"> </w:t>
      </w:r>
      <w:r>
        <w:rPr>
          <w:rStyle w:val="VerbatimChar"/>
        </w:rPr>
        <w:t xml:space="preserve">filing adults + non-filer target + netting = adults</w:t>
      </w:r>
      <w:r>
        <w:t xml:space="preserve"> </w:t>
      </w:r>
      <w:r>
        <w:t xml:space="preserve">is asserted per age</w:t>
      </w:r>
      <w:r>
        <w:t xml:space="preserve"> </w:t>
      </w:r>
      <w:r>
        <w:t xml:space="preserve">band on CBO’s ssArea universe — the universe that carries every weight</w:t>
      </w:r>
      <w:r>
        <w:t xml:space="preserve"> </w:t>
      </w:r>
      <w:r>
        <w:t xml:space="preserve">forward — and stays exact under aging because cells scale by</w:t>
      </w:r>
      <w:r>
        <w:t xml:space="preserve"> </w:t>
      </w:r>
      <w:r>
        <w:rPr>
          <w:rStyle w:val="VerbatimChar"/>
        </w:rPr>
        <w:t xml:space="preserve">N_b(y)/N_b(T)</w:t>
      </w:r>
      <w:r>
        <w:t xml:space="preserve">. The PEP↔ssArea wedge is published, not absorbed: ~1.5% on</w:t>
      </w:r>
      <w:r>
        <w:t xml:space="preserve"> </w:t>
      </w:r>
      <w:r>
        <w:t xml:space="preserve">adults, amplified to</w:t>
      </w:r>
      <w:r>
        <w:t xml:space="preserve"> </w:t>
      </w:r>
      <w:r>
        <w:rPr>
          <w:b/>
          <w:bCs/>
        </w:rPr>
        <w:t xml:space="preserve">5.6–11.7% in the residual</w:t>
      </w:r>
      <w:r>
        <w:t xml:space="preserve"> </w:t>
      </w:r>
      <w:r>
        <w:t xml:space="preserve">because the residual is</w:t>
      </w:r>
      <w:r>
        <w:t xml:space="preserve"> </w:t>
      </w:r>
      <w:r>
        <w:t xml:space="preserve">a small difference of large numbers (</w:t>
      </w:r>
      <w:r>
        <w:rPr>
          <w:rStyle w:val="VerbatimChar"/>
        </w:rPr>
        <w:t xml:space="preserve">ssarea_alignment_2023.csv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ssarea_wedge_2023.csv</w:t>
      </w:r>
      <w:r>
        <w:t xml:space="preserve">). The band×married split is deliberately NOT</w:t>
      </w:r>
      <w:r>
        <w:t xml:space="preserve"> </w:t>
      </w:r>
      <w:r>
        <w:t xml:space="preserve">asserted: T1.6’s primary-band convention makes it unidentifiable, and the</w:t>
      </w:r>
      <w:r>
        <w:t xml:space="preserve"> </w:t>
      </w:r>
      <w:r>
        <w:t xml:space="preserve">unmarried 35_44 cell proves it by arithmetic.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pool’s per-band ssArea scale</w:t>
      </w:r>
      <w:r>
        <w:t xml:space="preserve"> </w:t>
      </w:r>
      <w:r>
        <w:t xml:space="preserve">(1.061–1.134) is what the 2023 file</w:t>
      </w:r>
      <w:r>
        <w:t xml:space="preserve"> </w:t>
      </w:r>
      <w:r>
        <w:t xml:space="preserve">takes at merge time to close on the projection universe.</w:t>
      </w:r>
    </w:p>
    <w:bookmarkEnd w:id="23"/>
    <w:bookmarkStart w:id="24" w:name="d-the-state-work-that-follows"/>
    <w:p>
      <w:pPr>
        <w:pStyle w:val="Heading3"/>
      </w:pPr>
      <w:r>
        <w:t xml:space="preserve">(d) The state work that follows</w:t>
      </w:r>
    </w:p>
    <w:p>
      <w:pPr>
        <w:pStyle w:val="FirstParagraph"/>
      </w:pPr>
      <w:r>
        <w:t xml:space="preserve">Proposed in</w:t>
      </w:r>
      <w:r>
        <w:t xml:space="preserve"> </w:t>
      </w:r>
      <w:r>
        <w:rPr>
          <w:rStyle w:val="VerbatimChar"/>
        </w:rPr>
        <w:t xml:space="preserve">notes/state_work_proposal.md</w:t>
      </w:r>
      <w:r>
        <w:t xml:space="preserve">: the split-weights re-fit on the</w:t>
      </w:r>
      <w:r>
        <w:t xml:space="preserve"> </w:t>
      </w:r>
      <w:r>
        <w:t xml:space="preserve">new pool (group F), the state wage and age margins for 2014–2016 (blocked</w:t>
      </w:r>
      <w:r>
        <w:t xml:space="preserve"> </w:t>
      </w:r>
      <w:r>
        <w:t xml:space="preserve">only on three SSA workbooks —</w:t>
      </w:r>
      <w:r>
        <w:t xml:space="preserve"> </w:t>
      </w:r>
      <w:r>
        <w:rPr>
          <w:rStyle w:val="VerbatimChar"/>
        </w:rPr>
        <w:t xml:space="preserve">eedata_sc14/15/16.xlsx</w:t>
      </w:r>
      <w:r>
        <w:t xml:space="preserve">, workstation</w:t>
      </w:r>
      <w:r>
        <w:t xml:space="preserve"> </w:t>
      </w:r>
      <w:r>
        <w:t xml:space="preserve">download), HT2’s 2022 ceiling and what it does and does not cap, and</w:t>
      </w:r>
      <w:r>
        <w:t xml:space="preserve"> </w:t>
      </w:r>
      <w:r>
        <w:t xml:space="preserve">per-state rollout resumption.</w:t>
      </w:r>
    </w:p>
    <w:bookmarkEnd w:id="24"/>
    <w:bookmarkStart w:id="25" w:name="ceilings-and-splits-a-reader-must-carry"/>
    <w:p>
      <w:pPr>
        <w:pStyle w:val="Heading3"/>
      </w:pPr>
      <w:r>
        <w:t xml:space="preserve">Ceilings and splits a reader must carry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non-filer file rebuildable through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2023</w:t>
            </w:r>
            <w:r>
              <w:t xml:space="preserve"> </w:t>
            </w:r>
            <w:r>
              <w:t xml:space="preserve">national, 2022 with state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filer weight targets observed through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2023</w:t>
            </w:r>
            <w:r>
              <w:t xml:space="preserve"> </w:t>
            </w:r>
            <w:r>
              <w:t xml:space="preserve">(then CBO demography)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growth factors observed through</w:t>
            </w:r>
          </w:p>
        </w:tc>
        <w:tc>
          <w:tcPr/>
          <w:p>
            <w:pPr>
              <w:pStyle w:val="Compact"/>
            </w:pPr>
            <w:r>
              <w:t xml:space="preserve">2022, with a 2020–21 gap (upstream)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 universe</w:t>
            </w:r>
          </w:p>
        </w:tc>
        <w:tc>
          <w:tcPr/>
          <w:p>
            <w:pPr>
              <w:pStyle w:val="Compact"/>
            </w:pPr>
            <w:r>
              <w:t xml:space="preserve">CBO ssArea ≡ Macro-Projections cells (verified to the person)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universe, 2014–2022</w:t>
            </w:r>
          </w:p>
        </w:tc>
        <w:tc>
          <w:tcPr/>
          <w:p>
            <w:pPr>
              <w:pStyle w:val="Compact"/>
            </w:pPr>
            <w:r>
              <w:t xml:space="preserve">Census PEP resident (state work stays here)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5785 (obligated non-filers) published</w:t>
            </w:r>
          </w:p>
        </w:tc>
        <w:tc>
          <w:tcPr/>
          <w:p>
            <w:pPr>
              <w:pStyle w:val="Compact"/>
            </w:pPr>
            <w:r>
              <w:t xml:space="preserve">2014–2016 only; later years projected</w:t>
            </w:r>
          </w:p>
        </w:tc>
      </w:tr>
    </w:tbl>
    <w:bookmarkEnd w:id="25"/>
    <w:bookmarkEnd w:id="26"/>
    <w:bookmarkEnd w:id="27"/>
    <w:bookmarkStart w:id="33" w:name="the-state-work-that-follows"/>
    <w:p>
      <w:pPr>
        <w:pStyle w:val="Heading1"/>
      </w:pPr>
      <w:r>
        <w:t xml:space="preserve">The state work that follows</w:t>
      </w:r>
    </w:p>
    <w:bookmarkStart w:id="32" w:name="Xc401cd8c2b43bc00c57761e141c22ccdf8e17d1"/>
    <w:p>
      <w:pPr>
        <w:pStyle w:val="Heading2"/>
      </w:pPr>
      <w:r>
        <w:t xml:space="preserve">Proposal: the state work that follows the non-filer handoff</w:t>
      </w:r>
    </w:p>
    <w:p>
      <w:pPr>
        <w:pStyle w:val="FirstParagraph"/>
      </w:pPr>
      <w:r>
        <w:t xml:space="preserve">Part (d) of the handoff (</w:t>
      </w:r>
      <w:r>
        <w:rPr>
          <w:rStyle w:val="VerbatimChar"/>
        </w:rPr>
        <w:t xml:space="preserve">handoff.md</w:t>
      </w:r>
      <w:r>
        <w:t xml:space="preserve">). A proposal, not a plan — the plan of</w:t>
      </w:r>
      <w:r>
        <w:t xml:space="preserve"> </w:t>
      </w:r>
      <w:r>
        <w:t xml:space="preserve">record stays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(S7: one plan per workstream). Four items, ordered by</w:t>
      </w:r>
      <w:r>
        <w:t xml:space="preserve"> </w:t>
      </w:r>
      <w:r>
        <w:t xml:space="preserve">what unblocks what.</w:t>
      </w:r>
    </w:p>
    <w:bookmarkStart w:id="28" w:name="Xd60d3375849d915650cfd69e11d8c482f19ebbe"/>
    <w:p>
      <w:pPr>
        <w:pStyle w:val="Heading3"/>
      </w:pPr>
      <w:r>
        <w:t xml:space="preserve">1. Re-fit the split state weights on the new pool (group F)</w:t>
      </w:r>
    </w:p>
    <w:p>
      <w:pPr>
        <w:pStyle w:val="FirstParagraph"/>
      </w:pPr>
      <w:r>
        <w:t xml:space="preserve">The Phase 1 bake-off (config 7: β=1e-4 joint fit, 95.3% within 2%) was run</w:t>
      </w:r>
      <w:r>
        <w:t xml:space="preserve"> </w:t>
      </w:r>
      <w:r>
        <w:t xml:space="preserve">against the old non-filer partition. The pool changes the non-filer margin’s</w:t>
      </w:r>
      <w:r>
        <w:t xml:space="preserve"> </w:t>
      </w:r>
      <w:r>
        <w:t xml:space="preserve">composition — real ages, observed sex, income receipt where DINA had zeros —</w:t>
      </w:r>
      <w:r>
        <w:t xml:space="preserve"> </w:t>
      </w:r>
      <w:r>
        <w:t xml:space="preserve">so the fit’s non-filer targets and its demographic interactions should be</w:t>
      </w:r>
      <w:r>
        <w:t xml:space="preserve"> </w:t>
      </w:r>
      <w:r>
        <w:t xml:space="preserve">rebuilt before the production swap-in. Inputs ready: state anchors 2014–2022</w:t>
      </w:r>
      <w:r>
        <w:t xml:space="preserve"> </w:t>
      </w:r>
      <w:r>
        <w:t xml:space="preserve">(</w:t>
      </w:r>
      <w:r>
        <w:rPr>
          <w:rStyle w:val="VerbatimChar"/>
        </w:rPr>
        <w:t xml:space="preserve">residual_anchors_{year}.csv</w:t>
      </w:r>
      <w:r>
        <w:t xml:space="preserve">), the pool for every year 2014–2023.</w:t>
      </w:r>
    </w:p>
    <w:bookmarkEnd w:id="28"/>
    <w:bookmarkStart w:id="29" w:name="X30c948d7130fe7b49fd462b2d3cd120533876b5"/>
    <w:p>
      <w:pPr>
        <w:pStyle w:val="Heading3"/>
      </w:pPr>
      <w:r>
        <w:t xml:space="preserve">2. Complete the state margins for the calibration years</w:t>
      </w:r>
    </w:p>
    <w:p>
      <w:pPr>
        <w:pStyle w:val="FirstParagraph"/>
      </w:pPr>
      <w:r>
        <w:rPr>
          <w:rStyle w:val="VerbatimChar"/>
        </w:rPr>
        <w:t xml:space="preserve">nonfiler_wage_margin_{year}.csv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ssa_age_margin_{year}.csv</w:t>
      </w:r>
      <w:r>
        <w:t xml:space="preserve"> </w:t>
      </w:r>
      <w:r>
        <w:t xml:space="preserve">are skipped</w:t>
      </w:r>
      <w:r>
        <w:t xml:space="preserve"> </w:t>
      </w:r>
      <w:r>
        <w:t xml:space="preserve">for 2014–2016 for exactly one remaining reason: three SSA covered-earnings</w:t>
      </w:r>
      <w:r>
        <w:t xml:space="preserve"> </w:t>
      </w:r>
      <w:r>
        <w:t xml:space="preserve">workbooks (</w:t>
      </w:r>
      <w:r>
        <w:rPr>
          <w:rStyle w:val="VerbatimChar"/>
        </w:rPr>
        <w:t xml:space="preserve">eedata_sc14/15/16.xlsx</w:t>
      </w:r>
      <w:r>
        <w:t xml:space="preserve">) that ssa.gov will not serve to this</w:t>
      </w:r>
      <w:r>
        <w:t xml:space="preserve"> </w:t>
      </w:r>
      <w:r>
        <w:t xml:space="preserve">cluster. QCEW is already backfilled. Drop the files in,</w:t>
      </w:r>
      <w:r>
        <w:t xml:space="preserve"> </w:t>
      </w:r>
      <w:r>
        <w:rPr>
          <w:rStyle w:val="VerbatimChar"/>
        </w:rPr>
        <w:t xml:space="preserve">13_verify_ssa_backfill.R</w:t>
      </w:r>
      <w:r>
        <w:t xml:space="preserve"> </w:t>
      </w:r>
      <w:r>
        <w:t xml:space="preserve">checks and registers them, and one anchor re-run</w:t>
      </w:r>
      <w:r>
        <w:t xml:space="preserve"> </w:t>
      </w:r>
      <w:r>
        <w:t xml:space="preserve">completes both products for all three years.</w:t>
      </w:r>
    </w:p>
    <w:bookmarkEnd w:id="29"/>
    <w:bookmarkStart w:id="30" w:name="Xa68858fe5b3ae84840e067167263027875b73c2"/>
    <w:p>
      <w:pPr>
        <w:pStyle w:val="Heading3"/>
      </w:pPr>
      <w:r>
        <w:t xml:space="preserve">3. Name what HT2’s 2022 ceiling caps, and what it does not</w:t>
      </w:r>
    </w:p>
    <w:p>
      <w:pPr>
        <w:pStyle w:val="FirstParagraph"/>
      </w:pPr>
      <w:r>
        <w:t xml:space="preserve">HT2 ends at 2022, so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shares end there; the</w:t>
      </w:r>
      <w:r>
        <w:t xml:space="preserve"> </w:t>
      </w:r>
      <w:r>
        <w:rPr>
          <w:b/>
          <w:bCs/>
        </w:rPr>
        <w:t xml:space="preserve">national</w:t>
      </w:r>
      <w:r>
        <w:t xml:space="preserve"> </w:t>
      </w:r>
      <w:r>
        <w:t xml:space="preserve">anchor</w:t>
      </w:r>
      <w:r>
        <w:t xml:space="preserve"> </w:t>
      </w:r>
      <w:r>
        <w:t xml:space="preserve">reaches 2023 with carried level corrections (0.59%). Proposal: state weights</w:t>
      </w:r>
      <w:r>
        <w:t xml:space="preserve"> </w:t>
      </w:r>
      <w:r>
        <w:t xml:space="preserve">for 2023+ hold the 2022 state shares against the national path — the same</w:t>
      </w:r>
      <w:r>
        <w:t xml:space="preserve"> </w:t>
      </w:r>
      <w:r>
        <w:t xml:space="preserve">carried-forward logic the level corrections use — with the assumption named</w:t>
      </w:r>
      <w:r>
        <w:t xml:space="preserve"> </w:t>
      </w:r>
      <w:r>
        <w:t xml:space="preserve">in the fit’s documentation rather than discovered. Revisit when SOI publishes</w:t>
      </w:r>
      <w:r>
        <w:t xml:space="preserve"> </w:t>
      </w:r>
      <w:r>
        <w:t xml:space="preserve">HT2 2023.</w:t>
      </w:r>
    </w:p>
    <w:bookmarkEnd w:id="30"/>
    <w:bookmarkStart w:id="31" w:name="Xa089fbd3281719beacc836df261cdb01ab0ae2f"/>
    <w:p>
      <w:pPr>
        <w:pStyle w:val="Heading3"/>
      </w:pPr>
      <w:r>
        <w:t xml:space="preserve">4. Resume the per-state rollout on the settled base</w:t>
      </w:r>
    </w:p>
    <w:p>
      <w:pPr>
        <w:pStyle w:val="FirstParagraph"/>
      </w:pPr>
      <w:r>
        <w:t xml:space="preserve">The per-state law encoding (</w:t>
      </w:r>
      <w:r>
        <w:rPr>
          <w:rStyle w:val="VerbatimChar"/>
        </w:rPr>
        <w:t xml:space="preserve">state_tax/state_parameter_rollout.csv</w:t>
      </w:r>
      <w:r>
        <w:t xml:space="preserve">) paused</w:t>
      </w:r>
      <w:r>
        <w:t xml:space="preserve"> </w:t>
      </w:r>
      <w:r>
        <w:t xml:space="preserve">while the population under it was being replaced. With the pool published,</w:t>
      </w:r>
      <w:r>
        <w:t xml:space="preserve"> </w:t>
      </w:r>
      <w:r>
        <w:t xml:space="preserve">the aging settled (S18), and the handoff basis aligned (S19), the rollout’s</w:t>
      </w:r>
      <w:r>
        <w:t xml:space="preserve"> </w:t>
      </w:r>
      <w:r>
        <w:t xml:space="preserve">blocker is gone. State aggregate validation remains gated on production</w:t>
      </w:r>
      <w:r>
        <w:t xml:space="preserve"> </w:t>
      </w:r>
      <w:r>
        <w:t xml:space="preserve">state weights (item 1), per the standing protocol.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Non-Filer Replacement: Handoff for Review</dc:title>
  <dc:creator/>
  <cp:keywords/>
  <dcterms:created xsi:type="dcterms:W3CDTF">2026-08-30T20:52:16Z</dcterms:created>
  <dcterms:modified xsi:type="dcterms:W3CDTF">2026-08-30T20:52:16Z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2026-08-30 - state-tax @ 24584c441</vt:lpwstr>
  </property>
  <property fmtid="{D5CDD505-2E9C-101B-9397-08002B2CF9AE}" pid="3" name="subtitle">
    <vt:lpwstr>Tax-Simulator state-tax / Tax-Data asec-nonfiler-pool — 30 August 2026</vt:lpwstr>
  </property>
</Properties>
</file>