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DE94" w14:textId="77777777" w:rsidR="00C877C4" w:rsidRDefault="00AF59D4">
      <w:r>
        <w:t>Affordability Project Outline — Income</w:t>
      </w:r>
    </w:p>
    <w:p w14:paraId="1FDEDE95" w14:textId="77777777" w:rsidR="00C877C4" w:rsidRDefault="00AF59D4">
      <w:r>
        <w:t>John Iselin</w:t>
      </w:r>
    </w:p>
    <w:p w14:paraId="1FDEDE96" w14:textId="77777777" w:rsidR="00C877C4" w:rsidRDefault="00AF59D4">
      <w:r>
        <w:t>August 2026</w:t>
      </w:r>
    </w:p>
    <w:p w14:paraId="1FDEDE97" w14:textId="77777777" w:rsidR="00C877C4" w:rsidRDefault="00AF59D4">
      <w:pPr>
        <w:pStyle w:val="Heading2"/>
      </w:pPr>
      <w:r>
        <w:t>Overview</w:t>
      </w:r>
    </w:p>
    <w:p w14:paraId="1FDEDE98" w14:textId="30F14C33" w:rsidR="00C877C4" w:rsidRDefault="00AF59D4">
      <w:r>
        <w:t>This memo describes the methodology for estimating the after-tax-and-transfer income (</w:t>
      </w:r>
      <m:oMath>
        <m:r>
          <w:rPr>
            <w:rFonts w:ascii="Cambria Math" w:hAnsi="Cambria Math"/>
          </w:rPr>
          <m:t>Y</m:t>
        </m:r>
      </m:oMath>
      <w:r>
        <w:t xml:space="preserve">) available to a given household. </w:t>
      </w:r>
      <m:oMath>
        <m:r>
          <w:rPr>
            <w:rFonts w:ascii="Cambria Math" w:hAnsi="Cambria Math"/>
          </w:rPr>
          <m:t>Y</m:t>
        </m:r>
      </m:oMath>
      <w:r>
        <w:t xml:space="preserve"> will be a function of the household’s actual observed income across all members, their individual income and payroll tax liability, and their eligibility for and take-up of government cash transfer programs. This estimate of </w:t>
      </w:r>
      <m:oMath>
        <m:r>
          <w:rPr>
            <w:rFonts w:ascii="Cambria Math" w:hAnsi="Cambria Math"/>
          </w:rPr>
          <m:t>Y</m:t>
        </m:r>
      </m:oMath>
      <w:r>
        <w:t xml:space="preserve"> will serve as the denominator of our affordability index (for more information on the numerator </w:t>
      </w:r>
      <m:oMath>
        <m:r>
          <w:rPr>
            <w:rFonts w:ascii="Cambria Math" w:hAnsi="Cambria Math"/>
          </w:rPr>
          <m:t>C</m:t>
        </m:r>
      </m:oMath>
      <w:r>
        <w:t>, our estimate of cost, see the project Overview and the companion cost memos on Housing, Food, Childcare, Education, Transportation and Retirement, all in the project’s Plans folder [SharePoint links to be added]).</w:t>
      </w:r>
    </w:p>
    <w:p w14:paraId="1FDEDE99" w14:textId="77777777" w:rsidR="00C877C4" w:rsidRDefault="00C877C4"/>
    <w:p w14:paraId="1FDEDE9A" w14:textId="55B6BD62" w:rsidR="00C877C4" w:rsidRDefault="00AF59D4">
      <w:r>
        <w:t xml:space="preserve">The minimal viable product is a state-representative American Community Survey (ACS) household file whose incomes have been aligned to IRS administrative tabulations and run through The Budget Lab’s federal and state tax models. For the </w:t>
      </w:r>
      <w:r>
        <w:t>minimal</w:t>
      </w:r>
      <w:r>
        <w:t xml:space="preserve"> viable product, we will use household self-reports, adjusted for underreporting, for cash transfer receipt where available, but later work will involve modeling the receipt of these programs including Social Security, Supplemental Security Income (SSI), Unemployment Insurance (UI), and Temporary Assistance for Needy Families (TANF).</w:t>
      </w:r>
    </w:p>
    <w:p w14:paraId="1FDEDE9B" w14:textId="77777777" w:rsidR="00C877C4" w:rsidRDefault="00C877C4"/>
    <w:p w14:paraId="1FDEDE9C" w14:textId="77777777" w:rsidR="00C877C4" w:rsidRDefault="00AF59D4">
      <w:r>
        <w:t xml:space="preserve">We will estimate the following equation to estimate </w:t>
      </w:r>
      <m:oMath>
        <m:sSub>
          <m:sSubPr>
            <m:ctrlPr>
              <w:rPr>
                <w:rFonts w:ascii="Cambria Math" w:hAnsi="Cambria Math"/>
              </w:rPr>
            </m:ctrlPr>
          </m:sSubPr>
          <m:e>
            <m:r>
              <w:rPr>
                <w:rFonts w:ascii="Cambria Math" w:hAnsi="Cambria Math"/>
              </w:rPr>
              <m:t>Y</m:t>
            </m:r>
          </m:e>
          <m:sub>
            <m:r>
              <w:rPr>
                <w:rFonts w:ascii="Cambria Math" w:hAnsi="Cambria Math"/>
              </w:rPr>
              <m:t>h</m:t>
            </m:r>
          </m:sub>
        </m:sSub>
      </m:oMath>
      <w:r>
        <w:t xml:space="preserve">, a record-level accounting measure built from reported or imputed values and from tax-and-transfer simulation. </w:t>
      </w:r>
    </w:p>
    <w:p w14:paraId="1FDEDE9D" w14:textId="77777777" w:rsidR="00C877C4" w:rsidRDefault="00C877C4"/>
    <w:p w14:paraId="1FDEDE9E" w14:textId="77777777" w:rsidR="00C877C4" w:rsidRDefault="00C877C4"/>
    <w:p w14:paraId="1FDEDE9F" w14:textId="77777777" w:rsidR="00C877C4"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,s,t</m:t>
              </m:r>
            </m:e>
          </m:d>
          <m:r>
            <m:rPr>
              <m:lit/>
              <m:nor/>
            </m:rPr>
            <m:t>=</m:t>
          </m:r>
          <m:nary>
            <m:naryPr>
              <m:chr m:val="∑"/>
              <m:supHide m:val="1"/>
              <m:ctrlPr>
                <w:rPr>
                  <w:rFonts w:ascii="Cambria Math" w:hAnsi="Cambria Math"/>
                </w:rPr>
              </m:ctrlPr>
            </m:naryPr>
            <m:sub>
              <m:r>
                <w:rPr>
                  <w:rFonts w:ascii="Cambria Math" w:hAnsi="Cambria Math"/>
                </w:rPr>
                <m:t>u∈n(h)</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u</m:t>
                      </m:r>
                    </m:sub>
                  </m:sSub>
                  <m:r>
                    <m:rPr>
                      <m:lit/>
                      <m:nor/>
                    </m:rPr>
                    <m:t>+</m:t>
                  </m:r>
                  <m:r>
                    <w:rPr>
                      <w:rFonts w:ascii="Cambria Math" w:hAnsi="Cambria Math"/>
                    </w:rPr>
                    <m:t>τ(.)⋅B</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,s,t</m:t>
                      </m:r>
                    </m:e>
                  </m:d>
                  <m:r>
                    <m:rPr>
                      <m:lit/>
                      <m:nor/>
                    </m: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,s,t</m:t>
                      </m:r>
                    </m:e>
                  </m:d>
                </m:e>
              </m:d>
            </m:e>
          </m:nary>
        </m:oMath>
      </m:oMathPara>
    </w:p>
    <w:p w14:paraId="1FDEDEA0" w14:textId="77777777" w:rsidR="00C877C4" w:rsidRDefault="00AF59D4">
      <w:r>
        <w:t>Where:</w:t>
      </w:r>
    </w:p>
    <w:p w14:paraId="1FDEDEA1" w14:textId="77777777" w:rsidR="00C877C4" w:rsidRDefault="00000000">
      <w:pPr>
        <w:numPr>
          <w:ilvl w:val="0"/>
          <w:numId w:val="1"/>
        </w:numPr>
      </w:pPr>
      <m:oMath>
        <m:sSub>
          <m:sSubPr>
            <m:ctrlPr>
              <w:rPr>
                <w:rFonts w:ascii="Cambria Math" w:hAnsi="Cambria Math"/>
              </w:rPr>
            </m:ctrlPr>
          </m:sSubPr>
          <m:e>
            <m:r>
              <w:rPr>
                <w:rFonts w:ascii="Cambria Math" w:hAnsi="Cambria Math"/>
              </w:rPr>
              <m:t>X</m:t>
            </m:r>
          </m:e>
          <m:sub>
            <m:r>
              <w:rPr>
                <w:rFonts w:ascii="Cambria Math" w:hAnsi="Cambria Math"/>
              </w:rPr>
              <m:t>h</m:t>
            </m:r>
          </m:sub>
        </m:sSub>
      </m:oMath>
      <w:r w:rsidR="00E87E4E">
        <w:t xml:space="preserve"> is household composition (e.g. number of adults, number of children, ages, etc.)</w:t>
      </w:r>
    </w:p>
    <w:p w14:paraId="1FDEDEA2" w14:textId="77777777" w:rsidR="00C877C4" w:rsidRDefault="00AF59D4">
      <w:pPr>
        <w:numPr>
          <w:ilvl w:val="0"/>
          <w:numId w:val="1"/>
        </w:numPr>
      </w:pPr>
      <m:oMath>
        <m:r>
          <w:rPr>
            <w:rFonts w:ascii="Cambria Math" w:hAnsi="Cambria Math"/>
          </w:rPr>
          <m:t>s,t</m:t>
        </m:r>
      </m:oMath>
      <w:r>
        <w:t xml:space="preserve"> are state and time period</w:t>
      </w:r>
    </w:p>
    <w:p w14:paraId="1FDEDEA3" w14:textId="77777777" w:rsidR="00C877C4" w:rsidRDefault="00AF59D4">
      <w:pPr>
        <w:numPr>
          <w:ilvl w:val="0"/>
          <w:numId w:val="1"/>
        </w:numPr>
      </w:pPr>
      <m:oMath>
        <m:r>
          <w:rPr>
            <w:rFonts w:ascii="Cambria Math" w:hAnsi="Cambria Math"/>
          </w:rPr>
          <m:t>n(.)</m:t>
        </m:r>
      </m:oMath>
      <w:r>
        <w:t xml:space="preserve"> partitions household </w:t>
      </w:r>
      <m:oMath>
        <m:r>
          <w:rPr>
            <w:rFonts w:ascii="Cambria Math" w:hAnsi="Cambria Math"/>
          </w:rPr>
          <m:t>h</m:t>
        </m:r>
      </m:oMath>
      <w:r>
        <w:t xml:space="preserve"> into tax units </w:t>
      </w:r>
      <m:oMath>
        <m:r>
          <w:rPr>
            <w:rFonts w:ascii="Cambria Math" w:hAnsi="Cambria Math"/>
          </w:rPr>
          <m:t>u</m:t>
        </m:r>
      </m:oMath>
      <w:r>
        <w:t xml:space="preserve"> and assigns each a filing status</w:t>
      </w:r>
    </w:p>
    <w:p w14:paraId="1FDEDEA4" w14:textId="3405192B" w:rsidR="00C877C4" w:rsidRDefault="00000000">
      <w:pPr>
        <w:numPr>
          <w:ilvl w:val="0"/>
          <w:numId w:val="1"/>
        </w:numPr>
      </w:pPr>
      <m:oMath>
        <m:sSub>
          <m:sSubPr>
            <m:ctrlPr>
              <w:rPr>
                <w:rFonts w:ascii="Cambria Math" w:hAnsi="Cambria Math"/>
              </w:rPr>
            </m:ctrlPr>
          </m:sSubPr>
          <m:e>
            <m:r>
              <w:rPr>
                <w:rFonts w:ascii="Cambria Math" w:hAnsi="Cambria Math"/>
              </w:rPr>
              <m:t>y</m:t>
            </m:r>
          </m:e>
          <m:sub>
            <m:r>
              <w:rPr>
                <w:rFonts w:ascii="Cambria Math" w:hAnsi="Cambria Math"/>
              </w:rPr>
              <m:t>u</m:t>
            </m:r>
          </m:sub>
        </m:sSub>
      </m:oMath>
      <w:r w:rsidR="00E87E4E">
        <w:t xml:space="preserve"> is the unit’s market income — ACS-reported income after the record-level repairs described below </w:t>
      </w:r>
    </w:p>
    <w:p w14:paraId="1FDEDEA5" w14:textId="77777777" w:rsidR="00C877C4" w:rsidRDefault="00AF59D4">
      <w:pPr>
        <w:numPr>
          <w:ilvl w:val="1"/>
          <w:numId w:val="1"/>
        </w:numPr>
      </w:pPr>
      <m:oMath>
        <m:r>
          <w:rPr>
            <w:rFonts w:ascii="Cambria Math" w:hAnsi="Cambria Math"/>
          </w:rPr>
          <m:t>m(.)</m:t>
        </m:r>
      </m:oMath>
      <w:r>
        <w:t xml:space="preserve"> is a function that repairs ACS-reported income at the record level by: (a) correcting for mismeasurement and other income-specific issues, and (b) imputing the income categories the ACS does not observe</w:t>
      </w:r>
    </w:p>
    <w:p w14:paraId="1FDEDEA6" w14:textId="77777777" w:rsidR="00C877C4" w:rsidRDefault="00AF59D4">
      <w:pPr>
        <w:numPr>
          <w:ilvl w:val="0"/>
          <w:numId w:val="1"/>
        </w:numPr>
      </w:pPr>
      <m:oMath>
        <m:r>
          <w:rPr>
            <w:rFonts w:ascii="Cambria Math" w:hAnsi="Cambria Math"/>
          </w:rPr>
          <m:t>T(.)</m:t>
        </m:r>
      </m:oMath>
      <w:r>
        <w:t xml:space="preserve"> is federal, state, and eventually local income and payroll tax liability</w:t>
      </w:r>
    </w:p>
    <w:p w14:paraId="1FDEDEA7" w14:textId="4CC8F1D8" w:rsidR="00C877C4" w:rsidRDefault="00AF59D4">
      <w:pPr>
        <w:numPr>
          <w:ilvl w:val="0"/>
          <w:numId w:val="1"/>
        </w:numPr>
      </w:pPr>
      <m:oMath>
        <m:r>
          <w:rPr>
            <w:rFonts w:ascii="Cambria Math" w:hAnsi="Cambria Math"/>
          </w:rPr>
          <m:t>f(.)</m:t>
        </m:r>
      </m:oMath>
      <w:r>
        <w:t xml:space="preserve"> determines whether the unit files a return. It is estimated at step 3, jointly with the first calibration pass, and it enters </w:t>
      </w:r>
      <m:oMath>
        <m:r>
          <w:rPr>
            <w:rFonts w:ascii="Cambria Math" w:hAnsi="Cambria Math"/>
          </w:rPr>
          <m:t>T(.)</m:t>
        </m:r>
      </m:oMath>
      <w:r>
        <w:t xml:space="preserve"> by deciding which records the administrative return universe describes, and whether refundable credits are actually received rather than merely accrued</w:t>
      </w:r>
    </w:p>
    <w:p w14:paraId="1FDEDEA8" w14:textId="77777777" w:rsidR="00C877C4" w:rsidRDefault="00AF59D4">
      <w:pPr>
        <w:numPr>
          <w:ilvl w:val="0"/>
          <w:numId w:val="1"/>
        </w:numPr>
      </w:pPr>
      <m:oMath>
        <m:r>
          <w:rPr>
            <w:rFonts w:ascii="Cambria Math" w:hAnsi="Cambria Math"/>
          </w:rPr>
          <m:t>B(.)</m:t>
        </m:r>
      </m:oMath>
      <w:r>
        <w:t xml:space="preserve"> is cash transfer benefits — Social Security, SSI, TANF, and UI</w:t>
      </w:r>
      <w:r>
        <w:t>.</w:t>
      </w:r>
      <w:r>
        <w:t xml:space="preserve"> Program units are not tax units — SSI, TANF and SNAP each define their own — so benefits are evaluated on the program’s unit and mapped into the household before summing.</w:t>
      </w:r>
    </w:p>
    <w:p w14:paraId="1FDEDEA9" w14:textId="45952C31" w:rsidR="00C877C4" w:rsidRDefault="00AF59D4">
      <w:pPr>
        <w:numPr>
          <w:ilvl w:val="0"/>
          <w:numId w:val="1"/>
        </w:numPr>
      </w:pPr>
      <m:oMath>
        <m:r>
          <w:rPr>
            <w:rFonts w:ascii="Cambria Math" w:hAnsi="Cambria Math"/>
          </w:rPr>
          <w:lastRenderedPageBreak/>
          <m:t>τ(.)</m:t>
        </m:r>
      </m:oMath>
      <w:r>
        <w:t xml:space="preserve"> is take-up among the eligible: a record-level participation indicator drawn for each eligible unit, not a probability applied as a fractional benefit. The statutory-eligibility variant of Y sets it to one wherever the unit is eligible; the realized-receipt variant uses the drawn indicator. The gap between the two is the policy-delivery story, and both variants are published</w:t>
      </w:r>
    </w:p>
    <w:p w14:paraId="1FDEDEAA" w14:textId="77777777" w:rsidR="00C877C4" w:rsidRDefault="00C877C4"/>
    <w:p w14:paraId="1FDEDEAB" w14:textId="77777777" w:rsidR="00C877C4" w:rsidRDefault="00AF59D4">
      <w:r>
        <w:t xml:space="preserve">Also key to this process will be the calibration of the ACS survey weights so that state-by-income aggregates match IRS targets. The calibrated household weight </w:t>
      </w:r>
      <m:oMath>
        <m:sSub>
          <m:sSubPr>
            <m:ctrlPr>
              <w:rPr>
                <w:rFonts w:ascii="Cambria Math" w:hAnsi="Cambria Math"/>
              </w:rPr>
            </m:ctrlPr>
          </m:sSubPr>
          <m:e>
            <m:r>
              <w:rPr>
                <w:rFonts w:ascii="Cambria Math" w:hAnsi="Cambria Math"/>
              </w:rPr>
              <m:t>w</m:t>
            </m:r>
          </m:e>
          <m:sub>
            <m:r>
              <w:rPr>
                <w:rFonts w:ascii="Cambria Math" w:hAnsi="Cambria Math"/>
              </w:rPr>
              <m:t>h</m:t>
            </m:r>
          </m:sub>
        </m:sSub>
      </m:oMath>
      <w:r>
        <w:t xml:space="preserve"> enters only estimators of state distributions and aggregates; it never changes </w:t>
      </w:r>
      <m:oMath>
        <m:sSub>
          <m:sSubPr>
            <m:ctrlPr>
              <w:rPr>
                <w:rFonts w:ascii="Cambria Math" w:hAnsi="Cambria Math"/>
              </w:rPr>
            </m:ctrlPr>
          </m:sSubPr>
          <m:e>
            <m:r>
              <w:rPr>
                <w:rFonts w:ascii="Cambria Math" w:hAnsi="Cambria Math"/>
              </w:rPr>
              <m:t>y</m:t>
            </m:r>
          </m:e>
          <m:sub>
            <m:r>
              <w:rPr>
                <w:rFonts w:ascii="Cambria Math" w:hAnsi="Cambria Math"/>
              </w:rPr>
              <m:t>u</m:t>
            </m:r>
          </m:sub>
        </m:sSub>
      </m:oMath>
      <w:r>
        <w:t xml:space="preserve"> and never enters </w:t>
      </w:r>
      <m:oMath>
        <m:sSub>
          <m:sSubPr>
            <m:ctrlPr>
              <w:rPr>
                <w:rFonts w:ascii="Cambria Math" w:hAnsi="Cambria Math"/>
              </w:rPr>
            </m:ctrlPr>
          </m:sSubPr>
          <m:e>
            <m:r>
              <w:rPr>
                <w:rFonts w:ascii="Cambria Math" w:hAnsi="Cambria Math"/>
              </w:rPr>
              <m:t>Y</m:t>
            </m:r>
          </m:e>
          <m:sub>
            <m:r>
              <w:rPr>
                <w:rFonts w:ascii="Cambria Math" w:hAnsi="Cambria Math"/>
              </w:rPr>
              <m:t>h</m:t>
            </m:r>
          </m:sub>
        </m:sSub>
      </m:oMath>
      <w:r>
        <w:t xml:space="preserve">. Person, tax-unit, and program-unit contributions are first mapped into household </w:t>
      </w:r>
      <m:oMath>
        <m:r>
          <w:rPr>
            <w:rFonts w:ascii="Cambria Math" w:hAnsi="Cambria Math"/>
          </w:rPr>
          <m:t>h</m:t>
        </m:r>
      </m:oMath>
      <w:r>
        <w:t xml:space="preserve"> and summed there — they do not acquire separate final population weights. We discuss the resulting order of operations concerns below. </w:t>
      </w:r>
    </w:p>
    <w:p w14:paraId="77D36544" w14:textId="77777777" w:rsidR="000879CF" w:rsidRDefault="000879CF"/>
    <w:p w14:paraId="1FDEDEAC" w14:textId="4EB8EB1A" w:rsidR="00C877C4" w:rsidRDefault="00AF59D4">
      <w:r>
        <w:t xml:space="preserve">The goal is for tax and transfer amounts to be model based rather than reported, so that policy counterfactuals move </w:t>
      </w:r>
      <m:oMath>
        <m:r>
          <w:rPr>
            <w:rFonts w:ascii="Cambria Math" w:hAnsi="Cambria Math"/>
          </w:rPr>
          <m:t>Y</m:t>
        </m:r>
      </m:oMath>
      <w:r>
        <w:t>, but reported or imputed values may be used for the minimal viable product. In-kind transfers (SNAP, WIC, housing subsidies, Medicaid), property taxes, and sales taxes are handled on the cost side.</w:t>
      </w:r>
    </w:p>
    <w:p w14:paraId="1FDEDEAD" w14:textId="77777777" w:rsidR="00C877C4" w:rsidRDefault="00AF59D4">
      <w:pPr>
        <w:pStyle w:val="Heading2"/>
      </w:pPr>
      <w:bookmarkStart w:id="0" w:name="overview"/>
      <w:bookmarkEnd w:id="0"/>
      <w:r>
        <w:t>Building the income measure</w:t>
      </w:r>
    </w:p>
    <w:p w14:paraId="1FDEDEAE" w14:textId="77777777" w:rsidR="00C877C4" w:rsidRDefault="00AF59D4">
      <w:r>
        <w:t>The following walks through the construction of the income measure above in greater detail.</w:t>
      </w:r>
    </w:p>
    <w:p w14:paraId="1FDEDEAF" w14:textId="77777777" w:rsidR="00C877C4" w:rsidRDefault="00AF59D4">
      <w:pPr>
        <w:pStyle w:val="Heading3"/>
      </w:pPr>
      <w:r>
        <w:t>Data</w:t>
      </w:r>
    </w:p>
    <w:p w14:paraId="1FDEDEB0" w14:textId="77777777" w:rsidR="00C877C4" w:rsidRDefault="00C877C4"/>
    <w:p w14:paraId="1FDEDEB1" w14:textId="77777777" w:rsidR="00C877C4" w:rsidRDefault="00AF59D4">
      <w:r>
        <w:t xml:space="preserve">The following section describes the five major data sources used to construct the income measure here as well as the set of sources used to correct income values that have known issues in the ACS. </w:t>
      </w:r>
    </w:p>
    <w:p w14:paraId="1FDEDEB2" w14:textId="77777777" w:rsidR="00C877C4" w:rsidRDefault="00C877C4"/>
    <w:p w14:paraId="1FDEDEB3" w14:textId="77777777" w:rsidR="00C877C4" w:rsidRDefault="00AF59D4">
      <w:r>
        <w:t xml:space="preserve">First, we will rely on the ACS 1-Year micro-data file made available via </w:t>
      </w:r>
      <w:hyperlink r:id="rId11">
        <w:r>
          <w:rPr>
            <w:rStyle w:val="Hyperlink"/>
          </w:rPr>
          <w:t>IPUMS</w:t>
        </w:r>
      </w:hyperlink>
      <w:r>
        <w:t>. This will be the spine of our analysis (both cost and income), and we will focus on the most recent file where we observe both the ACS and the IRS data (2022 for now). Later work will extend this back to 2017, and project the results forward.</w:t>
      </w:r>
      <w:r>
        <w:rPr>
          <w:rStyle w:val="FootnoteReference"/>
        </w:rPr>
        <w:footnoteReference w:id="1"/>
      </w:r>
      <w:r>
        <w:t xml:space="preserve"> This file has information on both household and individual characteristics, including geography (State and PUMA), household and family structures (e.g. relationships between household members), demographics (e.g. race, age, marital status), individual income variables (eight income values with quality flags), derived supplemental poverty measure (SPM) characteristics, and various other characteristics (e.g. home ownership, mortgage status, health insurance, etc.…). Critically, the file contains two different sets of weights: household and individual.  Those two weights are not two views of one number, and choosing between them is a real modelling decision rather than a formality. </w:t>
      </w:r>
      <w:r>
        <w:lastRenderedPageBreak/>
        <w:t xml:space="preserve">Critically, we exclude those living in group quarters (e.g. prisons, college dorms, etc…) as we do not observe household-level characteristics for these individuals. The weighted count of these individuals will need to be removed whenever we compare our data to population statistics. </w:t>
      </w:r>
    </w:p>
    <w:p w14:paraId="1FDEDEB4" w14:textId="77777777" w:rsidR="00C877C4" w:rsidRDefault="00C877C4"/>
    <w:p w14:paraId="1FDEDEB5" w14:textId="77777777" w:rsidR="00C877C4" w:rsidRDefault="00AF59D4">
      <w:r>
        <w:t xml:space="preserve">Second, we will use the Current Population Survey (CPS) Annual Social and Economic Supplement (ASEC) (also known as the March supplement) available via IPUMS to impute a range of income and transfer-program characteristics to the ACS. This follows the approach used by the Census ACS SPM. The ASEC is not, however, a general-purpose substitute for the Public Use File described below, and the division of labor between the two donors is worth stating as a rule rather than leaving to case-by-case judgement: the PUF donates every line the PUF observes, and the ASEC is used only where the tax return does not see a concept at all, or sees only its taxable portion. The first case covers the wholly non-taxable transfers — SSI, public assistance, workers’ compensation, veterans’ benefits, child support, and (post-2018) alimony. The second covers concepts the return observes partially: gross versus taxable Social Security, and gross versus taxable pension and IRA distributions. </w:t>
      </w:r>
    </w:p>
    <w:p w14:paraId="1FDEDEB6" w14:textId="77777777" w:rsidR="00C877C4" w:rsidRDefault="00C877C4"/>
    <w:p w14:paraId="1FDEDEB7" w14:textId="77777777" w:rsidR="00C877C4" w:rsidRDefault="00AF59D4">
      <w:pPr>
        <w:rPr>
          <w:b/>
          <w:bCs/>
        </w:rPr>
      </w:pPr>
      <w:r>
        <w:t xml:space="preserve">Third, we will use public Internal Revenue Service (IRS) tabulations that provide state-by-Adjusted Gross Income (AGI) tabulations of tax filers. We will use the Statistics of Income (SOI) division’s </w:t>
      </w:r>
      <w:hyperlink r:id="rId12">
        <w:r>
          <w:rPr>
            <w:rStyle w:val="Hyperlink"/>
          </w:rPr>
          <w:t>Historical Table 2</w:t>
        </w:r>
      </w:hyperlink>
      <w:r>
        <w:t xml:space="preserve"> (HT2) that shows tax return statistics by state and AGI brackets, and the SOI matching tabulations by </w:t>
      </w:r>
      <w:hyperlink r:id="rId13">
        <w:r>
          <w:rPr>
            <w:rStyle w:val="Hyperlink"/>
          </w:rPr>
          <w:t>state and AGI percentiles</w:t>
        </w:r>
      </w:hyperlink>
      <w:r>
        <w:t xml:space="preserve">. These files provide a series of calibration targets, allowing us to adjust the ACS weights to match published IRS counts of tax returns (overall and by filing status), individuals (filers and dependents), and income amounts (wages, interest, dividends, etc…) by state and AGI group. </w:t>
      </w:r>
    </w:p>
    <w:p w14:paraId="1FDEDEB8" w14:textId="77777777" w:rsidR="00C877C4" w:rsidRDefault="00C877C4">
      <w:pPr>
        <w:rPr>
          <w:b/>
          <w:bCs/>
        </w:rPr>
      </w:pPr>
    </w:p>
    <w:p w14:paraId="1FDEDEB9" w14:textId="77777777" w:rsidR="00C877C4" w:rsidRDefault="00AF59D4">
      <w:r>
        <w:t xml:space="preserve">Fourth, we will use the IRS 2015 Public Use File (PUF), inclusive of the adjustments and aging already applied to the file by </w:t>
      </w:r>
      <w:hyperlink r:id="rId14">
        <w:r>
          <w:rPr>
            <w:rStyle w:val="Hyperlink"/>
          </w:rPr>
          <w:t>The Budget Lab</w:t>
        </w:r>
      </w:hyperlink>
      <w:r>
        <w:t xml:space="preserve">, to impute income characteristics that are not observed by the ACS either due to the scope of income questions or due to the </w:t>
      </w:r>
      <w:hyperlink r:id="rId15">
        <w:r>
          <w:rPr>
            <w:rStyle w:val="Hyperlink"/>
          </w:rPr>
          <w:t>top-coding</w:t>
        </w:r>
      </w:hyperlink>
      <w:r>
        <w:t xml:space="preserve"> of income values. </w:t>
      </w:r>
    </w:p>
    <w:p w14:paraId="1FDEDEBA" w14:textId="77777777" w:rsidR="00C877C4" w:rsidRDefault="00C877C4"/>
    <w:p w14:paraId="1FDEDEBB" w14:textId="77777777" w:rsidR="00C877C4" w:rsidRDefault="00AF59D4">
      <w:r>
        <w:t xml:space="preserve">Fifth, we will bring in a number of public tabulations to calibrate the number and characteristics of non-filers by state, including U.S. Census Bureau Population estimates by state and age, Social Security Administration (SSA) OASDI beneficiaries by state and county, </w:t>
      </w:r>
      <w:hyperlink r:id="rId16">
        <w:r>
          <w:rPr>
            <w:rStyle w:val="Hyperlink"/>
          </w:rPr>
          <w:t>SSA-covered worker</w:t>
        </w:r>
      </w:hyperlink>
      <w:r>
        <w:t xml:space="preserve"> earnings employment table by state and other characteristics, and US Bureau of Labor Statistics (BLS) Quarterly Census of Employment and Wages (</w:t>
      </w:r>
      <w:hyperlink r:id="rId17">
        <w:r>
          <w:rPr>
            <w:rStyle w:val="Hyperlink"/>
          </w:rPr>
          <w:t>QCEW</w:t>
        </w:r>
      </w:hyperlink>
      <w:r>
        <w:t xml:space="preserve">). </w:t>
      </w:r>
    </w:p>
    <w:p w14:paraId="1FDEDEBC" w14:textId="77777777" w:rsidR="00C877C4" w:rsidRDefault="00C877C4"/>
    <w:p w14:paraId="1FDEDEBD" w14:textId="77777777" w:rsidR="00C877C4" w:rsidRDefault="00AF59D4">
      <w:r>
        <w:t>We will of course bring in other datasets to adjust features of the ACS data that have known underreporting or accuracy issues. Three deserve naming now, because later sections already depend on them. The Census ACS SPM research files serve as a benchmark, but we will not use this file as a source of income or tax characteristics</w:t>
      </w:r>
      <w:r>
        <w:rPr>
          <w:rStyle w:val="FootnoteReference"/>
        </w:rPr>
        <w:footnoteReference w:id="2"/>
      </w:r>
      <w:r>
        <w:t xml:space="preserve">. </w:t>
      </w:r>
      <w:commentRangeStart w:id="1"/>
      <w:r>
        <w:t xml:space="preserve">A single pinned snapshot of The Budget Lab’s macroeconomic projections supplies the deflators, the per-line growth factors used to age the calibrated file forward, and the reference-period alignment factors introduced below; taking all three from one snapshot is what stops the price story, the growth story, and the timing story </w:t>
      </w:r>
      <w:r>
        <w:lastRenderedPageBreak/>
        <w:t xml:space="preserve">from drifting apart. </w:t>
      </w:r>
      <w:commentRangeEnd w:id="1"/>
      <w:r>
        <w:rPr>
          <w:rStyle w:val="CommentReference"/>
          <w:sz w:val="24"/>
          <w:szCs w:val="24"/>
        </w:rPr>
        <w:commentReference w:id="1"/>
      </w:r>
      <w:r>
        <w:t xml:space="preserve">And the administrative aggregates that discipline particular income lines — Social Security Administration and IRS retirement-income totals, and later the Department of Health and Human Services caseloads and Department of Labor claims data on the transfer side — enter as the governing source for the lines they cover. </w:t>
      </w:r>
    </w:p>
    <w:p w14:paraId="1FDEDEBE" w14:textId="77777777" w:rsidR="00C877C4" w:rsidRDefault="00AF59D4">
      <w:pPr>
        <w:pStyle w:val="Heading3"/>
      </w:pPr>
      <w:r>
        <w:t>Order of operations</w:t>
      </w:r>
    </w:p>
    <w:p w14:paraId="1FDEDEBF" w14:textId="5E8C32E3" w:rsidR="00C877C4" w:rsidRDefault="00AF59D4">
      <w:r>
        <w:t xml:space="preserve">The following sections describe a number of separate necessary adjustments and functions: constructing tax units, determining filing status (whether or not a tax unit files a tax return), </w:t>
      </w:r>
      <w:r>
        <w:t>adjusting</w:t>
      </w:r>
      <w:r>
        <w:t xml:space="preserve"> reported ACS income values or imputing missing values, and calibrating ACS weights to match public administrative targets. The order of these steps is important, as the results of one can influence the outcomes of the others. We propose the following order: </w:t>
      </w:r>
    </w:p>
    <w:p w14:paraId="1FDEDEC0" w14:textId="77777777" w:rsidR="00C877C4" w:rsidRDefault="00C877C4"/>
    <w:p w14:paraId="1FDEDEC1" w14:textId="77777777" w:rsidR="00C877C4" w:rsidRDefault="00AF59D4">
      <w:pPr>
        <w:pStyle w:val="ListParagraph"/>
        <w:numPr>
          <w:ilvl w:val="0"/>
          <w:numId w:val="7"/>
        </w:numPr>
      </w:pPr>
      <w:r>
        <w:t xml:space="preserve">Define tax units: </w:t>
      </w:r>
      <m:oMath>
        <m:r>
          <w:rPr>
            <w:rFonts w:ascii="Cambria Math" w:hAnsi="Cambria Math"/>
          </w:rPr>
          <m:t>n</m:t>
        </m:r>
        <m:d>
          <m:dPr>
            <m:ctrlPr>
              <w:rPr>
                <w:rFonts w:ascii="Cambria Math" w:hAnsi="Cambria Math"/>
              </w:rPr>
            </m:ctrlPr>
          </m:dPr>
          <m:e>
            <m:r>
              <w:rPr>
                <w:rFonts w:ascii="Cambria Math" w:hAnsi="Cambria Math"/>
              </w:rPr>
              <m:t>.</m:t>
            </m:r>
          </m:e>
        </m:d>
      </m:oMath>
    </w:p>
    <w:p w14:paraId="2E787677" w14:textId="77777777" w:rsidR="00C877C4" w:rsidRDefault="00AF59D4">
      <w:pPr>
        <w:pStyle w:val="ListParagraph"/>
        <w:numPr>
          <w:ilvl w:val="0"/>
          <w:numId w:val="7"/>
        </w:numPr>
      </w:pPr>
      <w:r>
        <w:t>Definitional repairs: mechanical, receipt-preserving value fixes (the reference-period factor and the Medicare-premium add-back)</w:t>
      </w:r>
    </w:p>
    <w:p w14:paraId="1FDEDEC2" w14:textId="77777777" w:rsidR="00C877C4" w:rsidRDefault="00AF59D4">
      <w:pPr>
        <w:pStyle w:val="ListParagraph"/>
        <w:numPr>
          <w:ilvl w:val="0"/>
          <w:numId w:val="7"/>
        </w:numPr>
      </w:pPr>
      <w:r>
        <w:t xml:space="preserve">Combine filing estimation </w:t>
      </w:r>
      <m:oMath>
        <m:r>
          <w:rPr>
            <w:rFonts w:ascii="Cambria Math" w:hAnsi="Cambria Math"/>
          </w:rPr>
          <m:t>f</m:t>
        </m:r>
        <m:d>
          <m:dPr>
            <m:ctrlPr>
              <w:rPr>
                <w:rFonts w:ascii="Cambria Math" w:hAnsi="Cambria Math"/>
              </w:rPr>
            </m:ctrlPr>
          </m:dPr>
          <m:e>
            <m:r>
              <w:rPr>
                <w:rFonts w:ascii="Cambria Math" w:hAnsi="Cambria Math"/>
              </w:rPr>
              <m:t>.</m:t>
            </m:r>
          </m:e>
        </m:d>
      </m:oMath>
      <w:r>
        <w:t xml:space="preserve"> and the initial weight calibration.</w:t>
      </w:r>
    </w:p>
    <w:p w14:paraId="1FDEDEC3" w14:textId="77777777" w:rsidR="00C877C4" w:rsidRDefault="00AF59D4">
      <w:pPr>
        <w:pStyle w:val="ListParagraph"/>
        <w:numPr>
          <w:ilvl w:val="0"/>
          <w:numId w:val="7"/>
        </w:numPr>
      </w:pPr>
      <w:r>
        <w:t xml:space="preserve">Repair and impute income values </w:t>
      </w:r>
      <m:oMath>
        <m:r>
          <w:rPr>
            <w:rFonts w:ascii="Cambria Math" w:hAnsi="Cambria Math"/>
          </w:rPr>
          <m:t>m(.)</m:t>
        </m:r>
      </m:oMath>
    </w:p>
    <w:p w14:paraId="1FDEDEC4" w14:textId="77777777" w:rsidR="00C877C4" w:rsidRDefault="00AF59D4">
      <w:pPr>
        <w:pStyle w:val="ListParagraph"/>
        <w:numPr>
          <w:ilvl w:val="0"/>
          <w:numId w:val="7"/>
        </w:numPr>
      </w:pPr>
      <w:r>
        <w:t xml:space="preserve">Tax calculation </w:t>
      </w:r>
      <m:oMath>
        <m:r>
          <w:rPr>
            <w:rFonts w:ascii="Cambria Math" w:hAnsi="Cambria Math"/>
          </w:rPr>
          <m:t>T(.)</m:t>
        </m:r>
      </m:oMath>
      <w:r>
        <w:t xml:space="preserve"> (which produces an accurate estimate of AGI)</w:t>
      </w:r>
    </w:p>
    <w:p w14:paraId="1FDEDEC5" w14:textId="77777777" w:rsidR="00C877C4" w:rsidRDefault="00AF59D4">
      <w:pPr>
        <w:pStyle w:val="ListParagraph"/>
        <w:numPr>
          <w:ilvl w:val="0"/>
          <w:numId w:val="7"/>
        </w:numPr>
      </w:pPr>
      <w:r>
        <w:t xml:space="preserve">Final weight calibration, targeting reported as well as imputation and calculation-specific margins. </w:t>
      </w:r>
    </w:p>
    <w:p w14:paraId="1FDEDEC6" w14:textId="77777777" w:rsidR="00C877C4" w:rsidRDefault="00AF59D4">
      <w:pPr>
        <w:pStyle w:val="ListParagraph"/>
        <w:numPr>
          <w:ilvl w:val="0"/>
          <w:numId w:val="7"/>
        </w:numPr>
      </w:pPr>
      <w:r>
        <w:t xml:space="preserve">Diagnostics </w:t>
      </w:r>
    </w:p>
    <w:p w14:paraId="1FDEDEC7" w14:textId="77777777" w:rsidR="00C877C4" w:rsidRDefault="00AF59D4">
      <w:pPr>
        <w:pStyle w:val="ListParagraph"/>
        <w:numPr>
          <w:ilvl w:val="0"/>
          <w:numId w:val="7"/>
        </w:numPr>
      </w:pPr>
      <w:r>
        <w:t xml:space="preserve">Transfers (modeled or imputed)  </w:t>
      </w:r>
    </w:p>
    <w:p w14:paraId="1FDEDEC8" w14:textId="77777777" w:rsidR="00C877C4" w:rsidRDefault="00C877C4"/>
    <w:p w14:paraId="1FDEDEC9" w14:textId="77777777" w:rsidR="00C877C4" w:rsidRDefault="00AF59D4">
      <w:r>
        <w:rPr>
          <w:b/>
          <w:bCs/>
        </w:rPr>
        <w:t xml:space="preserve">Tax units </w:t>
      </w:r>
      <m:oMath>
        <m:r>
          <w:rPr>
            <w:rFonts w:ascii="Cambria Math" w:hAnsi="Cambria Math"/>
          </w:rPr>
          <m:t>n(.)</m:t>
        </m:r>
      </m:oMath>
      <w:r>
        <w:t xml:space="preserve"> This must precede everything downstream, because HT2 is a universe of returns.</w:t>
      </w:r>
    </w:p>
    <w:p w14:paraId="1FDEDECA" w14:textId="77777777" w:rsidR="00C877C4" w:rsidRDefault="00C877C4"/>
    <w:p w14:paraId="1ACB3253" w14:textId="77777777" w:rsidR="00D672EE" w:rsidRDefault="00AF59D4" w:rsidP="00D672EE">
      <w:r>
        <w:rPr>
          <w:b/>
          <w:bCs/>
        </w:rPr>
        <w:t xml:space="preserve">Definitional repairs. </w:t>
      </w:r>
      <w:r>
        <w:t xml:space="preserve">Between the tax-unit build and the first raking pass we apply the value fixes that are definitional rather than estimated. We only move an adjustment up to this stage (e.g. before Pass A raking) if it meets four criteria: (a) the fix is mechanical rather than the result of a model, (b) it is not a function of filer status or tax unit construction, (c) the source that is being used to govern the adjustment is not itself a raking target, and (d) it preserves the extensive margin by source of income (meaning tax-unit assignment and dependency tests are not impacted). We move these adjustments up to this </w:t>
      </w:r>
      <w:r>
        <w:t xml:space="preserve">stage </w:t>
      </w:r>
      <w:r>
        <w:t xml:space="preserve">because at the joint filing-and-weights step any value error can be passed to the construction of weights. </w:t>
      </w:r>
    </w:p>
    <w:p w14:paraId="06764E4C" w14:textId="77777777" w:rsidR="00D672EE" w:rsidRDefault="00D672EE" w:rsidP="00D672EE"/>
    <w:p w14:paraId="54182BD9" w14:textId="421B5BDC" w:rsidR="00D672EE" w:rsidRDefault="00D672EE" w:rsidP="00D672EE">
      <w:r>
        <w:t xml:space="preserve">As of writing, two repairs are applied at this stage (meaning they pass all four tests above): </w:t>
      </w:r>
    </w:p>
    <w:p w14:paraId="4855D54D" w14:textId="77777777" w:rsidR="00D672EE" w:rsidRDefault="00D672EE" w:rsidP="00D672EE"/>
    <w:p w14:paraId="79D2A92E" w14:textId="6DEB9CD3" w:rsidR="00D672EE" w:rsidRDefault="00D672EE" w:rsidP="00D672EE">
      <w:pPr>
        <w:pStyle w:val="ListParagraph"/>
        <w:numPr>
          <w:ilvl w:val="0"/>
          <w:numId w:val="14"/>
        </w:numPr>
      </w:pPr>
      <w:r>
        <w:t>The reference-period growth factor</w:t>
      </w:r>
    </w:p>
    <w:p w14:paraId="4E9A5EF3" w14:textId="438929F2" w:rsidR="00D672EE" w:rsidRDefault="00D672EE" w:rsidP="00D672EE">
      <w:pPr>
        <w:pStyle w:val="ListParagraph"/>
        <w:numPr>
          <w:ilvl w:val="0"/>
          <w:numId w:val="14"/>
        </w:numPr>
      </w:pPr>
      <w:r>
        <w:t>The Social Security Medicare-premium add-back</w:t>
      </w:r>
    </w:p>
    <w:p w14:paraId="1E779DC0" w14:textId="77777777" w:rsidR="00D672EE" w:rsidRDefault="00D672EE" w:rsidP="003A6FF1">
      <w:pPr>
        <w:pStyle w:val="ListParagraph"/>
        <w:ind w:left="720"/>
      </w:pPr>
    </w:p>
    <w:p w14:paraId="59D1613A" w14:textId="001B0FF2" w:rsidR="00C877C4" w:rsidRDefault="00D672EE" w:rsidP="00D672EE">
      <w:r>
        <w:t>Both of these are described in detail in the “Repairing reported values</w:t>
      </w:r>
      <w:r>
        <w:t>” section.</w:t>
      </w:r>
    </w:p>
    <w:p w14:paraId="508BE0A3" w14:textId="77777777" w:rsidR="00C877C4" w:rsidRDefault="00C877C4"/>
    <w:p w14:paraId="1FDEDECB" w14:textId="77777777" w:rsidR="00C877C4" w:rsidRDefault="00AF59D4">
      <w:r>
        <w:rPr>
          <w:b/>
          <w:bCs/>
        </w:rPr>
        <w:t xml:space="preserve">Pass A raking and filing status </w:t>
      </w:r>
      <m:oMath>
        <m:r>
          <w:rPr>
            <w:rFonts w:ascii="Cambria Math" w:hAnsi="Cambria Math"/>
          </w:rPr>
          <m:t>f(.)</m:t>
        </m:r>
      </m:oMath>
      <w:r>
        <w:t xml:space="preserve"> The total number of returns observed on the HT2 is a function of both the ACS weights (applied to constructed tax units) as well as the number of those tax units that actually file taxes. Combining these two steps allows us to jointly determine the optimal set of parameters for non-filers while adjusting weights appropriately, thereby avoiding errors from one process being absorbed by the other. </w:t>
      </w:r>
    </w:p>
    <w:p w14:paraId="1FDEDECC" w14:textId="77777777" w:rsidR="00C877C4" w:rsidRDefault="00C877C4"/>
    <w:p w14:paraId="1FDEDECD" w14:textId="77777777" w:rsidR="00C877C4" w:rsidRDefault="00AF59D4">
      <w:r>
        <w:rPr>
          <w:b/>
          <w:bCs/>
        </w:rPr>
        <w:t xml:space="preserve">Repair and impute income values </w:t>
      </w:r>
      <m:oMath>
        <m:r>
          <w:rPr>
            <w:rFonts w:ascii="Cambria Math" w:hAnsi="Cambria Math"/>
          </w:rPr>
          <m:t>m</m:t>
        </m:r>
        <m:d>
          <m:dPr>
            <m:ctrlPr>
              <w:rPr>
                <w:rFonts w:ascii="Cambria Math" w:hAnsi="Cambria Math"/>
              </w:rPr>
            </m:ctrlPr>
          </m:dPr>
          <m:e>
            <m:r>
              <w:rPr>
                <w:rFonts w:ascii="Cambria Math" w:hAnsi="Cambria Math"/>
              </w:rPr>
              <m:t>.</m:t>
            </m:r>
          </m:e>
        </m:d>
      </m:oMath>
      <w:r>
        <w:rPr>
          <w:b/>
          <w:bCs/>
        </w:rPr>
        <w:t xml:space="preserve"> </w:t>
      </w:r>
      <w:r>
        <w:t xml:space="preserve">Repairing and imputing income values often draws on samples (like the PUF) that are primarily datasets of tax returns, so we need to be able to implement these fixes on a dataset with a settled filer flag. However, it is also the case that many of these adjustments can move tax returns across AGI brackets, raising questions about the accuracy of the first raking pass. Therefore, we propose to do raking in two passes, with the first generally settling the filing question, after which incomes can be adjusted based on whether or not a tax return files and whether the target for adjustment is based on a sample of tax units. </w:t>
      </w:r>
    </w:p>
    <w:p w14:paraId="1FDEDECE" w14:textId="77777777" w:rsidR="00C877C4" w:rsidRDefault="00C877C4"/>
    <w:p w14:paraId="1FDEDECF" w14:textId="2D2D0407" w:rsidR="00C877C4" w:rsidRDefault="00AF59D4">
      <w:r>
        <w:rPr>
          <w:b/>
          <w:bCs/>
        </w:rPr>
        <w:t xml:space="preserve">Where the top-tail repair sits. </w:t>
      </w:r>
      <w:r>
        <w:t>Restoring dispersion above the ACS top-codes is one of the repairs in step 4, which places it after the first raking pass and before the second. That is deliberate, and it settles a disagreement between an earlier draft of this memo and the project’s top-coding notes. Pass A rakes only margins the un-repaired ACS can populate, so the repair does not need to precede it; Pass B targets the top cells, so it does. One iteration back through the bin assignment is required, because restoring dispersion moves records across the very AGI stubs Pass A raked on. See “Repairing reported values” below.</w:t>
      </w:r>
    </w:p>
    <w:p w14:paraId="1FDEDED0" w14:textId="77777777" w:rsidR="00C877C4" w:rsidRDefault="00C877C4"/>
    <w:p w14:paraId="1FDEDED1" w14:textId="77777777" w:rsidR="00C877C4" w:rsidRDefault="00AF59D4">
      <w:r>
        <w:rPr>
          <w:b/>
          <w:bCs/>
        </w:rPr>
        <w:t xml:space="preserve">Tax calculation </w:t>
      </w:r>
      <m:oMath>
        <m:r>
          <w:rPr>
            <w:rFonts w:ascii="Cambria Math" w:hAnsi="Cambria Math"/>
          </w:rPr>
          <m:t>T</m:t>
        </m:r>
        <m:d>
          <m:dPr>
            <m:ctrlPr>
              <w:rPr>
                <w:rFonts w:ascii="Cambria Math" w:hAnsi="Cambria Math"/>
              </w:rPr>
            </m:ctrlPr>
          </m:dPr>
          <m:e>
            <m:r>
              <w:rPr>
                <w:rFonts w:ascii="Cambria Math" w:hAnsi="Cambria Math"/>
              </w:rPr>
              <m:t>.</m:t>
            </m:r>
          </m:e>
        </m:d>
      </m:oMath>
      <w:r>
        <w:t xml:space="preserve"> This step makes true AGI available and therefore what makes the HT2 stub assignment real rather than proxied.</w:t>
      </w:r>
    </w:p>
    <w:p w14:paraId="1FDEDED2" w14:textId="77777777" w:rsidR="00C877C4" w:rsidRDefault="00C877C4"/>
    <w:p w14:paraId="1FDEDED3" w14:textId="70308F8C" w:rsidR="00C877C4" w:rsidRDefault="00AF59D4">
      <w:r>
        <w:rPr>
          <w:b/>
          <w:bCs/>
        </w:rPr>
        <w:t xml:space="preserve">Pass B raking </w:t>
      </w:r>
      <w:r>
        <w:t>fits the margins that only exist once the records carry imputed lines, and re-bins every record onto the adjusted gross income the tax calculation has made real. The detail is under “Calibration B” below.</w:t>
      </w:r>
    </w:p>
    <w:p w14:paraId="1FDEDED4" w14:textId="77777777" w:rsidR="00C877C4" w:rsidRDefault="00C877C4"/>
    <w:p w14:paraId="1FDEDED5" w14:textId="77777777" w:rsidR="00C877C4" w:rsidRDefault="00AF59D4">
      <w:r>
        <w:rPr>
          <w:b/>
          <w:bCs/>
        </w:rPr>
        <w:t>Held-out diagnostics.</w:t>
      </w:r>
      <w:r>
        <w:t xml:space="preserve"> The reference-tagged series (EITC counts by qualifying-child count) stay out of the calibration entirely, and the person-level ACS-versus-IRS coverage checks — which do not depend on the tax-unit model at all — run before and after.</w:t>
      </w:r>
    </w:p>
    <w:p w14:paraId="1FDEDED6" w14:textId="77777777" w:rsidR="00C877C4" w:rsidRDefault="00C877C4"/>
    <w:p w14:paraId="1FDEDED7" w14:textId="77777777" w:rsidR="00C877C4" w:rsidRDefault="00AF59D4">
      <w:r>
        <w:t>The sections that follow take these in order. The design of the calibration itself — what the free multiplier multiplies, what disciplines it, and how its fit is judged — is set out under “Calibration A” rather than here, so that this section stays a map of the sequence.</w:t>
      </w:r>
    </w:p>
    <w:p w14:paraId="1FDEDED8" w14:textId="77777777" w:rsidR="00C877C4" w:rsidRDefault="00C877C4">
      <w:pPr>
        <w:rPr>
          <w:b/>
          <w:bCs/>
        </w:rPr>
      </w:pPr>
    </w:p>
    <w:p w14:paraId="1FDEDED9" w14:textId="77777777" w:rsidR="00C877C4" w:rsidRDefault="00AF59D4">
      <w:pPr>
        <w:pStyle w:val="Heading3"/>
      </w:pPr>
      <w:bookmarkStart w:id="2" w:name="data"/>
      <w:bookmarkEnd w:id="2"/>
      <w:r>
        <w:t>Tax units</w:t>
      </w:r>
    </w:p>
    <w:p w14:paraId="1FDEDEDA" w14:textId="11FFCF0B" w:rsidR="00C877C4" w:rsidRDefault="00AF59D4">
      <w:r>
        <w:t xml:space="preserve">We begin by constructing the </w:t>
      </w:r>
      <m:oMath>
        <m:r>
          <w:rPr>
            <w:rFonts w:ascii="Cambria Math" w:hAnsi="Cambria Math"/>
          </w:rPr>
          <m:t>n(.)</m:t>
        </m:r>
      </m:oMath>
      <w:r>
        <w:t xml:space="preserve"> function, which groups the persons in an ACS household into tax units. There is a substantial literature on creating tax units out of survey data, with known issues: most notably related to assigning children to the correct tax unit. We will begin with a simple within-household tax-unit set-up, wherein married individuals within a household are a married filing jointly tax unit, and single adults are their own tax units subject to very specific rules regarding students and those with severe disabilities. The filing decision will be left to a later stage. Children will be assigned to their closest family member within a household (parent, grandparent, etc.…), conditional on that family member (or their tax unit) having income.  Filing status is assigned at the same time, and the head-of-household rule is deliberately crude in v1: any unmarried unit with a dependent is treated as a head of household, with no test of who paid more than half the cost of keeping up the home. That will overstate the head-of-household count </w:t>
      </w:r>
      <w:r>
        <w:lastRenderedPageBreak/>
        <w:t>against the corresponding administrative margin, and the error should be read off the fit rather than assumed away.</w:t>
      </w:r>
    </w:p>
    <w:p w14:paraId="1FDEDEDB" w14:textId="77777777" w:rsidR="00C877C4" w:rsidRDefault="00C877C4"/>
    <w:p w14:paraId="1FDEDEDC" w14:textId="77777777" w:rsidR="00C877C4" w:rsidRDefault="00AF59D4">
      <w:r>
        <w:t xml:space="preserve">There are a number of variants of this approach, which we will explore at various stages of this analysis. These include following methodologies employed by other organizations like the Tax Policy Center, Policy Engine, the </w:t>
      </w:r>
      <w:hyperlink r:id="rId21">
        <w:r>
          <w:rPr>
            <w:rStyle w:val="Hyperlink"/>
          </w:rPr>
          <w:t>Census Bureau</w:t>
        </w:r>
      </w:hyperlink>
      <w:r>
        <w:t xml:space="preserve">, and others. The extension will engage with the following questions: </w:t>
      </w:r>
    </w:p>
    <w:p w14:paraId="1FDEDEDD" w14:textId="77777777" w:rsidR="00C877C4" w:rsidRDefault="00C877C4"/>
    <w:p w14:paraId="1FDEDEDE" w14:textId="77777777" w:rsidR="00C877C4" w:rsidRDefault="00AF59D4">
      <w:pPr>
        <w:pStyle w:val="ListParagraph"/>
        <w:numPr>
          <w:ilvl w:val="0"/>
          <w:numId w:val="3"/>
        </w:numPr>
      </w:pPr>
      <w:r>
        <w:t xml:space="preserve">How to deal with related sub-families within the ACS. How often do we allow adult relatives to claim each other as dependents? </w:t>
      </w:r>
    </w:p>
    <w:p w14:paraId="1FDEDEDF" w14:textId="1DB6A31A" w:rsidR="00C877C4" w:rsidRDefault="00AF59D4">
      <w:pPr>
        <w:pStyle w:val="ListParagraph"/>
        <w:numPr>
          <w:ilvl w:val="0"/>
          <w:numId w:val="3"/>
        </w:numPr>
      </w:pPr>
      <w:r>
        <w:t>In households with multiple tax units, how do we decide which tax unit claims the child. There is often a “correct” tax unit (based on a relationship test, say) but there is also academic work showing that strategic claiming of dependents is fairly common (Splinter, Larrimore and Mortenson on dependent claiming in linked returns, and the Census linked-data work putting child-tax-credit claim agreement at about 83 percent; the project’s own tax-unit methods note collects the literature and the Tax Policy Center subfamily-collapse alternative)</w:t>
      </w:r>
    </w:p>
    <w:p w14:paraId="1FDEDEE0" w14:textId="77777777" w:rsidR="00C877C4" w:rsidRDefault="00AF59D4">
      <w:pPr>
        <w:pStyle w:val="ListParagraph"/>
        <w:numPr>
          <w:ilvl w:val="0"/>
          <w:numId w:val="3"/>
        </w:numPr>
      </w:pPr>
      <w:r>
        <w:t>How do we account for the known issue of cross-household claiming of dependents?</w:t>
      </w:r>
    </w:p>
    <w:p w14:paraId="1FDEDEE1" w14:textId="77777777" w:rsidR="00C877C4" w:rsidRDefault="00C877C4"/>
    <w:p w14:paraId="1FDEDEE2" w14:textId="77777777" w:rsidR="00C877C4" w:rsidRDefault="00AF59D4">
      <w:r>
        <w:t>We will contrast our constructed tax units with those used by the Census’ ACS Supplemental Poverty Measure (SPM), which are available via IPUMS, but will not use these estimates ourselves. The SPM ships its own modeled tax units and tax amounts; adopting them would mean we adopt several implicit assumptions (ex. zeroed capital gains income, filing decisions), and end up using TAXSIM rather than our own tax models.</w:t>
      </w:r>
    </w:p>
    <w:p w14:paraId="1FDEDEE3" w14:textId="77777777" w:rsidR="00C877C4" w:rsidRDefault="00AF59D4">
      <w:pPr>
        <w:pStyle w:val="Heading3"/>
      </w:pPr>
      <w:bookmarkStart w:id="3" w:name="tax-units"/>
      <w:bookmarkEnd w:id="3"/>
      <w:r>
        <w:t>Filing status</w:t>
      </w:r>
    </w:p>
    <w:p w14:paraId="1FDEDEE4" w14:textId="029BE894" w:rsidR="00C877C4" w:rsidRDefault="00AF59D4">
      <w:r>
        <w:t xml:space="preserve">Next, the </w:t>
      </w:r>
      <m:oMath>
        <m:r>
          <w:rPr>
            <w:rFonts w:ascii="Cambria Math" w:hAnsi="Cambria Math"/>
          </w:rPr>
          <m:t>f(.)</m:t>
        </m:r>
      </m:oMath>
      <w:r>
        <w:t xml:space="preserve"> function, which determines whether a tax unit files a return. Not all potential tax units are required to file taxes, and not all tax units who are required to file do so. We proceed in two stages. First, we divide filers into those above and below the filing threshold, which is a function of their filing status and age. Second, we must determine what share of individuals above and below the filing threshold file, conditional on observed characteristics. The filing margin is not small or ignorable: roughly one in five adults is attached to no return, the share varies across states by twenty percentage points, and getting it wrong contaminates every state average built afterward. Specifically, the filing threshold is the standard deduction for the unit’s filing status plus the additional standard deduction for being sixty-five or older (which is important given the over-representation of elderly individuals among the non-filing population). Separately, a unit with more than four hundred dollars of net self-employment earnings has a filing requirement regardless of the threshold.</w:t>
      </w:r>
    </w:p>
    <w:p w14:paraId="1FDEDEE5" w14:textId="77777777" w:rsidR="00C877C4" w:rsidRDefault="00C877C4"/>
    <w:p w14:paraId="1FDEDEE6" w14:textId="77777777" w:rsidR="00C877C4" w:rsidRDefault="00AF59D4">
      <w:r>
        <w:t>Most of the prior literature on this topic has focused on tax units who fall below the filing threshold and assume that those above the threshold file taxes. The former assumption is one we plan to build on, starting from the work that began with Cilke (</w:t>
      </w:r>
      <w:hyperlink r:id="rId22">
        <w:r>
          <w:rPr>
            <w:rStyle w:val="Hyperlink"/>
          </w:rPr>
          <w:t>1998</w:t>
        </w:r>
      </w:hyperlink>
      <w:r>
        <w:t xml:space="preserve">), who estimated a series of group-specific models of the probability of filing conditional on the observed characteristics of a tax unit that determine their relative incentive to file (e.g. are eligible for tax credits, are likely to have withholdings, etc.). We propose to carry over the coefficients of these models – most of which are directly applicable to the ACS – while allowing the group-specific constants (where </w:t>
      </w:r>
      <w:r>
        <w:lastRenderedPageBreak/>
        <w:t xml:space="preserve">groups are different combinations of age, marital status, and presence of dependents) to vary according to a calibration exercise based on observed counts of filers by state and dependent status. </w:t>
      </w:r>
    </w:p>
    <w:p w14:paraId="1FDEDEE7" w14:textId="77777777" w:rsidR="00C877C4" w:rsidRDefault="00C877C4"/>
    <w:p w14:paraId="1FDEDEE8" w14:textId="77777777" w:rsidR="00C877C4" w:rsidRDefault="00AF59D4">
      <w:r>
        <w:t>How other microsimulations handle the filing margin — the Tax Policy Center, the Congressional Budget Office, the Joint Committee on Taxation, PolicyEngine, and the Piketty-Saez-Zucman microdata that The Budget Lab’s own production file already uses to impute non-filers — is set out in Appendix 2.</w:t>
      </w:r>
    </w:p>
    <w:p w14:paraId="1FDEDEEA" w14:textId="77777777" w:rsidR="00C877C4" w:rsidRDefault="00C877C4"/>
    <w:p w14:paraId="1FDEDEEB" w14:textId="77777777" w:rsidR="00C877C4" w:rsidRDefault="00AF59D4">
      <w:r>
        <w:t>For tax units above the threshold, the assumption of the modeling community has traditionally been a 100 percent filing rate, which is both convenient and false.</w:t>
      </w:r>
      <w:r>
        <w:rPr>
          <w:rStyle w:val="FootnoteReference"/>
        </w:rPr>
        <w:footnoteReference w:id="3"/>
      </w:r>
      <w:r>
        <w:t xml:space="preserve"> We propose to utilize analytical work from the tax gap literature to determine which groups are more likely to be both above the filing threshold and not to file. Specifically, we define relative risk of non-filing based on statistics reported in </w:t>
      </w:r>
      <w:hyperlink r:id="rId23">
        <w:r>
          <w:rPr>
            <w:rStyle w:val="Hyperlink"/>
          </w:rPr>
          <w:t>IRS publication 5785</w:t>
        </w:r>
      </w:hyperlink>
      <w:r>
        <w:t xml:space="preserve">, and calibrate the overall level of non-filers above the threshold based on the total count of filers by state provided by the IRS HT2 and the estimated total count of tax units who should have filed but did not — roughly 10.6 million units, the tax-year 2014 figure. </w:t>
      </w:r>
    </w:p>
    <w:p w14:paraId="1FDEDEEC" w14:textId="77777777" w:rsidR="00C877C4" w:rsidRDefault="00C877C4"/>
    <w:p w14:paraId="1FDEDEED" w14:textId="77777777" w:rsidR="00C877C4" w:rsidRDefault="00AF59D4">
      <w:r>
        <w:t xml:space="preserve">As a brief note, the filing model discussed above and the first stage of the calibration that will be discussed shortly will not be two independent steps. If we ran these in sequence, an error in one might be absorbed by the other in an inaccurate way. For example, if we ran the filer flag first, it would decide which records the IRS targets even apply to, and an error in it would </w:t>
      </w:r>
      <w:r>
        <w:t xml:space="preserve">be </w:t>
      </w:r>
      <w:r>
        <w:t xml:space="preserve">absorbed by the weights in a way that looks like a good fit. </w:t>
      </w:r>
    </w:p>
    <w:p w14:paraId="1FDEDEEE" w14:textId="77777777" w:rsidR="00C877C4" w:rsidRDefault="00C877C4"/>
    <w:p w14:paraId="1FDEDEEF" w14:textId="77777777" w:rsidR="00C877C4" w:rsidRDefault="00AF59D4">
      <w:pPr>
        <w:pStyle w:val="Heading3"/>
      </w:pPr>
      <w:r>
        <w:t>Calibration A</w:t>
      </w:r>
    </w:p>
    <w:p w14:paraId="1FDEDEF0" w14:textId="77777777" w:rsidR="00C877C4" w:rsidRDefault="00AF59D4">
      <w:r>
        <w:t>Second in the pipeline, and jointly with the filing model above, the calibration adjusts the ACS weights so that state-by-AGI-class aggregates reproduce the administrative totals the IRS publishes. This is the one stage that lives outside the accounting identity of “Overview”: it changes how much each record represents, never what the record says. It runs in two passes. This section covers the estimator, the targets, and everything the first pass can evaluate; “Calibration B” covers the margins that do not exist until imputation and the tax calculation have run.</w:t>
      </w:r>
    </w:p>
    <w:p w14:paraId="1FDEDEF1" w14:textId="77777777" w:rsidR="00C877C4" w:rsidRDefault="00C877C4"/>
    <w:p w14:paraId="1FDEDEF2" w14:textId="312FC938" w:rsidR="00C877C4" w:rsidRDefault="00AF59D4">
      <w:r>
        <w:t xml:space="preserve">Formally, this is the </w:t>
      </w:r>
      <m:oMath>
        <m:r>
          <w:rPr>
            <w:rFonts w:ascii="Cambria Math" w:hAnsi="Cambria Math"/>
          </w:rPr>
          <m:t>w(.)</m:t>
        </m:r>
      </m:oMath>
      <w:r>
        <w:t xml:space="preserve"> function of the equation in “Overview”. The decisions it requires — what the free multiplier multiplies, the dollar basis, the frame, the target file, and the universe mismatch that governs the whole exercise — are taken in turn below.</w:t>
      </w:r>
    </w:p>
    <w:p w14:paraId="1FDEDEF3" w14:textId="77777777" w:rsidR="00C877C4" w:rsidRDefault="00C877C4"/>
    <w:p w14:paraId="1FDEDEF4" w14:textId="77777777" w:rsidR="00C877C4" w:rsidRDefault="00AF59D4">
      <w:r>
        <w:rPr>
          <w:b/>
          <w:bCs/>
        </w:rPr>
        <w:t xml:space="preserve">The estimator. </w:t>
      </w:r>
      <w:r>
        <w:t xml:space="preserve">The calibration fits one adjustment factor per household. Write the calibrated weight as the ACS housing-unit weight times a free multiplier, and project that multiplier down unchanged to every person, tax unit and program unit in the household. Unit-level and person-level targets are therefore evaluated by summing each unit’s contribution within the household before calibration, never by fitting a free factor per unit and collapsing afterwards. Three things </w:t>
      </w:r>
      <w:r>
        <w:lastRenderedPageBreak/>
        <w:t>follow, and together they are the reason for the choice. Every person and unit in a household carries the same final population weight, which is what the index requires, since its unit of account is the household. A return count is estimated by counting qualifying units rather than by summing the weights of the people in them, which is the right estimator for a count of returns. And the tax-unit definition stays orthogonal to the weights, so changing that definition moves measured dollars through the tax units rather than through the weights. A tax-unit weight is therefore a derived quantity and never a stored column, so that no code path can silently sum or split it.</w:t>
      </w:r>
      <w:r>
        <w:footnoteReference w:id="4"/>
      </w:r>
    </w:p>
    <w:p w14:paraId="1FDEDEF5" w14:textId="77777777" w:rsidR="00C877C4" w:rsidRDefault="00C877C4"/>
    <w:p w14:paraId="1FDEDEF6" w14:textId="77777777" w:rsidR="00C877C4" w:rsidRDefault="00AF59D4">
      <w:r>
        <w:rPr>
          <w:b/>
          <w:bCs/>
        </w:rPr>
        <w:t xml:space="preserve">Which weight is the base. </w:t>
      </w:r>
      <w:r>
        <w:t>The ACS carries two weights and they are not two views of one number. The housing-unit weight is post-stratified to independent housing-unit estimates; the person weight is then built by a separate three-dimensional raking over subcounty population, household-relationship cells, and up to 156 cells of race and ethnicity by sex by age. The person factor therefore varies within a household — two people at the same address receive different factors — and the raking stops on the relationship dimension, so the demographic margins hold exactly while the identity tying householders to household counts holds only to a convergence tolerance. The person weight is the demographically exact one. We nonetheless adopt the household weight as the base, because it is the only choice that keeps one weight per household. The cost is real and is better paid explicitly than absorbed: adopting the household base discards the demographic raking the person weight carries. We re-earn those controls as calibration margins in their own right — state by age band at a minimum, and state by age by sex where the cells support it — and we report the error on the demographic cells we did not target. This is decision D13 in the project’s decisions log, where it is recorded as provisional rather than settled.</w:t>
      </w:r>
    </w:p>
    <w:p w14:paraId="1FDEDEF7" w14:textId="77777777" w:rsidR="00C877C4" w:rsidRDefault="00C877C4"/>
    <w:p w14:paraId="1FDEDEF8" w14:textId="77777777" w:rsidR="00C877C4" w:rsidRDefault="00AF59D4">
      <w:r>
        <w:rPr>
          <w:b/>
          <w:bCs/>
        </w:rPr>
        <w:t xml:space="preserve">Fit tolerance and the fallback ladder. </w:t>
      </w:r>
      <w:r>
        <w:t>One factor per household buys coherence at the price of a somewhat worse fit than free unit-level factors would achieve. If the household-factor fit exceeds a prespecified tolerance, the first move is not free unit factors but a richer household-level auxiliary vector: the number of units in the household crossed with its filing-status pattern. That recovers most of the fit free unit factors would buy while preserving one weight per household, and it is the two-level generalisation of the same estimator rather than a departure from it. Free unit-level factors remain a fallback beyond that, but any such fallback needs a documented collapse rule that still reproduces the population margins after collapse, which is exactly the work the by-construction approach avoids. The tolerance itself, and the order in which state-by-stub cells are collapsed before bounds are relaxed, remain open and are listed under “Open choices”.</w:t>
      </w:r>
    </w:p>
    <w:p w14:paraId="1FDEDEF9" w14:textId="77777777" w:rsidR="00C877C4" w:rsidRDefault="00C877C4"/>
    <w:p w14:paraId="1FDEDEFA" w14:textId="77777777" w:rsidR="00C877C4" w:rsidRDefault="00AF59D4">
      <w:r>
        <w:rPr>
          <w:b/>
          <w:bCs/>
        </w:rPr>
        <w:t xml:space="preserve">Diagnostics. </w:t>
      </w:r>
      <w:r>
        <w:t xml:space="preserve">Three checks discipline the choice, and all three should be run rather than assumed. Before any raking, report the wedge between the two weights — the population implied by summing person weights, the population implied by the household weight times household size, </w:t>
      </w:r>
      <w:r>
        <w:lastRenderedPageBreak/>
        <w:t>and their ratio, by state and age band — as a validation row rather than a later surprise. After fitting, report the error on the demographic cells that were not targeted; that error is the price of the choice and belongs with the held-out diagnostics rather than in the fit report. And assert two invariants in code: unit weights sum to the household weight times the number of units, and person weights to the household weight times household size.</w:t>
      </w:r>
    </w:p>
    <w:p w14:paraId="1FDEDEFB" w14:textId="77777777" w:rsidR="00C877C4" w:rsidRDefault="00C877C4"/>
    <w:p w14:paraId="1FDEDEFC" w14:textId="77777777" w:rsidR="00C877C4" w:rsidRDefault="00AF59D4">
      <w:r>
        <w:rPr>
          <w:b/>
          <w:bCs/>
        </w:rPr>
        <w:t>Statistical precedent.</w:t>
      </w:r>
      <w:r>
        <w:t xml:space="preserve"> This is an integrated-calibration problem, not a novel estimator. Deville–Särndal calibration and INSEE’s CALMAR implementation supply the core objective — minimize a convex distance from the design weights subject to calibration equations and explicit bounds. German EU-SILC supplies the closest unit-coherence precedent: person-level auxiliary variables are summed within households, calibration occurs at the household level, and the household weight is assigned to every member. CBO’s microsimulation work separates changes to record values from changes to weights; PolicyEngine’s Enhanced CPS is a recent open-source example of quantile-regression-forest imputation followed by household-weight optimization.</w:t>
      </w:r>
      <w:r>
        <w:rPr>
          <w:rStyle w:val="FootnoteReference"/>
        </w:rPr>
        <w:footnoteReference w:id="5"/>
      </w:r>
    </w:p>
    <w:p w14:paraId="1FDEDEFD" w14:textId="77777777" w:rsidR="00C877C4" w:rsidRDefault="00C877C4"/>
    <w:p w14:paraId="1FDEDEFE" w14:textId="77777777" w:rsidR="00C877C4" w:rsidRDefault="00C877C4"/>
    <w:p w14:paraId="1FDEDEFF" w14:textId="77777777" w:rsidR="00C877C4" w:rsidRDefault="00AF59D4">
      <w:r>
        <w:rPr>
          <w:b/>
          <w:bCs/>
        </w:rPr>
        <w:t>Dollar basis and aging.</w:t>
      </w:r>
      <w:r>
        <w:t xml:space="preserve"> To begin with, the most recent year of ACS data is 2024, but the IRS HT2 data are up-to-date through tax year 2022. This means we must determine how to align those two sets of income characteristics. We propose to conduct the calibration in nominal 2022 dollars, which means deflating the ACS values and binning each record on a nominal-TY2022 AGI proxy, so that the SOI match is exact by construction with no inflation slippage across bracket boundaries. We then age the calibrated file forward to the 2024-dollar analysis basis with per-line growth factors — wages, Social Security, capital gains, interest, and dividends all grow differently — drawn from the same Macro-Projections snapshot that supplies our deflators. This is the standard CBO/JCT extrapolation pattern and it matches the aging procedure already used elsewhere at The Budget Lab, including in Tax-Data; the point of checking was to confirm that we are not inventing a second growth story, and we are not. One sub-choice remains genuinely ours: whether to also scale weights by state population growth from 2022 to 2024, which is required only if we want a 2024 population picture rather than a repriced 2022 one. All of the “is 2024 right?” uncertainty then lives in transparent, swappable growth factors in configuration rather than buried in the calibration.</w:t>
      </w:r>
    </w:p>
    <w:p w14:paraId="1FDEDF00" w14:textId="77777777" w:rsidR="00C877C4" w:rsidRDefault="00C877C4"/>
    <w:p w14:paraId="1FDEDF01" w14:textId="77777777" w:rsidR="00C877C4" w:rsidRDefault="00AF59D4">
      <w:r>
        <w:rPr>
          <w:b/>
          <w:bCs/>
        </w:rPr>
        <w:t>The ACS frame.</w:t>
      </w:r>
      <w:r>
        <w:t xml:space="preserve"> Production v1 uses the 2022 ACS 1-year PUMS, raked to the TY2022 HT2 target; we will not pool annual ACS samples ourselves. Pooling was attractive for thin state-by-stub cells, but it buys sample size by mixing tax regimes and smearing income across years, and the documented fix for thin cells is hierarchical or collapsed raking rather than a wider window. Cost components that need the larger sample for small-area cells may use the Census-produced ACS 5-year PUMS, which is a distinct period estimate and not an average of five one-year files.</w:t>
      </w:r>
      <w:r>
        <w:rPr>
          <w:rStyle w:val="FootnoteReference"/>
        </w:rPr>
        <w:footnoteReference w:id="6"/>
      </w:r>
      <w:r>
        <w:t xml:space="preserve"> </w:t>
      </w:r>
      <w:r>
        <w:lastRenderedPageBreak/>
        <w:t>The 1-year income file remains the household backbone: cost modules estimate cell-level schedules on the 5-year file, rebase dollar values to the common analysis year, harmonize geography and variable definitions, and map those schedules onto 1-year households through shared state-by-demographic cells. The bridge never averages or merges the two products’ weights, and validation keeps 1-year comparisons with 1-year products and 5-year comparisons with non-overlapping 5-year products.</w:t>
      </w:r>
    </w:p>
    <w:p w14:paraId="1FDEDF02" w14:textId="77777777" w:rsidR="00C877C4" w:rsidRDefault="00C877C4"/>
    <w:p w14:paraId="1FDEDF03" w14:textId="77777777" w:rsidR="00C877C4" w:rsidRDefault="00AF59D4">
      <w:r>
        <w:rPr>
          <w:b/>
          <w:bCs/>
        </w:rPr>
        <w:t>Why two passes.</w:t>
      </w:r>
      <w:r>
        <w:t xml:space="preserve"> The first pass adjusts weights on the margins the ACS can populate; the second focuses on imputed values, including a refined measure of AGI. The gain from splitting them is not stylistic, and it is worth being explicit about, because a single joint pass looks simpler on paper. There are three distinct reasons. First, HT2 bins on AGI, which the ACS does not observe until imputation and tax calculation are done — so Pass A can only bin on a money-income proxy, and Pass B is what closes that circularity by rebinning on true AGI. Second, the interest, dividend, capital-gains and taxable-Social-Security margins do not exist as evaluable quantities before imputation; there is nothing for a Pass-A fit to target. Third, and most practically, the state-weights postmortem found that a single sequential pass structurally cannot satisfy twenty-odd series constraining the same state-by-stub cell, which makes a counts backbone a prerequisite rather than a preference. What the two passes do </w:t>
      </w:r>
      <w:r>
        <w:rPr>
          <w:i/>
          <w:iCs/>
        </w:rPr>
        <w:t>not</w:t>
      </w:r>
      <w:r>
        <w:t xml:space="preserve"> do is feed weights into the imputation, for the reason given in the previous section.</w:t>
      </w:r>
    </w:p>
    <w:p w14:paraId="1FDEDF04" w14:textId="77777777" w:rsidR="00C877C4" w:rsidRDefault="00C877C4"/>
    <w:p w14:paraId="1FDEDF05" w14:textId="1DA8B176" w:rsidR="00C877C4" w:rsidRDefault="00AF59D4">
      <w:r>
        <w:rPr>
          <w:b/>
          <w:bCs/>
        </w:rPr>
        <w:t>Targets and machinery.</w:t>
      </w:r>
      <w:r>
        <w:t xml:space="preserve"> The target file is built — 13,464 state-by-stub-by-series cells, each tagged by role — 5,049 first-pass, 4,488 second-pass and 3,927 held-out reference, so a little under a third of the file is never raked at all. The baseline fitter uses a bounded logit or chi-square calibration distance from the ACS design weight, with an upgrade path to a gradient fitter; both already exist in-house, though neither is yet wired to HT2 and the ACS, and the decision to reuse them is itself still provisional (see the alignment section at the end). State population and household controls are hard margins; thin HT2 dollar cells are prioritized soft moments when an exact joint fit is infeasible. A prespecified hierarchy collapses state-by-stub cells before bounds are relaxed, so that the order in which the fit degrades is a decision rather than an accident. Every run reports target error, g-weight quantiles, effective sample size, design effect, cells collapsed, and error on held-out series. The named pitfalls are weight explosion (bounds on, always), thin cells at state-by-stub, and the universe mismatch we turn to now.</w:t>
      </w:r>
    </w:p>
    <w:p w14:paraId="1FDEDF06" w14:textId="77777777" w:rsidR="00C877C4" w:rsidRDefault="00C877C4"/>
    <w:p w14:paraId="1FDEDF07" w14:textId="77777777" w:rsidR="00C877C4" w:rsidRDefault="00AF59D4">
      <w:r>
        <w:rPr>
          <w:b/>
          <w:bCs/>
        </w:rPr>
        <w:t>The universe mismatch.</w:t>
      </w:r>
      <w:r>
        <w:t xml:space="preserve"> Finally, the IRS HT2 state-level data contains the universe of </w:t>
      </w:r>
      <w:r>
        <w:rPr>
          <w:i/>
          <w:iCs/>
        </w:rPr>
        <w:t>returns</w:t>
      </w:r>
      <w:r>
        <w:t>, not people. If we calibrate filers to HT2 and leave non-filers untethered, the fit can manufacture accuracy by silently draining weight into or out of the non-filer pool — the universe-mismatch failure mode the reweighting literature warns about but gives no recipe for.</w:t>
      </w:r>
    </w:p>
    <w:p w14:paraId="1FDEDF08" w14:textId="77777777" w:rsidR="00C877C4" w:rsidRDefault="00C877C4"/>
    <w:p w14:paraId="1FDEDF09" w14:textId="039F600C" w:rsidR="00C877C4" w:rsidRDefault="00AF59D4">
      <w:r>
        <w:t xml:space="preserve">A concrete case makes the mechanism clear, and it is the error we just quantified in “Filing status”. Suppose a state truly has one million returns and 1.3 million adults and suppose our filer model assumes everyone above the threshold files, which by Publication 5785’s estimate over-assigns filers by something like seven percent. We now carry 1.07 million units flagged as filers where the administrative universe has one million returns. Raking to the HT2 return count does not delete the spurious 70,000 units; it shrinks filer weights by about seven percent to make the </w:t>
      </w:r>
      <w:r>
        <w:lastRenderedPageBreak/>
        <w:t xml:space="preserve">count come out right. If nothing constrains the non-filer side, the state’s adult count falls to roughly 1.25 million, and because the AGI aggregate is </w:t>
      </w:r>
      <w:r>
        <w:rPr>
          <w:i/>
          <w:iCs/>
        </w:rPr>
        <w:t>also</w:t>
      </w:r>
      <w:r>
        <w:t xml:space="preserve"> a target, income per adult in that state is now biased upward by about the same seven percent. Every diagnostic that looks at targeted series reports an excellent fit. The error shows up only in the denominator of the index, and only for the states where the filing error is largest — which, since state filing errors correlate with EITC take-up, are systematically the low-income states. This is why the filer model and the non-filer margins have to be built together, and why the non-filer margins belong in Pass A rather than as an afterthought.</w:t>
      </w:r>
    </w:p>
    <w:p w14:paraId="1FDEDF0A" w14:textId="77777777" w:rsidR="00C877C4" w:rsidRDefault="00C877C4"/>
    <w:p w14:paraId="1FDEDF0B" w14:textId="77777777" w:rsidR="00C877C4" w:rsidRDefault="00AF59D4">
      <w:r>
        <w:t>To avoid this, we propose utilizing public data and the IRS HT2 to pin down a residual anchor for the count of non-filers. The steps are:</w:t>
      </w:r>
    </w:p>
    <w:p w14:paraId="1FDEDF0C" w14:textId="77777777" w:rsidR="00C877C4" w:rsidRDefault="00C877C4"/>
    <w:p w14:paraId="1FDEDF0D" w14:textId="77777777" w:rsidR="00C877C4" w:rsidRDefault="00AF59D4">
      <w:pPr>
        <w:numPr>
          <w:ilvl w:val="0"/>
          <w:numId w:val="9"/>
        </w:numPr>
      </w:pPr>
      <w:r>
        <w:rPr>
          <w:b/>
          <w:bCs/>
        </w:rPr>
        <w:t>Population.</w:t>
      </w:r>
      <w:r>
        <w:t xml:space="preserve"> Take state-by-age population from the Census Bureau’s </w:t>
      </w:r>
      <w:hyperlink r:id="rId24">
        <w:r>
          <w:rPr>
            <w:rStyle w:val="Hyperlink"/>
          </w:rPr>
          <w:t>Population Estimates</w:t>
        </w:r>
      </w:hyperlink>
      <w:r>
        <w:t xml:space="preserve"> (PEP), and subtract the group-quarters population from it. This layer is close to free, because the ACS is already controlled to these totals — but only after that subtraction, and getting it wrong is the most consequential arithmetic error available in this section. Our file excludes group quarters, and the ACS controls its household person weights not to the PEP resident total but to that total less its own estimate of the group-quarters population, which is weighted on a separate track and controlled separately by state and facility type. Using raw PEP against a household-only file would inflate the population-minus-filers residual by the entire group-quarters population — on the order of eight million people nationally, concentrated in states with large college, prison and nursing-home populations. Because the residual </w:t>
      </w:r>
      <w:r>
        <w:rPr>
          <w:i/>
          <w:iCs/>
        </w:rPr>
        <w:t>is</w:t>
      </w:r>
      <w:r>
        <w:t xml:space="preserve"> the non-filer anchor, and because its state variation is the thing this section says the index must not get wrong, the error would land exactly where it does the most damage — and it would read as a plausible finding rather than as a mistake, since a state with a large university would simply appear to have unusually many non-filing adults. A residual wedge remains after the subtraction, since some group-quarters residents do file (students and active-duty military in particular); that belongs in the stated tolerance alongside the return-state-versus-residence wedge. The constraint this layer imposes is that calibrated weights must </w:t>
      </w:r>
      <w:r>
        <w:rPr>
          <w:i/>
          <w:iCs/>
        </w:rPr>
        <w:t>keep</w:t>
      </w:r>
      <w:r>
        <w:t xml:space="preserve"> reproducing them after the filer-side raking.</w:t>
      </w:r>
    </w:p>
    <w:p w14:paraId="1FDEDF0E" w14:textId="77777777" w:rsidR="00C877C4" w:rsidRDefault="00AF59D4">
      <w:pPr>
        <w:numPr>
          <w:ilvl w:val="0"/>
          <w:numId w:val="4"/>
        </w:numPr>
      </w:pPr>
      <w:r>
        <w:rPr>
          <w:b/>
          <w:bCs/>
        </w:rPr>
        <w:t>Convert returns to people.</w:t>
      </w:r>
      <w:r>
        <w:t xml:space="preserve"> Estimate the number of individuals observed on tax returns by converting HT2 return counts into counts of filers and dependents, using filing-status identities:</w:t>
      </w:r>
    </w:p>
    <w:p w14:paraId="1FDEDF0F" w14:textId="77777777" w:rsidR="00C877C4" w:rsidRDefault="00AF59D4">
      <w:pPr>
        <w:numPr>
          <w:ilvl w:val="1"/>
          <w:numId w:val="1"/>
        </w:numPr>
      </w:pPr>
      <w:r>
        <w:t xml:space="preserve">Married filing adults </w:t>
      </w:r>
      <m:oMath>
        <m:r>
          <m:rPr>
            <m:lit/>
            <m:nor/>
          </m:rPr>
          <m:t>=</m:t>
        </m:r>
        <m:r>
          <w:rPr>
            <w:rFonts w:ascii="Cambria Math" w:hAnsi="Cambria Math"/>
          </w:rPr>
          <m:t>2⋅MARS2</m:t>
        </m:r>
        <m:r>
          <m:rPr>
            <m:lit/>
            <m:nor/>
          </m:rPr>
          <m:t>+</m:t>
        </m:r>
        <m:r>
          <w:rPr>
            <w:rFonts w:ascii="Cambria Math" w:hAnsi="Cambria Math"/>
          </w:rPr>
          <m:t>(N1</m:t>
        </m:r>
        <m:r>
          <m:rPr>
            <m:lit/>
            <m:nor/>
          </m:rPr>
          <m:t>-</m:t>
        </m:r>
        <m:r>
          <w:rPr>
            <w:rFonts w:ascii="Cambria Math" w:hAnsi="Cambria Math"/>
          </w:rPr>
          <m:t>MARS1</m:t>
        </m:r>
        <m:r>
          <m:rPr>
            <m:lit/>
            <m:nor/>
          </m:rPr>
          <m:t>-</m:t>
        </m:r>
        <m:r>
          <w:rPr>
            <w:rFonts w:ascii="Cambria Math" w:hAnsi="Cambria Math"/>
          </w:rPr>
          <m:t>MARS2</m:t>
        </m:r>
        <m:r>
          <m:rPr>
            <m:lit/>
            <m:nor/>
          </m:rPr>
          <m:t>-</m:t>
        </m:r>
        <m:r>
          <w:rPr>
            <w:rFonts w:ascii="Cambria Math" w:hAnsi="Cambria Math"/>
          </w:rPr>
          <m:t>MARS4)</m:t>
        </m:r>
      </m:oMath>
    </w:p>
    <w:p w14:paraId="1FDEDF10" w14:textId="77777777" w:rsidR="00C877C4" w:rsidRDefault="00AF59D4">
      <w:pPr>
        <w:numPr>
          <w:ilvl w:val="1"/>
          <w:numId w:val="1"/>
        </w:numPr>
      </w:pPr>
      <w:r>
        <w:t xml:space="preserve">Single filing adults </w:t>
      </w:r>
      <m:oMath>
        <m:r>
          <m:rPr>
            <m:lit/>
            <m:nor/>
          </m:rPr>
          <m:t>=</m:t>
        </m:r>
        <m:r>
          <w:rPr>
            <w:rFonts w:ascii="Cambria Math" w:hAnsi="Cambria Math"/>
          </w:rPr>
          <m:t>MARS1</m:t>
        </m:r>
        <m:r>
          <m:rPr>
            <m:lit/>
            <m:nor/>
          </m:rPr>
          <m:t>+</m:t>
        </m:r>
        <m:r>
          <w:rPr>
            <w:rFonts w:ascii="Cambria Math" w:hAnsi="Cambria Math"/>
          </w:rPr>
          <m:t>MARS4</m:t>
        </m:r>
      </m:oMath>
    </w:p>
    <w:p w14:paraId="1FDEDF11" w14:textId="77777777" w:rsidR="00C877C4" w:rsidRDefault="00AF59D4">
      <w:pPr>
        <w:numPr>
          <w:ilvl w:val="1"/>
          <w:numId w:val="1"/>
        </w:numPr>
      </w:pPr>
      <w:r>
        <w:t xml:space="preserve">Claimed dependents </w:t>
      </w:r>
      <m:oMath>
        <m:r>
          <m:rPr>
            <m:lit/>
            <m:nor/>
          </m:rPr>
          <m:t>=</m:t>
        </m:r>
        <m:r>
          <w:rPr>
            <w:rFonts w:ascii="Cambria Math" w:hAnsi="Cambria Math"/>
          </w:rPr>
          <m:t>N2</m:t>
        </m:r>
        <m:r>
          <m:rPr>
            <m:lit/>
            <m:nor/>
          </m:rPr>
          <m:t>-</m:t>
        </m:r>
        <m:r>
          <w:rPr>
            <w:rFonts w:ascii="Cambria Math" w:hAnsi="Cambria Math"/>
          </w:rPr>
          <m:t>(N1</m:t>
        </m:r>
        <m:r>
          <m:rPr>
            <m:lit/>
            <m:nor/>
          </m:rPr>
          <m:t>+</m:t>
        </m:r>
        <m:r>
          <w:rPr>
            <w:rFonts w:ascii="Cambria Math" w:hAnsi="Cambria Math"/>
          </w:rPr>
          <m:t>MARS2)</m:t>
        </m:r>
      </m:oMath>
      <w:r>
        <w:rPr>
          <w:rStyle w:val="FootnoteReference"/>
        </w:rPr>
        <w:footnoteReference w:id="7"/>
      </w:r>
    </w:p>
    <w:p w14:paraId="1FDEDF12" w14:textId="77777777" w:rsidR="00C877C4" w:rsidRDefault="00AF59D4">
      <w:pPr>
        <w:numPr>
          <w:ilvl w:val="0"/>
          <w:numId w:val="4"/>
        </w:numPr>
      </w:pPr>
      <w:r>
        <w:rPr>
          <w:b/>
          <w:bCs/>
        </w:rPr>
        <w:t>Take the residual.</w:t>
      </w:r>
      <w:r>
        <w:t xml:space="preserve"> Non-filing adults by state are then approximated by PEP adults less filing adults. At TY2022 these identities put IRS filing married adults at 85.6 percent of ACS married adults nationally (74.5 in Mississippi to 95.3 in South Dakota) and single filing adults at 77.6 percent — the residual is the non-filer mass plus </w:t>
      </w:r>
      <w:r>
        <w:lastRenderedPageBreak/>
        <w:t>survey/administrative mismatch, and its state variation is exactly what the index must not get wrong.</w:t>
      </w:r>
    </w:p>
    <w:p w14:paraId="1FDEDF13" w14:textId="77777777" w:rsidR="00C877C4" w:rsidRDefault="00AF59D4">
      <w:pPr>
        <w:numPr>
          <w:ilvl w:val="0"/>
          <w:numId w:val="4"/>
        </w:numPr>
      </w:pPr>
      <w:r>
        <w:rPr>
          <w:b/>
          <w:bCs/>
        </w:rPr>
        <w:t>Give the residual an age shape.</w:t>
      </w:r>
      <w:r>
        <w:t xml:space="preserve"> Because Social Security is largely non-taxable at low income, retirees are the first to drop out of the filing universe, so the elderly non-filer mass is the most disciplinable part. </w:t>
      </w:r>
      <w:hyperlink r:id="rId25">
        <w:r>
          <w:rPr>
            <w:rStyle w:val="Hyperlink"/>
          </w:rPr>
          <w:t>OASDI beneficiaries by state and county</w:t>
        </w:r>
      </w:hyperlink>
      <w:r>
        <w:t xml:space="preserve"> supply that margin, built from the 65-and-over rows where the correspondence between beneficiaries and persons is cleanest.</w:t>
      </w:r>
    </w:p>
    <w:p w14:paraId="1FDEDF14" w14:textId="77777777" w:rsidR="00C877C4" w:rsidRDefault="00AF59D4">
      <w:pPr>
        <w:numPr>
          <w:ilvl w:val="0"/>
          <w:numId w:val="4"/>
        </w:numPr>
      </w:pPr>
      <w:r>
        <w:rPr>
          <w:b/>
          <w:bCs/>
        </w:rPr>
        <w:t>Give the residual an earnings shape.</w:t>
      </w:r>
      <w:r>
        <w:t xml:space="preserve"> The SSA </w:t>
      </w:r>
      <w:hyperlink r:id="rId26">
        <w:r>
          <w:rPr>
            <w:rStyle w:val="Hyperlink"/>
          </w:rPr>
          <w:t>covered-worker earnings and employment tables</w:t>
        </w:r>
      </w:hyperlink>
      <w:r>
        <w:t xml:space="preserve"> count the W-2 universe regardless of filing, so the gap against HT2 returns-with-wages is the working non-filer margin. That margin is stable enough to be a real target: returns-with-wages run about 75 percent of persons-with-wages, within a nine-point band across all states. BLS </w:t>
      </w:r>
      <w:hyperlink r:id="rId27">
        <w:r>
          <w:rPr>
            <w:rStyle w:val="Hyperlink"/>
          </w:rPr>
          <w:t>QCEW</w:t>
        </w:r>
      </w:hyperlink>
      <w:r>
        <w:t xml:space="preserve"> state wage totals serve as an independent cross-check on the wage dollars.</w:t>
      </w:r>
    </w:p>
    <w:p w14:paraId="1FDEDF15" w14:textId="77777777" w:rsidR="00C877C4" w:rsidRDefault="00AF59D4">
      <w:pPr>
        <w:numPr>
          <w:ilvl w:val="0"/>
          <w:numId w:val="4"/>
        </w:numPr>
      </w:pPr>
      <w:r>
        <w:rPr>
          <w:b/>
          <w:bCs/>
        </w:rPr>
        <w:t>Impose it in Pass A.</w:t>
      </w:r>
      <w:r>
        <w:t xml:space="preserve"> Filers are raked to HT2; the non-filer mass is anchored to the population-minus-filers residual by state and age band, with explicit tolerance for source mismatch, and with state Social Security beneficiary counts as an additional margin concentrated where non-filers live.</w:t>
      </w:r>
    </w:p>
    <w:p w14:paraId="1FDEDF16" w14:textId="77777777" w:rsidR="00C877C4" w:rsidRDefault="00AF59D4">
      <w:pPr>
        <w:numPr>
          <w:ilvl w:val="0"/>
          <w:numId w:val="4"/>
        </w:numPr>
      </w:pPr>
      <w:r>
        <w:rPr>
          <w:b/>
          <w:bCs/>
        </w:rPr>
        <w:t>Force the model and the counts to agree.</w:t>
      </w:r>
      <w:r>
        <w:t xml:space="preserve"> The filing model (the Cilke probit below the threshold and the calibrated hazard above it) and the residual diagnostic must agree within that tolerance; calibration of the group-specific constants is what brings them together.</w:t>
      </w:r>
    </w:p>
    <w:p w14:paraId="39D454D4" w14:textId="77777777" w:rsidR="001008EC" w:rsidRDefault="001008EC" w:rsidP="001008EC">
      <w:pPr>
        <w:ind w:left="720"/>
      </w:pPr>
    </w:p>
    <w:p w14:paraId="1FDEDF17" w14:textId="77777777" w:rsidR="00C877C4" w:rsidRDefault="00AF59D4">
      <w:r>
        <w:t>The residual is an anchor, not an exact count, and the reasons are worth naming rather than absorbing into a tolerance parameter: IRS return state can differ from state of residence, filing-status categories do not map perfectly onto ACS marital status, claimed dependents can be adults or reside elsewhere, and PEP vintages, ACS controls, and IRS tax-year vintages all differ slightly.</w:t>
      </w:r>
      <w:r>
        <w:rPr>
          <w:rStyle w:val="FootnoteReference"/>
        </w:rPr>
        <w:footnoteReference w:id="8"/>
      </w:r>
      <w:r>
        <w:t xml:space="preserve"> TPC’s alternative — impute non-filer state behavior from the coefficients of $1–25k AGI filers — is the documented fallback if the direct margins prove too thin.</w:t>
      </w:r>
    </w:p>
    <w:p w14:paraId="1FDEDF18" w14:textId="77777777" w:rsidR="00C877C4" w:rsidRDefault="00C877C4"/>
    <w:p w14:paraId="1FDEDF19" w14:textId="77777777" w:rsidR="00C877C4" w:rsidRDefault="00AF59D4">
      <w:pPr>
        <w:pStyle w:val="Heading3"/>
      </w:pPr>
      <w:bookmarkStart w:id="4" w:name="filing-status"/>
      <w:bookmarkEnd w:id="4"/>
      <w:r>
        <w:t>Repairing reported values</w:t>
      </w:r>
    </w:p>
    <w:p w14:paraId="1FDEDF1A" w14:textId="77777777" w:rsidR="00C877C4" w:rsidRDefault="00AF59D4">
      <w:r>
        <w:t>There are a number of known issues with the income values in the ACS that we proposed adjusting for directly, rather than relying on the calibration of ACS weights. We focus here on four specific categories: data that are not collected at all (ex. various sorts of investment income), data that are suppressed or distorted for disclosure protection purposes (ex. top-coding of income), data that have known mis-measurement issues (ex. retirement income), and data that are measured correctly but use a different definition or time period (ex. ACS 12-month prior to survey date reference period</w:t>
      </w:r>
      <w:r>
        <w:t>)</w:t>
      </w:r>
      <w:r>
        <w:t xml:space="preserve">. Later in this memo we discuss using the PUF to impute missing income variables and correct for top-coding, but in this section we discuss the latter two issues. </w:t>
      </w:r>
    </w:p>
    <w:p w14:paraId="1FDEDF1B" w14:textId="77777777" w:rsidR="00C877C4" w:rsidRDefault="00C877C4"/>
    <w:p w14:paraId="1FDEDF1C" w14:textId="77777777" w:rsidR="00C877C4" w:rsidRDefault="00AF59D4">
      <w:r>
        <w:rPr>
          <w:b/>
          <w:bCs/>
        </w:rPr>
        <w:t xml:space="preserve">Top-coding and the top tail. </w:t>
      </w:r>
      <w:r>
        <w:t xml:space="preserve">The ACS suppresses the top of every income distribution by state, and the mechanism matters more than the fact. The Census Bureau does not truncate: it replaces </w:t>
      </w:r>
      <w:r>
        <w:lastRenderedPageBreak/>
        <w:t>every value at or above a state’s threshold with a single number, the mean of the cases at or above it. The top group’s total is therefore preserved relative to what respondents reported — top-coding is aggregate-neutral — and what is destroyed is dispersion. This is worth stating precisely, because the intuitive version, that the file is missing the dollars the top administrative cells demand, is the wrong mechanism and points at the wrong instrument. The separate gap between ACS and SOI totals comes from underreporting and from concepts the ACS never collects, not from top-coding. What we face here is missing support, not missing dollars, and reweighting cannot fix it: raking moves weight among existing support points, and no ACS record lives in the region the top cells describe. The repair is to restore dispersion above the threshold from an external distribution — a Pareto tail whose shape is fit from the Public Use File on-server, with collapsing the top two AGI stubs as the documented off-server mode. Because restoring dispersion moves records across AGI stubs, it runs after the first raking pass and feeds the second, with one reweight-restore-rebin-reweight iteration. That is the placement in the project’s top-coding notes; an earlier draft of this memo put the repair before any raking, and this draft adopts the former.</w:t>
      </w:r>
    </w:p>
    <w:p w14:paraId="1FDEDF1D" w14:textId="77777777" w:rsidR="00C877C4" w:rsidRDefault="00C877C4"/>
    <w:p w14:paraId="1FDEDF1E" w14:textId="77777777" w:rsidR="00C877C4" w:rsidRDefault="00AF59D4">
      <w:r>
        <w:rPr>
          <w:b/>
          <w:bCs/>
        </w:rPr>
        <w:t xml:space="preserve">Retirement income. </w:t>
      </w:r>
      <w:r>
        <w:t>Retirement income — defined-benefit pensions, and distributions from individual retirement arrangements and employer defined-contribution plans — is badly under-reported in household surveys, and correcting it is the largest single value repair in this pipeline. One caveat travels with the evidence and we carry it rather than resolve it: the findings are CPS-based, not ACS-based. Linking the CPS to administrative records, Bee and Mitchell find median household income for householders aged 65 and over is thirty percent higher in the administrative data and the elderly poverty rate 2.2 points lower, and later work puts the CPS public-use file at roughly forty-eight percent of retirement income for the 65-and-over population. There is no equivalent ACS-to-administrative linkage study, so these magnitudes are indicative for the ACS rather than measured on it.</w:t>
      </w:r>
      <w:r>
        <w:footnoteReference w:id="9"/>
      </w:r>
    </w:p>
    <w:p w14:paraId="1FDEDF1F" w14:textId="77777777" w:rsidR="00C877C4" w:rsidRDefault="00C877C4"/>
    <w:p w14:paraId="1FDEDF20" w14:textId="77777777" w:rsidR="00C877C4" w:rsidRDefault="00AF59D4">
      <w:r>
        <w:t>Three features of the defect shape the repair. First, it is a repair and not an imputation: the ACS does ask about retirement income, so the imputation step, which is defined over the categories the ACS does not observe, would skip it entirely. Second, the dominant error is a false negative on receipt rather than an understatement of amount. Brady and Bass put the rate at which a survey reports no retirement income where administrative records show some at eighty-one percent for IRA distributions and forty percent for employer defined-contribution plans. The repair therefore imputes receipt first and amount second, and does both separately by vehicle; a single undifferentiated adjustment cannot address an error that differs by a factor of two across vehicles. Third, plan participation is understated on its own account, by eighteen to twenty-one percentage points against W-2 records, which is a defect distinct from the income gap and matters for any counterfactual that turns on coverage.</w:t>
      </w:r>
    </w:p>
    <w:p w14:paraId="1FDEDF21" w14:textId="77777777" w:rsidR="00C877C4" w:rsidRDefault="00C877C4"/>
    <w:p w14:paraId="1FDEDF22" w14:textId="77777777" w:rsidR="00C877C4" w:rsidRDefault="00AF59D4">
      <w:r>
        <w:t>The governing sources are administrative, and specifically not the CPS, which is the survey the finding was established on. The taxable portion is disciplined at state by AGI from the Historical Table 2 series for taxable pensions and annuities and for taxable IRA distributions. The non-taxable remainder is disciplined nationally: SOI’s individual-return tables by size of AGI publish both the gross and the taxable retirement lines, so gross less taxable by AGI class is an administrative control for the remainder, and it is pushed to states by share normalization rather than estimated separately. That control needs one correction of its own, because taxpayers frequently leave the gross line blank when the whole distribution is taxable; Brady and Bass’s reconciliation of Form 1040 against Form 1099-R supplies the adjustment. For the IRA piece specifically, SOI’s accumulation and distribution tables give distributions by type of plan, age and AGI. The Joint Statistical Research Program income-by-age papers are held-out validation for the age gradient, not targets.</w:t>
      </w:r>
    </w:p>
    <w:p w14:paraId="1FDEDF23" w14:textId="77777777" w:rsidR="00C877C4" w:rsidRDefault="00C877C4"/>
    <w:p w14:paraId="1FDEDF24" w14:textId="77777777" w:rsidR="00C877C4" w:rsidRDefault="00AF59D4">
      <w:r>
        <w:t>Two consequences for the rest of this memo. The conditioning set for the record-level draw should be age, AGI, plan type and wage level rather than age, Social Security receipt and reported retirement income, because the former are the dimensions the published tabulations are actually keyed on. And we adopt the convention of publishing corrected and uncorrected estimates side by side, so a reader can see how much of any elderly affordability result is the repair rather than the data.</w:t>
      </w:r>
    </w:p>
    <w:p w14:paraId="1FDEDF25" w14:textId="77777777" w:rsidR="00C877C4" w:rsidRDefault="00C877C4"/>
    <w:p w14:paraId="1FDEDF26" w14:textId="77777777" w:rsidR="00C877C4" w:rsidRDefault="00AF59D4">
      <w:r>
        <w:t>Two practical notes. The Historical Table 2 pension and IRA series are not yet in the project’s state target file, which carries taxable Social Security but no retirement line at all; adding them is a prerequisite for the state-level half of this. And the companion Peterson retirement proposal is the source for much of the evidence above, but it is a funding proposal rather than a method: it names no control aggregate, and its own approach corrects the CPS rather than excluding it.</w:t>
      </w:r>
    </w:p>
    <w:p w14:paraId="1FDEDF27" w14:textId="77777777" w:rsidR="00C877C4" w:rsidRDefault="00C877C4"/>
    <w:p w14:paraId="1FDEDF28" w14:textId="77777777" w:rsidR="00C877C4" w:rsidRDefault="00AF59D4">
      <w:r>
        <w:rPr>
          <w:b/>
          <w:bCs/>
        </w:rPr>
        <w:t>The reference period.</w:t>
      </w:r>
      <w:r>
        <w:t xml:space="preserve"> ACS income is reported for the twelve months preceding the interview, and interviews run continuously throughout the year, so the 2022 sample’s income references span roughly January 2021 to November 2022. This produces a gap between the period the ACS measures income for and the calendar year reference period of the IRS. This means that the ACS income measures will understate calendar-year income by nominal growth over that period, which was non-trivial. Because the public data do not report the interview month, a record-level correction is not possible, and rather we will apply a single factor adjustment for each type of income, based on the macro projections provided by TBL projections that supply the deflators and the growth factors. Because the factor is deterministic and preserves receipt, it runs in step 2, before the first raking pass. Applied any later, Pass A would rake dollars spanning January 2021 to November 2022 against calendar-2022 targets, pushing roughly a year of nominal growth — large over this period — into the weights and the filing parameters, only for the dollars to be added back one step later.</w:t>
      </w:r>
    </w:p>
    <w:p w14:paraId="1FDEDF29" w14:textId="77777777" w:rsidR="00C877C4" w:rsidRDefault="00C877C4"/>
    <w:p w14:paraId="61AC9D53" w14:textId="77777777" w:rsidR="00C877C4" w:rsidRDefault="00AF59D4">
      <w:r>
        <w:rPr>
          <w:b/>
          <w:bCs/>
        </w:rPr>
        <w:t xml:space="preserve">Social Security: net of the Medicare premium. </w:t>
      </w:r>
      <w:r>
        <w:t xml:space="preserve">Social Security is the second definitional repair, and it earns the slot for a different reason than the reference period: the defect is a reporting convention, not a survey gap. The money-income concept is the gross benefit, before the Medicare premium is withheld from the check. The evidence that a survey can measure this well is CPS-based: linked to SSA payment records, CPS ASEC reports capture 96 percent of </w:t>
      </w:r>
      <w:r>
        <w:lastRenderedPageBreak/>
        <w:t>administrative benefits for the 65-and-over population (</w:t>
      </w:r>
      <w:hyperlink r:id="rId28" w:history="1">
        <w:r>
          <w:rPr>
            <w:rStyle w:val="Hyperlink"/>
          </w:rPr>
          <w:t>Bee and Mitchell</w:t>
        </w:r>
      </w:hyperlink>
      <w:r>
        <w:t>), and the CPS captures roughly 90 percent of the aggregate benchmark (</w:t>
      </w:r>
      <w:hyperlink r:id="rId29" w:history="1">
        <w:r>
          <w:rPr>
            <w:rStyle w:val="Hyperlink"/>
          </w:rPr>
          <w:t>Rothbaum</w:t>
        </w:r>
      </w:hyperlink>
      <w:r>
        <w:t xml:space="preserve">). The ACS is weaker on the same benchmark, at roughly 80 percent, with no person-level ACS-to-SSA linkage to lean on — the same evidence caveat the retirement repair carries. The likely dominant mechanism is respondents reporting the net deposit: </w:t>
      </w:r>
      <w:hyperlink r:id="rId30" w:history="1">
        <w:r>
          <w:rPr>
            <w:rStyle w:val="Hyperlink"/>
          </w:rPr>
          <w:t>Dushi and Iams</w:t>
        </w:r>
      </w:hyperlink>
      <w:r>
        <w:t xml:space="preserve"> show HRS respondents report net of the premium, with the gap against gross almost exactly the median Medicare premium, and in 2022 the </w:t>
      </w:r>
      <w:hyperlink r:id="rId31" w:history="1">
        <w:r>
          <w:rPr>
            <w:rStyle w:val="Hyperlink"/>
          </w:rPr>
          <w:t>standard Part B premium of $170.10 per month</w:t>
        </w:r>
      </w:hyperlink>
      <w:r>
        <w:t xml:space="preserve"> was about ten percent of the average retired-worker benefit. The repair adds the premium back for beneficiaries the ACS flags as Medicare-covered (HINSCARE), excluding those also flagged for Medicaid (HINSCAID), whose premium a buy-in program pays and whose check is therefore already gross. The premise that respondents report net is an assumption, and it is testable: SSA’s benefits-paid tabulations by state, benefit type, age and sex are the governing check, held out of the raking — beneficiary counts already serve as a Pass A margin, but benefit dollars never enter the calibration — and the share of the ACS gap the add-back closes against those tabulations is the read on whether the mechanism is the right one. One consequence for the rest of the project: an income measure gross of the premium requires the premium to appear once on the cost side, as a health cost; carrying net income alongside a premium cost would count it twice. That convention belongs in the Overview.</w:t>
      </w:r>
    </w:p>
    <w:p w14:paraId="361C547E" w14:textId="77777777" w:rsidR="00C877C4" w:rsidRDefault="00C877C4"/>
    <w:p w14:paraId="1FDEDF2A" w14:textId="77777777" w:rsidR="00C877C4" w:rsidRDefault="00AF59D4">
      <w:r>
        <w:rPr>
          <w:b/>
          <w:bCs/>
        </w:rPr>
        <w:t xml:space="preserve">Self-employment income. </w:t>
      </w:r>
      <w:r>
        <w:t>Another known issue with ACS (and survey-derived measures of income in general) is the under-reporting of self-employment income. However, similar issues also exist in the IRS income measures due to high rates of under-reporting of self-employment income, where there is often little-to-no information reporting, unlike wage income.</w:t>
      </w:r>
      <w:r>
        <w:rPr>
          <w:rStyle w:val="FootnoteReference"/>
        </w:rPr>
        <w:footnoteReference w:id="10"/>
      </w:r>
      <w:r>
        <w:t xml:space="preserve"> This means that we do not have a clear way to correct for systemic under-reporting of self-employment information without correcting for observed under-reporting via random audit data. The correct space for this would be in the tax data themselves, so we defer this stage for now.</w:t>
      </w:r>
      <w:r>
        <w:rPr>
          <w:rStyle w:val="FootnoteReference"/>
        </w:rPr>
        <w:footnoteReference w:id="11"/>
      </w:r>
      <w:r>
        <w:t xml:space="preserve"> </w:t>
      </w:r>
    </w:p>
    <w:p w14:paraId="1FDEDF2B" w14:textId="77777777" w:rsidR="00C877C4" w:rsidRDefault="00C877C4"/>
    <w:p w14:paraId="1FDEDF2C" w14:textId="77777777" w:rsidR="00C877C4" w:rsidRDefault="00AF59D4">
      <w:r>
        <w:t xml:space="preserve">Two rules follow and are better stated than left implicit. We do not scale self-employment income up to the administrative total: that would corrupt the tax calculation, where income as reported on the return is the correct concept, in order to improve a resource measure we are not otherwise repairing. And covered wages from the SSA tables are a diagnostic on the wage line, never a second correction to dollars the calibration has already targeted. The consequence is that the index understates resources for self-employed households, unevenly across states and industries. That is a labelled limitation rather than an oversight, and it is the fork between income </w:t>
      </w:r>
      <w:r>
        <w:lastRenderedPageBreak/>
        <w:t>as the return sees it and income as the household experiences it that the project’s decisions log requires be stated rather than silently resolved.</w:t>
      </w:r>
    </w:p>
    <w:p w14:paraId="1FDEDF2D" w14:textId="77777777" w:rsidR="00C877C4" w:rsidRDefault="00C877C4"/>
    <w:p w14:paraId="1FDEDF2E" w14:textId="77777777" w:rsidR="00C877C4" w:rsidRDefault="00AF59D4">
      <w:r>
        <w:rPr>
          <w:b/>
          <w:bCs/>
        </w:rPr>
        <w:t>Values the Census Bureau has already imputed.</w:t>
      </w:r>
      <w:r>
        <w:t xml:space="preserve"> Not all income values in the ACS are actually reported by individuals themselves: many are imputed by the Census Bureau, especially when there is item-non-response (when an individual does not report a given value but does report others). This fact raises two key (and currently unanswered) questions: do we treat allocated values (which are identified in the data) as reported values, and if not – i.e. if we allow differential treatment – how we operationalize this in the imputation process. For now, we ignore this issue, since any sort of re-imputation or imputation-aware process is a project with its own risks, but with the data-quality flags carried through the pipeline, every calibration target reported split by allocated and reported share so that we can see whether a fit is being driven by imputed dollars, and a reported-only variant among the held-out diagnostics.  That deferral has a trigger rather than an indefinite life: if those diagnostics show allocated records driving the targets, re-imputation stops being later work.</w:t>
      </w:r>
    </w:p>
    <w:p w14:paraId="1FDEDF2F" w14:textId="77777777" w:rsidR="00C877C4" w:rsidRDefault="00C877C4"/>
    <w:p w14:paraId="1FDEDF30" w14:textId="77777777" w:rsidR="00C877C4" w:rsidRDefault="00AF59D4">
      <w:pPr>
        <w:pStyle w:val="Heading3"/>
      </w:pPr>
      <w:r>
        <w:t xml:space="preserve">Managing multiple adjustments </w:t>
      </w:r>
    </w:p>
    <w:p w14:paraId="1FDEDF31" w14:textId="77777777" w:rsidR="00C877C4" w:rsidRDefault="00AF59D4">
      <w:r>
        <w:t xml:space="preserve">With three instruments able to move the same dollar aggregate — value repair, imputation, and weights — and administrative targets drawn from four agencies, the dominant risk is no longer that a line goes uncorrected but that it gets corrected three times. For example, take the reported wage and salary value per individual. We will need to make several adjustments, including raising wages to match the calendar-year bases, raking wage dollars to match the IRS totals, and then cross-checking against covered wages for the purpose of matching filing targets. We will need to be cautious about over-adjustments, and to avoid this, we will construct a ledger with one row per income line recording: the ACS variable, which of the four defect classes applies (missing, disclosure distortion, mismeasurement, and definition), whether the Public Use File observes the line fully, partially, or not at all, which donor follows from that, the single administrative source that governs the line, and whether the line is a first-pass target, a second-pass target, or held out. </w:t>
      </w:r>
    </w:p>
    <w:p w14:paraId="1FDEDF32" w14:textId="77777777" w:rsidR="00C877C4" w:rsidRDefault="00C877C4"/>
    <w:p w14:paraId="1FDEDF33" w14:textId="23D32D21" w:rsidR="00C877C4" w:rsidRDefault="00AF59D4">
      <w:r>
        <w:t>The rule that makes the ledger operable is short: everything not named as the governing source for a line is a diagnostic. Two rows are worth setting down here because they are counter-intuitive. Social Security receives exactly one repair, the mechanical Medicare-premium add-back, and is otherwise kept as the ACS reports it, with the taxable portion serving as a calibration target rather than an imputed value; the gross dollars are governed by the SSA benefits-paid tabulations as a held-out check, never raked. And self-employment income is governed by the administrative tabulations for the tax calculation and receives no upward correction for the resource measure, for the reasons given above.</w:t>
      </w:r>
    </w:p>
    <w:p w14:paraId="1FDEDF34" w14:textId="77777777" w:rsidR="00C877C4" w:rsidRDefault="00C877C4"/>
    <w:tbl>
      <w:tblPr>
        <w:tblW w:w="9360" w:type="dxa"/>
        <w:tblLayout w:type="fixed"/>
        <w:tblLook w:val="04A0" w:firstRow="1" w:lastRow="0" w:firstColumn="1" w:lastColumn="0" w:noHBand="0" w:noVBand="1"/>
      </w:tblPr>
      <w:tblGrid>
        <w:gridCol w:w="1600"/>
        <w:gridCol w:w="1850"/>
        <w:gridCol w:w="800"/>
        <w:gridCol w:w="1200"/>
        <w:gridCol w:w="3050"/>
        <w:gridCol w:w="860"/>
      </w:tblGrid>
      <w:tr w:rsidR="00C877C4" w14:paraId="1FDEDF3B" w14:textId="77777777">
        <w:tc>
          <w:tcPr>
            <w:tcW w:w="1600" w:type="dxa"/>
            <w:tcBorders>
              <w:top w:val="single" w:sz="4" w:space="0" w:color="BFBFBF"/>
              <w:left w:val="single" w:sz="4" w:space="0" w:color="BFBFBF"/>
              <w:bottom w:val="single" w:sz="4" w:space="0" w:color="BFBFBF"/>
              <w:right w:val="single" w:sz="4" w:space="0" w:color="BFBFBF"/>
            </w:tcBorders>
            <w:shd w:val="clear" w:color="auto" w:fill="EDF2F7"/>
            <w:tcMar>
              <w:top w:w="60" w:type="dxa"/>
              <w:left w:w="100" w:type="dxa"/>
              <w:bottom w:w="60" w:type="dxa"/>
              <w:right w:w="100" w:type="dxa"/>
            </w:tcMar>
          </w:tcPr>
          <w:p w14:paraId="1FDEDF35" w14:textId="77777777" w:rsidR="00C877C4" w:rsidRDefault="00AF59D4">
            <w:r>
              <w:rPr>
                <w:b/>
                <w:bCs/>
              </w:rPr>
              <w:t>Income line</w:t>
            </w:r>
          </w:p>
        </w:tc>
        <w:tc>
          <w:tcPr>
            <w:tcW w:w="1850" w:type="dxa"/>
            <w:tcBorders>
              <w:top w:val="single" w:sz="4" w:space="0" w:color="BFBFBF"/>
              <w:left w:val="single" w:sz="4" w:space="0" w:color="BFBFBF"/>
              <w:bottom w:val="single" w:sz="4" w:space="0" w:color="BFBFBF"/>
              <w:right w:val="single" w:sz="4" w:space="0" w:color="BFBFBF"/>
            </w:tcBorders>
            <w:shd w:val="clear" w:color="auto" w:fill="EDF2F7"/>
            <w:tcMar>
              <w:top w:w="60" w:type="dxa"/>
              <w:left w:w="100" w:type="dxa"/>
              <w:bottom w:w="60" w:type="dxa"/>
              <w:right w:w="100" w:type="dxa"/>
            </w:tcMar>
          </w:tcPr>
          <w:p w14:paraId="1FDEDF36" w14:textId="77777777" w:rsidR="00C877C4" w:rsidRDefault="00AF59D4">
            <w:r>
              <w:rPr>
                <w:b/>
                <w:bCs/>
              </w:rPr>
              <w:t>Defect</w:t>
            </w:r>
          </w:p>
        </w:tc>
        <w:tc>
          <w:tcPr>
            <w:tcW w:w="800" w:type="dxa"/>
            <w:tcBorders>
              <w:top w:val="single" w:sz="4" w:space="0" w:color="BFBFBF"/>
              <w:left w:val="single" w:sz="4" w:space="0" w:color="BFBFBF"/>
              <w:bottom w:val="single" w:sz="4" w:space="0" w:color="BFBFBF"/>
              <w:right w:val="single" w:sz="4" w:space="0" w:color="BFBFBF"/>
            </w:tcBorders>
            <w:shd w:val="clear" w:color="auto" w:fill="EDF2F7"/>
            <w:tcMar>
              <w:top w:w="60" w:type="dxa"/>
              <w:left w:w="100" w:type="dxa"/>
              <w:bottom w:w="60" w:type="dxa"/>
              <w:right w:w="100" w:type="dxa"/>
            </w:tcMar>
          </w:tcPr>
          <w:p w14:paraId="1FDEDF37" w14:textId="77777777" w:rsidR="00C877C4" w:rsidRDefault="00AF59D4">
            <w:r>
              <w:rPr>
                <w:b/>
                <w:bCs/>
              </w:rPr>
              <w:t>In PUF</w:t>
            </w:r>
          </w:p>
        </w:tc>
        <w:tc>
          <w:tcPr>
            <w:tcW w:w="1200" w:type="dxa"/>
            <w:tcBorders>
              <w:top w:val="single" w:sz="4" w:space="0" w:color="BFBFBF"/>
              <w:left w:val="single" w:sz="4" w:space="0" w:color="BFBFBF"/>
              <w:bottom w:val="single" w:sz="4" w:space="0" w:color="BFBFBF"/>
              <w:right w:val="single" w:sz="4" w:space="0" w:color="BFBFBF"/>
            </w:tcBorders>
            <w:shd w:val="clear" w:color="auto" w:fill="EDF2F7"/>
            <w:tcMar>
              <w:top w:w="60" w:type="dxa"/>
              <w:left w:w="100" w:type="dxa"/>
              <w:bottom w:w="60" w:type="dxa"/>
              <w:right w:w="100" w:type="dxa"/>
            </w:tcMar>
          </w:tcPr>
          <w:p w14:paraId="1FDEDF38" w14:textId="77777777" w:rsidR="00C877C4" w:rsidRDefault="00AF59D4">
            <w:r>
              <w:rPr>
                <w:b/>
                <w:bCs/>
              </w:rPr>
              <w:t>Donor</w:t>
            </w:r>
          </w:p>
        </w:tc>
        <w:tc>
          <w:tcPr>
            <w:tcW w:w="3050" w:type="dxa"/>
            <w:tcBorders>
              <w:top w:val="single" w:sz="4" w:space="0" w:color="BFBFBF"/>
              <w:left w:val="single" w:sz="4" w:space="0" w:color="BFBFBF"/>
              <w:bottom w:val="single" w:sz="4" w:space="0" w:color="BFBFBF"/>
              <w:right w:val="single" w:sz="4" w:space="0" w:color="BFBFBF"/>
            </w:tcBorders>
            <w:shd w:val="clear" w:color="auto" w:fill="EDF2F7"/>
            <w:tcMar>
              <w:top w:w="60" w:type="dxa"/>
              <w:left w:w="100" w:type="dxa"/>
              <w:bottom w:w="60" w:type="dxa"/>
              <w:right w:w="100" w:type="dxa"/>
            </w:tcMar>
          </w:tcPr>
          <w:p w14:paraId="1FDEDF39" w14:textId="77777777" w:rsidR="00C877C4" w:rsidRDefault="00AF59D4">
            <w:r>
              <w:rPr>
                <w:b/>
                <w:bCs/>
              </w:rPr>
              <w:t>Governing source</w:t>
            </w:r>
          </w:p>
        </w:tc>
        <w:tc>
          <w:tcPr>
            <w:tcW w:w="860" w:type="dxa"/>
            <w:tcBorders>
              <w:top w:val="single" w:sz="4" w:space="0" w:color="BFBFBF"/>
              <w:left w:val="single" w:sz="4" w:space="0" w:color="BFBFBF"/>
              <w:bottom w:val="single" w:sz="4" w:space="0" w:color="BFBFBF"/>
              <w:right w:val="single" w:sz="4" w:space="0" w:color="BFBFBF"/>
            </w:tcBorders>
            <w:shd w:val="clear" w:color="auto" w:fill="EDF2F7"/>
            <w:tcMar>
              <w:top w:w="60" w:type="dxa"/>
              <w:left w:w="100" w:type="dxa"/>
              <w:bottom w:w="60" w:type="dxa"/>
              <w:right w:w="100" w:type="dxa"/>
            </w:tcMar>
          </w:tcPr>
          <w:p w14:paraId="1FDEDF3A" w14:textId="77777777" w:rsidR="00C877C4" w:rsidRDefault="00AF59D4">
            <w:r>
              <w:rPr>
                <w:b/>
                <w:bCs/>
              </w:rPr>
              <w:t>Role</w:t>
            </w:r>
          </w:p>
        </w:tc>
      </w:tr>
      <w:tr w:rsidR="00C877C4" w14:paraId="1FDEDF42"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3C" w14:textId="77777777" w:rsidR="00C877C4" w:rsidRDefault="00AF59D4">
            <w:r>
              <w:t>Wages and salary</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3D" w14:textId="77777777" w:rsidR="00C877C4" w:rsidRDefault="00AF59D4">
            <w:r>
              <w:t>Definition: reference period</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3E" w14:textId="77777777" w:rsidR="00C877C4" w:rsidRDefault="00AF59D4">
            <w:r>
              <w:t>Yes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3F" w14:textId="77777777" w:rsidR="00C877C4" w:rsidRDefault="00AF59D4">
            <w:r>
              <w:t>none</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0" w14:textId="77777777" w:rsidR="00C877C4" w:rsidRDefault="00AF59D4">
            <w:r>
              <w:t>HT2 wages, state by AGI</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1" w14:textId="77777777" w:rsidR="00C877C4" w:rsidRDefault="00AF59D4">
            <w:r>
              <w:t>Pass A</w:t>
            </w:r>
          </w:p>
        </w:tc>
      </w:tr>
      <w:tr w:rsidR="00C877C4" w14:paraId="1FDEDF4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3" w14:textId="77777777" w:rsidR="00C877C4" w:rsidRDefault="00AF59D4">
            <w:r>
              <w:lastRenderedPageBreak/>
              <w:t>Self-employment</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4" w14:textId="77777777" w:rsidR="00C877C4" w:rsidRDefault="00AF59D4">
            <w:r>
              <w:t>Mismeasurement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5" w14:textId="77777777" w:rsidR="00C877C4" w:rsidRDefault="00AF59D4">
            <w:r>
              <w:t>Yes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6" w14:textId="77777777" w:rsidR="00C877C4" w:rsidRDefault="00AF59D4">
            <w:r>
              <w:t>none</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7" w14:textId="77777777" w:rsidR="00C877C4" w:rsidRDefault="00AF59D4">
            <w:r>
              <w:t>HT2/SOI for tax; none for resources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8" w14:textId="77777777" w:rsidR="00C877C4" w:rsidRDefault="00AF59D4">
            <w:r>
              <w:t>Pass A</w:t>
            </w:r>
          </w:p>
        </w:tc>
      </w:tr>
      <w:tr w:rsidR="00C877C4" w14:paraId="1FDEDF5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A" w14:textId="77777777" w:rsidR="00C877C4" w:rsidRDefault="00AF59D4">
            <w:r>
              <w:t>Interest</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B" w14:textId="77777777" w:rsidR="00C877C4" w:rsidRDefault="00AF59D4">
            <w:r>
              <w:t>Missing: bundled</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C" w14:textId="77777777" w:rsidR="00C877C4" w:rsidRDefault="00AF59D4">
            <w:r>
              <w:t>Yes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D" w14:textId="77777777" w:rsidR="00C877C4" w:rsidRDefault="00AF59D4">
            <w:r>
              <w:t>PUF</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E" w14:textId="77777777" w:rsidR="00C877C4" w:rsidRDefault="00AF59D4">
            <w:r>
              <w:t>HT2 interest</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4F" w14:textId="77777777" w:rsidR="00C877C4" w:rsidRDefault="00AF59D4">
            <w:r>
              <w:t>Pass B</w:t>
            </w:r>
          </w:p>
        </w:tc>
      </w:tr>
      <w:tr w:rsidR="00C877C4" w14:paraId="1FDEDF57"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1" w14:textId="77777777" w:rsidR="00C877C4" w:rsidRDefault="00AF59D4">
            <w:r>
              <w:t>Dividends</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2" w14:textId="77777777" w:rsidR="00C877C4" w:rsidRDefault="00AF59D4">
            <w:r>
              <w:t>Missing: bundled</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3" w14:textId="77777777" w:rsidR="00C877C4" w:rsidRDefault="00AF59D4">
            <w:r>
              <w:t>Yes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4" w14:textId="77777777" w:rsidR="00C877C4" w:rsidRDefault="00AF59D4">
            <w:r>
              <w:t>PUF</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5" w14:textId="77777777" w:rsidR="00C877C4" w:rsidRDefault="00AF59D4">
            <w:r>
              <w:t>HT2 dividends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6" w14:textId="77777777" w:rsidR="00C877C4" w:rsidRDefault="00AF59D4">
            <w:r>
              <w:t>Pass B</w:t>
            </w:r>
          </w:p>
        </w:tc>
      </w:tr>
      <w:tr w:rsidR="00C877C4" w14:paraId="1FDEDF5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8" w14:textId="77777777" w:rsidR="00C877C4" w:rsidRDefault="00AF59D4">
            <w:r>
              <w:t>Capital gains</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9" w14:textId="77777777" w:rsidR="00C877C4" w:rsidRDefault="00AF59D4">
            <w:r>
              <w:t>Missing entirely</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A" w14:textId="77777777" w:rsidR="00C877C4" w:rsidRDefault="00AF59D4">
            <w:r>
              <w:t>Yes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B" w14:textId="77777777" w:rsidR="00C877C4" w:rsidRDefault="00AF59D4">
            <w:r>
              <w:t>PUF</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C" w14:textId="77777777" w:rsidR="00C877C4" w:rsidRDefault="00AF59D4">
            <w:r>
              <w:t>HT2 capital gains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D" w14:textId="77777777" w:rsidR="00C877C4" w:rsidRDefault="00AF59D4">
            <w:r>
              <w:t>Pass B</w:t>
            </w:r>
          </w:p>
        </w:tc>
      </w:tr>
      <w:tr w:rsidR="00C877C4" w14:paraId="1FDEDF65"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5F" w14:textId="77777777" w:rsidR="00C877C4" w:rsidRDefault="00AF59D4">
            <w:r>
              <w:t>Social Security</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0" w14:textId="77770581" w:rsidR="00C877C4" w:rsidRDefault="00AF59D4">
            <w:r>
              <w:t>Definition: net of Medicare premium; gross vs taxable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1" w14:textId="77777777" w:rsidR="00C877C4" w:rsidRDefault="00AF59D4">
            <w:r>
              <w:t>Taxable only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2" w14:textId="2C1B20BF" w:rsidR="00C877C4" w:rsidRDefault="00AF59D4">
            <w:r>
              <w:t>none</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3" w14:textId="27C41508" w:rsidR="00C877C4" w:rsidRDefault="00AF59D4">
            <w:r>
              <w:t>ACS reported plus premium add-back; SSA benefits paid (held-out check); HT2 taxable part</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4" w14:textId="28679EFC" w:rsidR="00C877C4" w:rsidRDefault="00AF59D4">
            <w:r>
              <w:t>Step 2 repair; Pass B (taxable)</w:t>
            </w:r>
          </w:p>
        </w:tc>
      </w:tr>
      <w:tr w:rsidR="00C877C4" w14:paraId="1FDEDF6C"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6" w14:textId="77777777" w:rsidR="00C877C4" w:rsidRDefault="00AF59D4">
            <w:r>
              <w:t>Pensions, IRA distributions</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7" w14:textId="77777777" w:rsidR="00C877C4" w:rsidRDefault="00AF59D4">
            <w:r>
              <w:t>Mismeasurement + definition</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8" w14:textId="77777777" w:rsidR="00C877C4" w:rsidRDefault="00AF59D4">
            <w:r>
              <w:t>Taxable only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9" w14:textId="77777777" w:rsidR="00C877C4" w:rsidRDefault="00AF59D4">
            <w:r>
              <w:t>PUF, ASEC</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A" w14:textId="77777777" w:rsidR="00C877C4" w:rsidRDefault="00AF59D4">
            <w:r>
              <w:t>HT2 taxable; SOI gross less taxable</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B" w14:textId="77777777" w:rsidR="00C877C4" w:rsidRDefault="00AF59D4">
            <w:r>
              <w:t>Pass B</w:t>
            </w:r>
          </w:p>
        </w:tc>
      </w:tr>
      <w:tr w:rsidR="00C877C4" w14:paraId="1FDEDF73"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D" w14:textId="77777777" w:rsidR="00C877C4" w:rsidRDefault="00AF59D4">
            <w:r>
              <w:t>Top of every distribution</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E" w14:textId="77777777" w:rsidR="00C877C4" w:rsidRDefault="00AF59D4">
            <w:r>
              <w:t>Disclosure distortion</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6F" w14:textId="77777777" w:rsidR="00C877C4" w:rsidRDefault="00AF59D4">
            <w:r>
              <w:t>Yes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0" w14:textId="77777777" w:rsidR="00C877C4" w:rsidRDefault="00AF59D4">
            <w:r>
              <w:t>PUF (shape)</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1" w14:textId="77777777" w:rsidR="00C877C4" w:rsidRDefault="00AF59D4">
            <w:r>
              <w:t>Support, not level</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2" w14:textId="77777777" w:rsidR="00C877C4" w:rsidRDefault="00AF59D4">
            <w:r>
              <w:t>Pass B</w:t>
            </w:r>
          </w:p>
        </w:tc>
      </w:tr>
      <w:tr w:rsidR="00C877C4" w14:paraId="1FDEDF7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4" w14:textId="77777777" w:rsidR="00C877C4" w:rsidRDefault="00AF59D4">
            <w:r>
              <w:t>SSI</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5" w14:textId="77777777" w:rsidR="00C877C4" w:rsidRDefault="00AF59D4">
            <w:r>
              <w:t>Not on returns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6" w14:textId="77777777" w:rsidR="00C877C4" w:rsidRDefault="00AF59D4">
            <w:r>
              <w:t>No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7" w14:textId="77777777" w:rsidR="00C877C4" w:rsidRDefault="00AF59D4">
            <w:r>
              <w:t>ASEC</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8" w14:textId="77777777" w:rsidR="00C877C4" w:rsidRDefault="00AF59D4">
            <w:r>
              <w:t>SSA caseloads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9" w14:textId="77777777" w:rsidR="00C877C4" w:rsidRDefault="00AF59D4">
            <w:r>
              <w:t>Held out</w:t>
            </w:r>
          </w:p>
        </w:tc>
      </w:tr>
      <w:tr w:rsidR="00C877C4" w14:paraId="1FDEDF81"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B" w14:textId="77777777" w:rsidR="00C877C4" w:rsidRDefault="00AF59D4">
            <w:r>
              <w:t>Public assistance (TANF)</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C" w14:textId="77777777" w:rsidR="00C877C4" w:rsidRDefault="00AF59D4">
            <w:r>
              <w:t>Mismeasurement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D" w14:textId="77777777" w:rsidR="00C877C4" w:rsidRDefault="00AF59D4">
            <w:r>
              <w:t>No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E" w14:textId="77777777" w:rsidR="00C877C4" w:rsidRDefault="00AF59D4">
            <w:r>
              <w:t>ASEC</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7F" w14:textId="77777777" w:rsidR="00C877C4" w:rsidRDefault="00AF59D4">
            <w:r>
              <w:t>HHS caseloads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0" w14:textId="77777777" w:rsidR="00C877C4" w:rsidRDefault="00AF59D4">
            <w:r>
              <w:t>Held out</w:t>
            </w:r>
          </w:p>
        </w:tc>
      </w:tr>
      <w:tr w:rsidR="00C877C4" w14:paraId="1FDEDF88"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2" w14:textId="77777777" w:rsidR="00C877C4" w:rsidRDefault="00AF59D4">
            <w:r>
              <w:t>Unemployment insurance</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3" w14:textId="77777777" w:rsidR="00C877C4" w:rsidRDefault="00AF59D4">
            <w:r>
              <w:t>Missing: in other income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4" w14:textId="77777777" w:rsidR="00C877C4" w:rsidRDefault="00AF59D4">
            <w:r>
              <w:t>No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5" w14:textId="77777777" w:rsidR="00C877C4" w:rsidRDefault="00AF59D4">
            <w:r>
              <w:t>ASEC</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6" w14:textId="77777777" w:rsidR="00C877C4" w:rsidRDefault="00AF59D4">
            <w:r>
              <w:t>DOL state claims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7" w14:textId="77777777" w:rsidR="00C877C4" w:rsidRDefault="00AF59D4">
            <w:r>
              <w:t>Held out</w:t>
            </w:r>
          </w:p>
        </w:tc>
      </w:tr>
      <w:tr w:rsidR="00C877C4" w14:paraId="1FDEDF8F"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9" w14:textId="77777777" w:rsidR="00C877C4" w:rsidRDefault="00AF59D4">
            <w:r>
              <w:t>Other non-taxable transfers</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A" w14:textId="77777777" w:rsidR="00C877C4" w:rsidRDefault="00AF59D4">
            <w:r>
              <w:t>Not on returns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B" w14:textId="77777777" w:rsidR="00C877C4" w:rsidRDefault="00AF59D4">
            <w:r>
              <w:t>No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C" w14:textId="77777777" w:rsidR="00C877C4" w:rsidRDefault="00AF59D4">
            <w:r>
              <w:t>ASEC</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D" w14:textId="77777777" w:rsidR="00C877C4" w:rsidRDefault="00AF59D4">
            <w:r>
              <w:t>none</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DF8E" w14:textId="77777777" w:rsidR="00C877C4" w:rsidRDefault="00AF59D4">
            <w:r>
              <w:t>Held out</w:t>
            </w:r>
          </w:p>
        </w:tc>
      </w:tr>
      <w:tr w:rsidR="00C877C4" w14:paraId="10E4645D"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18EB2" w14:textId="77777777" w:rsidR="00C877C4" w:rsidRDefault="00AF59D4">
            <w:r>
              <w:t>Veterans’ benefits</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BF550" w14:textId="77777777" w:rsidR="00C877C4" w:rsidRDefault="00AF59D4">
            <w:r>
              <w:t>Missing: in other income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EF62C" w14:textId="77777777" w:rsidR="00C877C4" w:rsidRDefault="00AF59D4">
            <w:r>
              <w:t>No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6D658" w14:textId="77777777" w:rsidR="00C877C4" w:rsidRDefault="00AF59D4">
            <w:r>
              <w:t>ASEC</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9B813" w14:textId="77777777" w:rsidR="00C877C4" w:rsidRDefault="00AF59D4">
            <w:r>
              <w:t>VA geographic expenditure tables</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77D08" w14:textId="77777777" w:rsidR="00C877C4" w:rsidRDefault="00AF59D4">
            <w:r>
              <w:t>Held out</w:t>
            </w:r>
          </w:p>
        </w:tc>
      </w:tr>
      <w:tr w:rsidR="00C877C4" w14:paraId="2D4F10E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B1010" w14:textId="77777777" w:rsidR="00C877C4" w:rsidRDefault="00AF59D4">
            <w:r>
              <w:t>Workers’ compensation</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40C34" w14:textId="77777777" w:rsidR="00C877C4" w:rsidRDefault="00AF59D4">
            <w:r>
              <w:t>Missing: in other income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5114A" w14:textId="77777777" w:rsidR="00C877C4" w:rsidRDefault="00AF59D4">
            <w:r>
              <w:t>No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51B06" w14:textId="77777777" w:rsidR="00C877C4" w:rsidRDefault="00AF59D4">
            <w:r>
              <w:t>ASEC</w:t>
            </w:r>
          </w:p>
        </w:tc>
        <w:tc>
          <w:tcPr>
            <w:tcW w:w="3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A9889" w14:textId="77777777" w:rsidR="00C877C4" w:rsidRDefault="00AF59D4">
            <w:r>
              <w:t>NASI state benefits paid</w:t>
            </w:r>
          </w:p>
        </w:tc>
        <w:tc>
          <w:tcPr>
            <w:tcW w:w="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A9410" w14:textId="77777777" w:rsidR="00C877C4" w:rsidRDefault="00AF59D4">
            <w:r>
              <w:t>Held out</w:t>
            </w:r>
          </w:p>
        </w:tc>
      </w:tr>
    </w:tbl>
    <w:p w14:paraId="1FDEDF90" w14:textId="77777777" w:rsidR="00C877C4" w:rsidRDefault="00C877C4"/>
    <w:p w14:paraId="1FDEDF91" w14:textId="77777777" w:rsidR="00C877C4" w:rsidRDefault="00AF59D4">
      <w:pPr>
        <w:pStyle w:val="Heading3"/>
      </w:pPr>
      <w:bookmarkStart w:id="5" w:name="X82afd0ed7bddf5c71a0bcc5cc0d17afff2a7cfc"/>
      <w:bookmarkEnd w:id="5"/>
      <w:r>
        <w:t>Imputing what the ACS does not ask</w:t>
      </w:r>
    </w:p>
    <w:p w14:paraId="1FDEDF92" w14:textId="401CC39B" w:rsidR="00C877C4" w:rsidRDefault="00AF59D4">
      <w:r>
        <w:t xml:space="preserve">Then the </w:t>
      </w:r>
      <m:oMath>
        <m:r>
          <w:rPr>
            <w:rFonts w:ascii="Cambria Math" w:hAnsi="Cambria Math"/>
          </w:rPr>
          <m:t>m(.)</m:t>
        </m:r>
      </m:oMath>
      <w:r>
        <w:t xml:space="preserve"> function. The ACS asks about income in eight coarse buckets and lacks precisely the lines that drive tax liability at the top: realized capital gains entirely, the split of interest from dividends (both sit inside a combined investment-income bucket along with rent), tax-exempt interest, retirement contributions versus distributions, and all itemized-deduction detail. Even on what it does ask, ACS total income runs about seven percent below the CPS ASEC for comparable units. The donor is the IRS Public Use File, reached through The Budget Lab’s </w:t>
      </w:r>
      <w:r>
        <w:lastRenderedPageBreak/>
        <w:t xml:space="preserve">production microdata interface and available only on-server, with the CPS ASEC as the off-server fallback, which is markedly weaker in the top tail. The method recommendation from our review is quantile regression forests or a quantile hot-deck rather than predictive mean matching: PMM collapses conditional distributions, and the conditional distribution </w:t>
      </w:r>
      <w:r>
        <w:rPr>
          <w:i/>
          <w:iCs/>
        </w:rPr>
        <w:t>is</w:t>
      </w:r>
      <w:r>
        <w:t xml:space="preserve"> the object of interest for capital gains. Income must be the dominant shared conditioning variable; capital gains is the most assumption-laden step in the whole income pipeline and should be reported with sensitivity bands.</w:t>
      </w:r>
    </w:p>
    <w:p w14:paraId="1FDEDF93" w14:textId="77777777" w:rsidR="00C877C4" w:rsidRDefault="00C877C4"/>
    <w:p w14:paraId="1FDEDF94" w14:textId="77777777" w:rsidR="00C877C4" w:rsidRDefault="00AF59D4">
      <w:r>
        <w:t xml:space="preserve">Because imputation is a record-level conditional draw, the calibrated weights do not enter it. That is worth stating plainly, because it is the answer to a question the two-pass structure invites: weights matter for </w:t>
      </w:r>
      <w:r>
        <w:rPr>
          <w:i/>
          <w:iCs/>
        </w:rPr>
        <w:t>evaluating</w:t>
      </w:r>
      <w:r>
        <w:t xml:space="preserve"> whether an imputed aggregate hits its target, which is Pass B’s job, not for producing the imputed value itself.</w:t>
      </w:r>
    </w:p>
    <w:p w14:paraId="1FDEDF95" w14:textId="77777777" w:rsidR="00C877C4" w:rsidRDefault="00C877C4"/>
    <w:p w14:paraId="1FDEDF96" w14:textId="77777777" w:rsidR="00C877C4" w:rsidRDefault="00AF59D4">
      <w:pPr>
        <w:pStyle w:val="Heading3"/>
      </w:pPr>
      <w:r>
        <w:t>Taxes</w:t>
      </w:r>
    </w:p>
    <w:p w14:paraId="1FDEDF97" w14:textId="2A88D5CB" w:rsidR="00C877C4" w:rsidRDefault="00AF59D4">
      <w:r>
        <w:t xml:space="preserve">With values settled, the </w:t>
      </w:r>
      <m:oMath>
        <m:r>
          <w:rPr>
            <w:rFonts w:ascii="Cambria Math" w:hAnsi="Cambria Math"/>
          </w:rPr>
          <m:t>T(.)</m:t>
        </m:r>
      </m:oMath>
      <w:r>
        <w:t xml:space="preserve"> function. We do not build a tax calculator; we conform the file to the interface The Budget Lab’s tax simulator consumes and run it directly. The federal model is complete; the state individual-income-tax module currently has thirty states encoded and twenty-seven enabled and is growing, driven by per-state parameter files rather than per-state code, with local income taxes (New York City, Maryland counties, Ohio and Pennsylvania municipalities) deferred. Credit take-up is applied rather than statutory: IRS publishes </w:t>
      </w:r>
      <w:hyperlink r:id="rId32">
        <w:r>
          <w:rPr>
            <w:rStyle w:val="Hyperlink"/>
          </w:rPr>
          <w:t>EITC participation rates by state</w:t>
        </w:r>
      </w:hyperlink>
      <w:r>
        <w:t>, and we impose a demographic gradient within states rather than a flat state rate. Validation is three-way: against the benchmark Census tax amounts (which we expect to beat, not match), against a fresh TAXSIM sample, and against SOI aggregates.</w:t>
      </w:r>
    </w:p>
    <w:p w14:paraId="1FDEDF98" w14:textId="77777777" w:rsidR="00C877C4" w:rsidRDefault="00C877C4"/>
    <w:p w14:paraId="1FDEDF99" w14:textId="77777777" w:rsidR="00C877C4" w:rsidRDefault="00AF59D4">
      <w:r>
        <w:t>Every relevant tax concept — tax-unit and filing-status definitions, AGI and taxable-income construction, refundable credits, income- and payroll-tax treatment, tax-year timing, and simulator input and output variables — inherits Tax-Simulator’s versioned production definition and interface. This project introduces no parallel tax concept.</w:t>
      </w:r>
    </w:p>
    <w:p w14:paraId="1FDEDF9A" w14:textId="77777777" w:rsidR="00C877C4" w:rsidRDefault="00C877C4"/>
    <w:p w14:paraId="1FDEDF9B" w14:textId="77777777" w:rsidR="00C877C4" w:rsidRDefault="00AF59D4">
      <w:r>
        <w:t>One rule about the interface belongs here rather than in the cost documents. Y is computed from the baseline run of the tax simulator. Where a cost component needs the tax consequence of a stipulated expense — the childcare module’s dependent-care credit and flexible-spending offset are the live case — that consequence is a delta computed against the same baseline run, never a replacement liability. The component charges the gross expense and nets the delta; Y does not move. Without that rule a household would carry one tax amount in the numerator and a different one in the denominator, and the two would not be reconcilable.</w:t>
      </w:r>
    </w:p>
    <w:p w14:paraId="1FDEDF9C" w14:textId="77777777" w:rsidR="00C877C4" w:rsidRDefault="00C877C4"/>
    <w:p w14:paraId="1FDEDF9D" w14:textId="77777777" w:rsidR="00C877C4" w:rsidRDefault="00AF59D4">
      <w:pPr>
        <w:pStyle w:val="Heading3"/>
      </w:pPr>
      <w:bookmarkStart w:id="6" w:name="imputing-what-the-acs-does-not-ask"/>
      <w:bookmarkEnd w:id="6"/>
      <w:r>
        <w:t>Calibration B</w:t>
      </w:r>
    </w:p>
    <w:p w14:paraId="1FDEDF9E" w14:textId="77777777" w:rsidR="00C877C4" w:rsidRDefault="00AF59D4">
      <w:r>
        <w:t>Fifth in the pipeline, the second calibration pass. The first pass fitted the weights on everything the ACS could populate on its own. The second fits the margins that did not exist as evaluable quantities until the records carried imputed lines, and it rebins every record onto the adjusted gross income the tax calculation has now made real.</w:t>
      </w:r>
    </w:p>
    <w:p w14:paraId="1FDEDF9F" w14:textId="77777777" w:rsidR="00C877C4" w:rsidRDefault="00C877C4"/>
    <w:p w14:paraId="1FDEDFA0" w14:textId="77777777" w:rsidR="00C877C4" w:rsidRDefault="00AF59D4">
      <w:r>
        <w:rPr>
          <w:b/>
          <w:bCs/>
        </w:rPr>
        <w:lastRenderedPageBreak/>
        <w:t xml:space="preserve">What the second pass targets. </w:t>
      </w:r>
      <w:r>
        <w:t>Interest, dividends, capital gains and taxable Social Security — the series whose state-by-stub cells carry the second-pass role in the target file — together with the top AGI stubs, which only become reachable once dispersion above the ACS top-codes has been restored. None of these could be targeted earlier: before imputation there is nothing for a first-pass fit to aim at.</w:t>
      </w:r>
    </w:p>
    <w:p w14:paraId="1FDEDFA1" w14:textId="77777777" w:rsidR="00C877C4" w:rsidRDefault="00C877C4"/>
    <w:p w14:paraId="1FDEDFA2" w14:textId="77777777" w:rsidR="00C877C4" w:rsidRDefault="00AF59D4">
      <w:r>
        <w:rPr>
          <w:b/>
          <w:bCs/>
        </w:rPr>
        <w:t xml:space="preserve">Rebinning on true AGI. </w:t>
      </w:r>
      <w:r>
        <w:t>The first pass binned each record on a money-income proxy, because the ACS does not observe adjusted gross income. The second pass replaces that proxy with the computed AGI and re-assigns every record to its stub. This is what closes the circularity named under “Why two passes”, and it is also why one iteration back through the bin assignment is required after the top-tail repair: restoring dispersion moves records across the very stubs the first pass raked on.</w:t>
      </w:r>
    </w:p>
    <w:p w14:paraId="1FDEDFA3" w14:textId="77777777" w:rsidR="00C877C4" w:rsidRDefault="00C877C4"/>
    <w:p w14:paraId="1FDEDFA4" w14:textId="77777777" w:rsidR="00C877C4" w:rsidRDefault="00AF59D4">
      <w:r>
        <w:rPr>
          <w:b/>
          <w:bCs/>
        </w:rPr>
        <w:t xml:space="preserve">One pass, no outer loop. </w:t>
      </w:r>
      <w:r>
        <w:t>We do not iterate imputation and reweighting to convergence. No source we reviewed evaluates such a loop’s convergence properties, so we propose instrumenting it before adopting it, allowing at most a single iteration if the proxy-AGI and full-AGI cell assignments diverge materially.</w:t>
      </w:r>
    </w:p>
    <w:p w14:paraId="1FDEDFA5" w14:textId="77777777" w:rsidR="00C877C4" w:rsidRDefault="00C877C4"/>
    <w:p w14:paraId="1FDEDFA6" w14:textId="77777777" w:rsidR="00C877C4" w:rsidRDefault="00AF59D4">
      <w:r>
        <w:rPr>
          <w:b/>
          <w:bCs/>
        </w:rPr>
        <w:t xml:space="preserve">Held-out diagnostics. </w:t>
      </w:r>
      <w:r>
        <w:t>The reference-tagged series stay out of the calibration entirely — 3,927 of the target cells, including the EITC counts by number of qualifying children that the claiming overlay would later need. The person-level ACS-versus-IRS coverage checks, which do not depend on the tax-unit model at all, run before and after. Fit quality is judged on the held-out series, not on the targeted ones.</w:t>
      </w:r>
    </w:p>
    <w:p w14:paraId="1FDEDFA7" w14:textId="77777777" w:rsidR="00C877C4" w:rsidRDefault="00C877C4"/>
    <w:p w14:paraId="1FDEDFA8" w14:textId="77777777" w:rsidR="00C877C4" w:rsidRDefault="00AF59D4">
      <w:pPr>
        <w:pStyle w:val="Heading3"/>
      </w:pPr>
      <w:bookmarkStart w:id="7" w:name="taxes"/>
      <w:bookmarkStart w:id="8" w:name="calibration-to-irs-targets"/>
      <w:bookmarkEnd w:id="7"/>
      <w:bookmarkEnd w:id="8"/>
      <w:r>
        <w:t>Transfers and take-up</w:t>
      </w:r>
    </w:p>
    <w:p w14:paraId="7CB266C2" w14:textId="293F6107" w:rsidR="00065268" w:rsidRDefault="00AF59D4">
      <w:r>
        <w:t xml:space="preserve">Finally, the </w:t>
      </w:r>
      <m:oMath>
        <m:r>
          <w:rPr>
            <w:rFonts w:ascii="Cambria Math" w:hAnsi="Cambria Math"/>
          </w:rPr>
          <m:t>B(.)</m:t>
        </m:r>
      </m:oMath>
      <w:r>
        <w:t xml:space="preserve"> and </w:t>
      </w:r>
      <m:oMath>
        <m:r>
          <w:rPr>
            <w:rFonts w:ascii="Cambria Math" w:hAnsi="Cambria Math"/>
          </w:rPr>
          <m:t>τ(.)</m:t>
        </m:r>
      </m:oMath>
      <w:r>
        <w:t xml:space="preserve"> functions focus on the eligibility for and take-up of cash transfer programs like Social Security, SSI, TANF, and unemployment insurance. The first question is whether we model eligibility and benefit receipt directly or modify the observed receipt of these benefits</w:t>
      </w:r>
      <w:r>
        <w:t>.</w:t>
      </w:r>
      <w:r>
        <w:t xml:space="preserve"> The goal is the former option, allowing us to estimate the effect of changes in program generosity, but for the minimal viable product we will focus on the latter option, with a few potential exceptions.</w:t>
      </w:r>
    </w:p>
    <w:p w14:paraId="6D453E82" w14:textId="77777777" w:rsidR="00065268" w:rsidRDefault="00065268"/>
    <w:p w14:paraId="45200BCB" w14:textId="35E160D6" w:rsidR="00DA1C56" w:rsidRDefault="00065268">
      <w:r>
        <w:t xml:space="preserve">For this first stage, our estimation of benefit amounts is impacted by what information we observe in the ACS: for Social Security and SSI there are ACS variables, TANF is reported in a public-assistance variable but is subject to known under-reporting concerns, while unemployment insurance is bundled with other income, with no real way to separate it out in the ACS. We therefore propose the following approach. </w:t>
      </w:r>
    </w:p>
    <w:p w14:paraId="1A3EC4AE" w14:textId="77777777" w:rsidR="00982FB1" w:rsidRDefault="00982FB1"/>
    <w:p w14:paraId="7450C5A6" w14:textId="7F7A002A" w:rsidR="00DA1C56" w:rsidRDefault="00E64802" w:rsidP="00DA1C56">
      <w:pPr>
        <w:pStyle w:val="ListParagraph"/>
        <w:numPr>
          <w:ilvl w:val="0"/>
          <w:numId w:val="12"/>
        </w:numPr>
      </w:pPr>
      <w:r>
        <w:t xml:space="preserve">For </w:t>
      </w:r>
      <w:r>
        <w:t>Social Security</w:t>
      </w:r>
      <w:r>
        <w:t xml:space="preserve"> and SSI income, we begin with the observed income variables in the ACS and adjust the totals to match administrative targets. For this version, there is no take-up adjustment. </w:t>
      </w:r>
    </w:p>
    <w:p w14:paraId="3CD2987F" w14:textId="4150C7F8" w:rsidR="00F034C4" w:rsidRDefault="00C732F9" w:rsidP="00DA1C56">
      <w:pPr>
        <w:pStyle w:val="ListParagraph"/>
        <w:numPr>
          <w:ilvl w:val="0"/>
          <w:numId w:val="12"/>
        </w:numPr>
      </w:pPr>
      <w:r>
        <w:t xml:space="preserve">For TANF, we build a model based on eligibility rules and a take-up parameter, calibrated to HHS caseloads. </w:t>
      </w:r>
    </w:p>
    <w:p w14:paraId="317AE653" w14:textId="07C30461" w:rsidR="00C732F9" w:rsidRDefault="00C732F9" w:rsidP="00DA1C56">
      <w:pPr>
        <w:pStyle w:val="ListParagraph"/>
        <w:numPr>
          <w:ilvl w:val="0"/>
          <w:numId w:val="12"/>
        </w:numPr>
      </w:pPr>
      <w:r>
        <w:t>For UI, we impute benefits from the CPS ASEC, after adjusting that dataset for known under-reporting of UI benefits, following Larrimore, Mortenson, and Splinter (</w:t>
      </w:r>
      <w:hyperlink r:id="rId33" w:history="1">
        <w:r>
          <w:rPr>
            <w:rStyle w:val="Hyperlink"/>
          </w:rPr>
          <w:t>2022</w:t>
        </w:r>
      </w:hyperlink>
      <w:r>
        <w:t xml:space="preserve">). </w:t>
      </w:r>
    </w:p>
    <w:p w14:paraId="1FDEDFAA" w14:textId="77777777" w:rsidR="00C877C4" w:rsidRDefault="00C877C4"/>
    <w:p w14:paraId="74E75E1D" w14:textId="30D4BBD8" w:rsidR="000B7C4D" w:rsidRDefault="00AF59D4">
      <w:r>
        <w:t>In every program, the underreporting and take-up correction is a record-level participation and benefit imputation calibrated to administrative caseload and outlay totals. It never changes the household calibration weight. Program models may adjust receipt probabilities or amounts among eligible units, but the population weights remain the common income-file weights. This is a deliberate reversal of an earlier framing in which take-up was corrected by reweighting to administrative participation totals, and it follows directly from the measurement-versus-representation separation: a weight that has been bent to hit a SNAP caseload is no longer the weight that reproduces state population and HT2 returns, and the index needs one household weight, not one per program. The consequence sits outside this document — the Food memo’s SNAP deep dive currently justifies a reweighting approach on the grounds that it is “the same technique already used elsewhere in this project’s income pipeline,” and that premise is no longer true. Of the two families Food names, the approach here is closer to TRIM3 caseload alignment than to PolicyEngine-style reweighting.</w:t>
      </w:r>
      <w:r>
        <w:rPr>
          <w:rStyle w:val="FootnoteReference"/>
        </w:rPr>
        <w:footnoteReference w:id="12"/>
      </w:r>
      <w:r>
        <w:t xml:space="preserve"> </w:t>
      </w:r>
    </w:p>
    <w:p w14:paraId="3F83AB2F" w14:textId="77777777" w:rsidR="000B7C4D" w:rsidRDefault="000B7C4D"/>
    <w:p w14:paraId="1FDEDFAC" w14:textId="77777777" w:rsidR="00C877C4" w:rsidRDefault="00AF59D4">
      <w:pPr>
        <w:pStyle w:val="Heading3"/>
      </w:pPr>
      <w:bookmarkStart w:id="9" w:name="transfers-and-take-up"/>
      <w:bookmarkEnd w:id="9"/>
      <w:r>
        <w:t>Geography</w:t>
      </w:r>
    </w:p>
    <w:p w14:paraId="1FDEDFAD" w14:textId="1C528403" w:rsidR="00C877C4" w:rsidRDefault="006E15E4" w:rsidP="00CF1CCA">
      <w:r>
        <w:t xml:space="preserve">The most important geographic level for the income calculation is the state plus DC, which we observe directly in the ACS. However, there are some components of this analysis that may benefit from sub-state analysis (e.g. local income taxes, etc.…) but the calibration is not targeted at this level. This is different from the cost-side, which often creates cost schedules focused on the PUMA-level (e.g. housing). </w:t>
      </w:r>
    </w:p>
    <w:p w14:paraId="1FDEDFB0" w14:textId="77777777" w:rsidR="00C877C4" w:rsidRDefault="00AF59D4">
      <w:pPr>
        <w:pStyle w:val="Heading2"/>
      </w:pPr>
      <w:bookmarkStart w:id="10" w:name="geography"/>
      <w:bookmarkStart w:id="11" w:name="X2bd93aa16e77e7e2aeaa9afb5c000cf31a25715"/>
      <w:bookmarkStart w:id="12" w:name="data-in-hand"/>
      <w:bookmarkStart w:id="13" w:name="building-the-income-measure"/>
      <w:bookmarkEnd w:id="10"/>
      <w:bookmarkEnd w:id="11"/>
      <w:bookmarkEnd w:id="12"/>
      <w:bookmarkEnd w:id="13"/>
      <w:r>
        <w:t>Extensions</w:t>
      </w:r>
    </w:p>
    <w:p w14:paraId="1FDEDFB1" w14:textId="77777777" w:rsidR="00C877C4" w:rsidRDefault="00AF59D4">
      <w:pPr>
        <w:pStyle w:val="Heading3"/>
      </w:pPr>
      <w:r>
        <w:t>Local income taxes (rung 2a)</w:t>
      </w:r>
    </w:p>
    <w:p w14:paraId="1FDEDFB2" w14:textId="77777777" w:rsidR="00C877C4" w:rsidRDefault="00AF59D4">
      <w:r>
        <w:t>Statutory, geography-driven, and cheap for wage income: New York City, Maryland’s counties, and the Ohio and Pennsylvania municipal systems cover most of the dollars. The real work is not the rate schedules but the geography — mapping PUMAs to taxing jurisdictions, the same crosswalk problem the cost side faces, with the same expected-value answer where PUMAs straddle boundaries.</w:t>
      </w:r>
    </w:p>
    <w:p w14:paraId="1FDEDFB3" w14:textId="77777777" w:rsidR="00C877C4" w:rsidRDefault="00AF59D4">
      <w:pPr>
        <w:pStyle w:val="Heading3"/>
      </w:pPr>
      <w:bookmarkStart w:id="14" w:name="local-income-taxes-rung-2a"/>
      <w:bookmarkEnd w:id="14"/>
      <w:r>
        <w:t>The claiming overlay (rung 2b)</w:t>
      </w:r>
    </w:p>
    <w:p w14:paraId="1FDEDFB4" w14:textId="77777777" w:rsidR="00C877C4" w:rsidRDefault="00AF59D4">
      <w:r>
        <w:t>A toggleable adjustment for who claims whom, in a ladder of ascending machinery: within-household strategic reassignment of dependents (ships first), cell-level claiming-gap raking reusing the calibration stack, donor imputation, and ML bipartite assignment (research arc only). The design principle is fixed: claiming moves the EITC and CTC, never the person. Targets are the SOI dependent and EITC qualifying-child counts; the anchor for how much correction to expect is the 83 percent CTC agreement rate in linked data.</w:t>
      </w:r>
    </w:p>
    <w:p w14:paraId="1FDEDFB5" w14:textId="77777777" w:rsidR="00C877C4" w:rsidRDefault="00AF59D4">
      <w:pPr>
        <w:pStyle w:val="Heading3"/>
      </w:pPr>
      <w:bookmarkStart w:id="15" w:name="the-claiming-overlay-rung-2b"/>
      <w:bookmarkEnd w:id="15"/>
      <w:r>
        <w:t>Sub-annual income (rung 2c-adjacent)</w:t>
      </w:r>
    </w:p>
    <w:p w14:paraId="1FDEDFB6" w14:textId="77777777" w:rsidR="00C877C4" w:rsidRDefault="00AF59D4">
      <w:r>
        <w:lastRenderedPageBreak/>
        <w:t>Programs determine eligibility monthly; the ACS reports the past twelve months. Annualized income systematically misses households eligible for part of a year — a known undercount inherited by every eligibility model downstream, SNAP most of all. The upgrade is a SIPP-based within-year allocation of annual income, which is real machinery and belongs behind the MVP, but the interface (monthly income concepts per program) should be designed in from the start.</w:t>
      </w:r>
    </w:p>
    <w:p w14:paraId="1FDEDFB7" w14:textId="77777777" w:rsidR="00C877C4" w:rsidRDefault="00AF59D4">
      <w:pPr>
        <w:pStyle w:val="Heading3"/>
      </w:pPr>
      <w:bookmarkStart w:id="16" w:name="sub-annual-income-rung-2c-adjacent"/>
      <w:bookmarkEnd w:id="16"/>
      <w:r>
        <w:t>Behavioral endogeneity (rung 3)</w:t>
      </w:r>
    </w:p>
    <w:p w14:paraId="1FDEDFB8" w14:textId="77777777" w:rsidR="00C877C4" w:rsidRDefault="00AF59D4">
      <w:r>
        <w:t xml:space="preserve">Letting labor supply, and therefore market income and eligibility, respond to policy is Level 2 option 3 — the point where </w:t>
      </w:r>
      <m:oMath>
        <m:r>
          <w:rPr>
            <w:rFonts w:ascii="Cambria Math" w:hAnsi="Cambria Math"/>
          </w:rPr>
          <m:t>Y</m:t>
        </m:r>
      </m:oMath>
      <w:r>
        <w:t xml:space="preserve"> becomes endogenous while the bundle quantity, by construction, stays fixed. Requires elasticities and a labor supply module; noted so the interface is not designed away, not planned.</w:t>
      </w:r>
    </w:p>
    <w:p w14:paraId="1FDEDFB9" w14:textId="77777777" w:rsidR="00C877C4" w:rsidRDefault="00AF59D4">
      <w:pPr>
        <w:pStyle w:val="Heading2"/>
      </w:pPr>
      <w:bookmarkStart w:id="17" w:name="behavioral-endogeneity-rung-3"/>
      <w:bookmarkStart w:id="18" w:name="extensions"/>
      <w:bookmarkEnd w:id="17"/>
      <w:bookmarkEnd w:id="18"/>
      <w:r>
        <w:t>Smaller items</w:t>
      </w:r>
    </w:p>
    <w:p w14:paraId="1FDEDFBA" w14:textId="77777777" w:rsidR="00C877C4" w:rsidRDefault="00AF59D4">
      <w:pPr>
        <w:numPr>
          <w:ilvl w:val="0"/>
          <w:numId w:val="10"/>
        </w:numPr>
      </w:pPr>
      <w:r>
        <w:rPr>
          <w:b/>
          <w:bCs/>
        </w:rPr>
        <w:t>Replicate weights and variance.</w:t>
      </w:r>
      <w:r>
        <w:t xml:space="preserve"> The 2022 1-year extract spec carries the 80 successive-difference replicate weights; the re-pull is pending. Income uses that product’s replicate weights. Cost modules using ACS 5-year PUMS use the Census-provided five-year replicate weights and period interpretation; we will not synthesize pooled weights or variances. Multiple-imputation variance remains a separate layer, so point estimates may still precede fully combined standard errors, and that sequencing should be stated rather than hidden. One consequence is not yet handled. Calibrating the point weight without re-running the calibration on each of the eighty replicates leaves the replicate weights inconsistent with the calibrated file, so variances computed from them would ignore the effect of the raking. Either the calibration runs once per replicate, or the point estimates ship with that limitation stated rather than hidden.</w:t>
      </w:r>
    </w:p>
    <w:p w14:paraId="1FDEDFBB" w14:textId="77777777" w:rsidR="00C877C4" w:rsidRDefault="00AF59D4">
      <w:pPr>
        <w:numPr>
          <w:ilvl w:val="0"/>
          <w:numId w:val="4"/>
        </w:numPr>
      </w:pPr>
      <w:r>
        <w:rPr>
          <w:b/>
          <w:bCs/>
        </w:rPr>
        <w:t>Validate on composition.</w:t>
      </w:r>
      <w:r>
        <w:t xml:space="preserve"> NIPA totals and PUF aggregates are accuracy checks for levels, but the standing convention applies: a file can match totals with the wrong people in the wrong cells. The person-level ACS-versus-IRS coverage ratios and the held-out reference series are the composition tests.</w:t>
      </w:r>
    </w:p>
    <w:p w14:paraId="1FDEDFBC" w14:textId="4A7B507D" w:rsidR="00C877C4" w:rsidRDefault="00AF59D4">
      <w:pPr>
        <w:numPr>
          <w:ilvl w:val="0"/>
          <w:numId w:val="4"/>
        </w:numPr>
      </w:pPr>
      <w:r>
        <w:rPr>
          <w:b/>
          <w:bCs/>
        </w:rPr>
        <w:t>Dollars and vintages.</w:t>
      </w:r>
      <w:r>
        <w:t xml:space="preserve"> The analysis basis is 2024 dollars via the IRS-convention CPI, though whether that is CPI-U or C-CPI-U is still open in the decisions log; the calibration is nominal TY2022 aged forward. All growth factors and deflators come from one pinned projections snapshot, so the growth story is internally consistent and swappable in configuration, not buried in code.</w:t>
      </w:r>
    </w:p>
    <w:p w14:paraId="1FDEDFBD" w14:textId="77777777" w:rsidR="00C877C4" w:rsidRDefault="00AF59D4">
      <w:pPr>
        <w:numPr>
          <w:ilvl w:val="0"/>
          <w:numId w:val="4"/>
        </w:numPr>
      </w:pPr>
      <w:r>
        <w:rPr>
          <w:b/>
          <w:bCs/>
        </w:rPr>
        <w:t>The SNAP interface.</w:t>
      </w:r>
      <w:r>
        <w:t xml:space="preserve"> Each program needs its own income concept — SNAP gross and net, MAGI for Medicaid and the premium tax credit, countable income for SSI — and SNAP’s net income needs a shelter-deduction input this side must hand to the Food component. Whether that input is our normative housing line or ACS reported rent must be settled with Food and Housing before either module is coded.</w:t>
      </w:r>
    </w:p>
    <w:p w14:paraId="1FDEDFBE" w14:textId="77777777" w:rsidR="00C877C4" w:rsidRDefault="00AF59D4">
      <w:pPr>
        <w:numPr>
          <w:ilvl w:val="0"/>
          <w:numId w:val="4"/>
        </w:numPr>
      </w:pPr>
      <w:r>
        <w:rPr>
          <w:b/>
          <w:bCs/>
        </w:rPr>
        <w:t>Validate against outside budgets.</w:t>
      </w:r>
      <w:r>
        <w:t xml:space="preserve"> Once state income distributions exist, check them against ITEP’s model (the closest precedent: an IRS-plus-ACS spine with per-state weights), SOI and JCT distributional tables, and the Census state SPM resource distributions. Cheap, and it catches order-of-magnitude errors before anyone outside does.</w:t>
      </w:r>
    </w:p>
    <w:p w14:paraId="1FDEDFBF" w14:textId="77777777" w:rsidR="00C877C4" w:rsidRDefault="00AF59D4">
      <w:pPr>
        <w:pStyle w:val="Heading2"/>
      </w:pPr>
      <w:bookmarkStart w:id="19" w:name="smaller-items"/>
      <w:bookmarkEnd w:id="19"/>
      <w:r>
        <w:t>Open choices</w:t>
      </w:r>
    </w:p>
    <w:p w14:paraId="1FDEDFC0" w14:textId="77777777" w:rsidR="00C877C4" w:rsidRDefault="00AF59D4">
      <w:pPr>
        <w:numPr>
          <w:ilvl w:val="0"/>
          <w:numId w:val="1"/>
        </w:numPr>
      </w:pPr>
      <w:r>
        <w:rPr>
          <w:b/>
          <w:bCs/>
        </w:rPr>
        <w:lastRenderedPageBreak/>
        <w:t>Household-factor fit threshold.</w:t>
      </w:r>
      <w:r>
        <w:t xml:space="preserve"> The baseline is one calibration factor per household, with unit-level targets summed within household. The remaining choice is the prespecified fit tolerance and cell-collapse hierarchy that trigger the unit-factor fallback. Any fallback must still reproduce person and household population margins after collapse. A second choice now sits alongside it: having adopted the household weight as the base and thereby discarded the person weight’s demographic raking, which demographic margins do we target and which do we merely report? State by age is settled; state by age by sex, and state by race and ethnicity, depend on whether the state cells support them. The base-weight half of this is decision D13 in the project’s decisions log, recorded as provisional; the fit tolerance and the cell-collapse hierarchy remain genuinely open.</w:t>
      </w:r>
    </w:p>
    <w:p w14:paraId="1FDEDFC1" w14:textId="77777777" w:rsidR="00C877C4" w:rsidRDefault="00AF59D4">
      <w:pPr>
        <w:numPr>
          <w:ilvl w:val="0"/>
          <w:numId w:val="1"/>
        </w:numPr>
      </w:pPr>
      <w:r>
        <w:rPr>
          <w:b/>
          <w:bCs/>
        </w:rPr>
        <w:t>Top-tail repair.</w:t>
      </w:r>
      <w:r>
        <w:t xml:space="preserve"> Pareto replacement above the ACS top-codes with a shape fit from the Public Use File, versus collapsing the top two AGI stubs. I lean to Pareto on-server with stub-collapse as the documented off-server mode; either way the choice must be named, because it decides whether the top of the distribution is credible. Where the repair sits in the order is no longer open: it runs after the first raking pass and feeds the second, matching the project’s top-coding notes.</w:t>
      </w:r>
    </w:p>
    <w:p w14:paraId="1FDEDFC2" w14:textId="77777777" w:rsidR="00C877C4" w:rsidRDefault="00AF59D4">
      <w:pPr>
        <w:numPr>
          <w:ilvl w:val="0"/>
          <w:numId w:val="1"/>
        </w:numPr>
      </w:pPr>
      <w:r>
        <w:rPr>
          <w:b/>
          <w:bCs/>
        </w:rPr>
        <w:t>ACS bridge resolution.</w:t>
      </w:r>
      <w:r>
        <w:t xml:space="preserve"> Income production v1 uses the 2022 ACS 1-year PUMS; cost modules may use Census-produced 5-year PUMS. The remaining choice is the state-by-demographic cell resolution used to map cost schedules onto the income backbone. Choose it from support and out-of-sample fit, not by pooling microdata. Note also that the bridge is a join key rather than a cell average, so a schedule indexed on PUMA joins on PUMA; what the state-only targets mean is that sub-state estimates carry no calibration guarantee, not that sub-state inputs are disallowed.</w:t>
      </w:r>
    </w:p>
    <w:p w14:paraId="1FDEDFC3" w14:textId="77777777" w:rsidR="00C877C4" w:rsidRDefault="00AF59D4">
      <w:pPr>
        <w:numPr>
          <w:ilvl w:val="0"/>
          <w:numId w:val="1"/>
        </w:numPr>
      </w:pPr>
      <w:r>
        <w:rPr>
          <w:b/>
          <w:bCs/>
        </w:rPr>
        <w:t>Sub-threshold filer calibration.</w:t>
      </w:r>
      <w:r>
        <w:t xml:space="preserve"> Cilke constant by filing status and dependents only, or with a state gradient tied to EITC participation — the state-weights postmortem found state filing errors correlate strongly with EITC take-up, which argues for the gradient.</w:t>
      </w:r>
    </w:p>
    <w:p w14:paraId="1FDEDFC4" w14:textId="77777777" w:rsidR="00C877C4" w:rsidRDefault="00AF59D4">
      <w:pPr>
        <w:numPr>
          <w:ilvl w:val="0"/>
          <w:numId w:val="1"/>
        </w:numPr>
      </w:pPr>
      <w:r>
        <w:rPr>
          <w:b/>
          <w:bCs/>
        </w:rPr>
        <w:t>The above-threshold hazard.</w:t>
      </w:r>
      <w:r>
        <w:t xml:space="preserve"> Whether the calibrated non-filing hazard above the threshold varies by cell (filing status × age × self-employment presence) or enters as a single national scalar for v1. The cell version is better motivated by Publication 5785’s composition facts; the scalar is what we can defend if the state-level fit turns out to be driven by it.</w:t>
      </w:r>
    </w:p>
    <w:p w14:paraId="1FDEDFC5" w14:textId="77777777" w:rsidR="00C877C4" w:rsidRDefault="00AF59D4">
      <w:pPr>
        <w:numPr>
          <w:ilvl w:val="0"/>
          <w:numId w:val="1"/>
        </w:numPr>
      </w:pPr>
      <w:r>
        <w:rPr>
          <w:b/>
          <w:bCs/>
        </w:rPr>
        <w:t>CPS ASEC: donor or relationships only.</w:t>
      </w:r>
      <w:r>
        <w:t xml:space="preserve"> Settled in §“Data” by the observability rule: the Public Use File donates every line it observes, and the ASEC is used only where the return does not see a concept or sees only its taxable portion. What remains open is narrower and named in §“Repairing reported values” — which administrative aggregate governs the non-taxable remainder of retirement distributions, given that the ASEC is disqualified for that line specifically.</w:t>
      </w:r>
    </w:p>
    <w:p w14:paraId="1FDEDFC6" w14:textId="77777777" w:rsidR="00C877C4" w:rsidRDefault="00AF59D4">
      <w:pPr>
        <w:numPr>
          <w:ilvl w:val="0"/>
          <w:numId w:val="1"/>
        </w:numPr>
      </w:pPr>
      <w:r>
        <w:rPr>
          <w:b/>
          <w:bCs/>
        </w:rPr>
        <w:t>Assets.</w:t>
      </w:r>
      <w:r>
        <w:t xml:space="preserve"> The ACS has none, which blocks the SNAP asset test and the Pell Student Aid Index (education flags the same gap). SCF has no state; SIPP is thin by state. No source chosen; this stays open rather than pretending a default.</w:t>
      </w:r>
    </w:p>
    <w:p w14:paraId="1FDEDFC7" w14:textId="77777777" w:rsidR="00C877C4" w:rsidRDefault="00AF59D4">
      <w:pPr>
        <w:numPr>
          <w:ilvl w:val="0"/>
          <w:numId w:val="1"/>
        </w:numPr>
      </w:pPr>
      <w:r>
        <w:rPr>
          <w:b/>
          <w:bCs/>
        </w:rPr>
        <w:t>Student debt.</w:t>
      </w:r>
      <w:r>
        <w:t xml:space="preserve"> The outline commits to observed debt service; the ACS does not carry it, and SCF or CE imputation has no clean path onto the backbone. Open, and honestly hard.</w:t>
      </w:r>
    </w:p>
    <w:p w14:paraId="1FDEDFC8" w14:textId="77777777" w:rsidR="00C877C4" w:rsidRDefault="00AF59D4">
      <w:pPr>
        <w:numPr>
          <w:ilvl w:val="0"/>
          <w:numId w:val="1"/>
        </w:numPr>
      </w:pPr>
      <w:r>
        <w:rPr>
          <w:b/>
          <w:bCs/>
        </w:rPr>
        <w:t>The representative household.</w:t>
      </w:r>
      <w:r>
        <w:t xml:space="preserve"> Middle-quintile composite versus reporting the distribution. The phasing memo is right that a shared backbone collapses this into a </w:t>
      </w:r>
      <w:r>
        <w:lastRenderedPageBreak/>
        <w:t>presentation question; I lean to leading with the distribution and letting any composite be derived, never modeled.</w:t>
      </w:r>
    </w:p>
    <w:p w14:paraId="1FDEDFC9" w14:textId="77777777" w:rsidR="00C877C4" w:rsidRDefault="00AF59D4">
      <w:pPr>
        <w:numPr>
          <w:ilvl w:val="0"/>
          <w:numId w:val="1"/>
        </w:numPr>
      </w:pPr>
      <w:r>
        <w:rPr>
          <w:b/>
          <w:bCs/>
        </w:rPr>
        <w:t xml:space="preserve">The income concept and elective deferrals. </w:t>
      </w:r>
      <w:r>
        <w:t>If retirement saving is a stipulated cost in the bundle, consistency requires measuring income before employee elective contributions — but Y is built off an AGI-based file that is already net of them. For v1 we state the inconsistency rather than resolve it. The direction of travel is to add back elective deferrals only, and not the employee payroll tax, since the choice the retirement component models is how much to save rather than how much payroll tax to pay. SOI’s Form W-2 statistics on elective contributions by age, wage level and AGI supply the aggregate that would discipline the add-back.</w:t>
      </w:r>
    </w:p>
    <w:p w14:paraId="1FDEDFCA" w14:textId="77777777" w:rsidR="00C877C4" w:rsidRDefault="00AF59D4">
      <w:pPr>
        <w:pStyle w:val="Heading2"/>
      </w:pPr>
      <w:bookmarkStart w:id="20" w:name="open-choices"/>
      <w:bookmarkEnd w:id="20"/>
      <w:r>
        <w:t>Aligning the code: Tax-Simulator and Affordability-Index</w:t>
      </w:r>
    </w:p>
    <w:p w14:paraId="1FDEDFCB" w14:textId="1C10071C" w:rsidR="00C877C4" w:rsidRDefault="00AF59D4">
      <w:r>
        <w:t xml:space="preserve">Everything above is method; this section is where the code lives and how the two repositories that implement it should divide the work. Four codebases are involved. The income pipeline itself is </w:t>
      </w:r>
      <w:hyperlink r:id="rId34">
        <w:r>
          <w:rPr>
            <w:rStyle w:val="Hyperlink"/>
          </w:rPr>
          <w:t>Affordability-Index</w:t>
        </w:r>
      </w:hyperlink>
      <w:r>
        <w:t xml:space="preserve">. The tax models — and, on its </w:t>
      </w:r>
      <w:hyperlink r:id="rId35">
        <w:r>
          <w:rPr>
            <w:rStyle w:val="Hyperlink"/>
          </w:rPr>
          <w:t>state-tax</w:t>
        </w:r>
      </w:hyperlink>
      <w:r>
        <w:t xml:space="preserve"> branch, a parallel state-weights workstream — are in </w:t>
      </w:r>
      <w:hyperlink r:id="rId36">
        <w:r>
          <w:rPr>
            <w:rStyle w:val="Hyperlink"/>
          </w:rPr>
          <w:t>Tax-Simulator</w:t>
        </w:r>
      </w:hyperlink>
      <w:r>
        <w:t xml:space="preserve">. </w:t>
      </w:r>
      <w:hyperlink r:id="rId37">
        <w:r>
          <w:rPr>
            <w:rStyle w:val="Hyperlink"/>
          </w:rPr>
          <w:t>Tax-Data</w:t>
        </w:r>
      </w:hyperlink>
      <w:r>
        <w:t xml:space="preserve"> produces the PUF-based production microdata both consume, and IRS-Ind is the shared public mirror of the SOI geographic tabulations, HT2 included.</w:t>
      </w:r>
    </w:p>
    <w:p w14:paraId="0B71662D" w14:textId="77777777" w:rsidR="00032E49" w:rsidRDefault="00032E49"/>
    <w:p w14:paraId="1FDEDFCC" w14:textId="77777777" w:rsidR="00C877C4" w:rsidRDefault="00AF59D4">
      <w:r>
        <w:t xml:space="preserve">The central fact is that the two state models solve inverse problems. Tax-Simulator’s microdata (the PUF, via Tax-Data) has no state identifier, so its state-tax branch </w:t>
      </w:r>
      <w:r>
        <w:rPr>
          <w:i/>
          <w:iCs/>
        </w:rPr>
        <w:t>splits</w:t>
      </w:r>
      <w:r>
        <w:t xml:space="preserve"> each record’s national weight across the states, fitting the split to HT2 filer targets and ACS non-filer margins with a gradient engine. Our microdata has state on every record, so our reweighting step is </w:t>
      </w:r>
      <w:r>
        <w:rPr>
          <w:i/>
          <w:iCs/>
        </w:rPr>
        <w:t>calibration in place</w:t>
      </w:r>
      <w:r>
        <w:t>. “Reuse their code” therefore means reuse the machinery, not the architecture: the HT2 reader and target map, the AGI-stub logic, the filing-threshold rule, the person-level ACS-versus-IRS reconciliation diagnostics, and both fit engines transfer directly; the split-weight scaffolding does not. The alignment plan, in order:</w:t>
      </w:r>
    </w:p>
    <w:p w14:paraId="26EA1DA7" w14:textId="77777777" w:rsidR="006E2C5E" w:rsidRDefault="006E2C5E"/>
    <w:p w14:paraId="1FDEDFCD" w14:textId="5411A40C" w:rsidR="00C877C4" w:rsidRDefault="00AF59D4">
      <w:pPr>
        <w:numPr>
          <w:ilvl w:val="0"/>
          <w:numId w:val="11"/>
        </w:numPr>
      </w:pPr>
      <w:r>
        <w:rPr>
          <w:b/>
          <w:bCs/>
        </w:rPr>
        <w:t>One target store.</w:t>
      </w:r>
      <w:r>
        <w:t xml:space="preserve"> IRS-Ind remains the single source for HT2 and the other SOI geographic tables. Both repos read it; neither vendors copies. Affordability-Index’s state target file is already built from it with matching series names — keep it that way.</w:t>
      </w:r>
    </w:p>
    <w:p w14:paraId="1FDEDFCE" w14:textId="77777777" w:rsidR="00C877C4" w:rsidRDefault="00AF59D4">
      <w:pPr>
        <w:numPr>
          <w:ilvl w:val="0"/>
          <w:numId w:val="4"/>
        </w:numPr>
      </w:pPr>
      <w:r>
        <w:rPr>
          <w:b/>
          <w:bCs/>
        </w:rPr>
        <w:t>One set of definitions.</w:t>
      </w:r>
      <w:r>
        <w:t xml:space="preserve"> Adopt the state-weights workstream’s age bands, income tiers, and ten AGI stubs verbatim, along with its engine-agnostic target format (rows, state, variable, target, weight). This makes the two systems’ state margins interchangeable and means any future joint product needs no crosswalk.</w:t>
      </w:r>
    </w:p>
    <w:p w14:paraId="1FDEDFCF" w14:textId="77777777" w:rsidR="00C877C4" w:rsidRDefault="00AF59D4">
      <w:pPr>
        <w:numPr>
          <w:ilvl w:val="0"/>
          <w:numId w:val="4"/>
        </w:numPr>
      </w:pPr>
      <w:r>
        <w:rPr>
          <w:b/>
          <w:bCs/>
        </w:rPr>
        <w:t>Import the machinery; write only the wrapper.</w:t>
      </w:r>
      <w:r>
        <w:t xml:space="preserve"> Source the shared functions from Tax-Simulator rather than forking them — one definition per computation, because copies drift — and write only the thin calibrate-in-place wrapper Affordability-Index needs. If sourcing across repos proves awkward, the right fix is packaging the shared pieces (Tax-Data is their declared eventual home), not copy-paste. Carry over the hard-won implementation assertions as tests: the IPUMS income sentinel codes, the implied-decimal weight scaling, pooled-year de-duplication, and the exclusion of sign-mixed capital-gains cells from any raking target. That reuse is decision D10 and is still provisional; confirming it is the last decision blocking this phase, and the shared functions are written but not yet wired to HT2 and the ACS.</w:t>
      </w:r>
    </w:p>
    <w:p w14:paraId="1FDEDFD0" w14:textId="77777777" w:rsidR="00C877C4" w:rsidRDefault="00AF59D4">
      <w:pPr>
        <w:numPr>
          <w:ilvl w:val="0"/>
          <w:numId w:val="4"/>
        </w:numPr>
      </w:pPr>
      <w:r>
        <w:rPr>
          <w:b/>
          <w:bCs/>
        </w:rPr>
        <w:lastRenderedPageBreak/>
        <w:t>Adopt the same estimation principles.</w:t>
      </w:r>
      <w:r>
        <w:t xml:space="preserve"> Share normalization — express external targets as one’s own national totals redistributed by external state shares, so concept and vintage wedges between data sources cancel and only geography is estimated — and validation on held-out series rather than targeted fit. Where our national aggregates disagree with SOI’s (they will; survey versus administrative), decide explicitly which margins are levels and which are shares rather than letting the disagreement leak into state weights.</w:t>
      </w:r>
    </w:p>
    <w:p w14:paraId="1FDEDFD1" w14:textId="77777777" w:rsidR="00C877C4" w:rsidRDefault="00AF59D4">
      <w:pPr>
        <w:numPr>
          <w:ilvl w:val="0"/>
          <w:numId w:val="4"/>
        </w:numPr>
      </w:pPr>
      <w:r>
        <w:rPr>
          <w:b/>
          <w:bCs/>
        </w:rPr>
        <w:t>Contribute back what the ACS is good at.</w:t>
      </w:r>
      <w:r>
        <w:t xml:space="preserve"> The state-weights fits are excellent on what they target (under half a percent mean deviation) but demonstrably weak on held-out series that carry age and self-employment structure — taxable pensions and Social Security miss by 17 percent, Schedule C by 31, capital gains by 61 — because, as their own postmortem puts it, nothing in their target set carries demographic structure. An ACS-native file is strong precisely there, and ACS demographic target expansion is their top-ranked improvement. Our state-by-demographic margins become their new targets, and our upgraded filing model — the age-65 addition, the calibrated sub-threshold probit, and the above-threshold hazard — replaces the v0 filing rule their ACS margins currently rest on.</w:t>
      </w:r>
    </w:p>
    <w:p w14:paraId="1FDEDFD2" w14:textId="77777777" w:rsidR="00C877C4" w:rsidRDefault="00AF59D4">
      <w:pPr>
        <w:numPr>
          <w:ilvl w:val="0"/>
          <w:numId w:val="4"/>
        </w:numPr>
      </w:pPr>
      <w:r>
        <w:rPr>
          <w:b/>
          <w:bCs/>
        </w:rPr>
        <w:t>Cross-validate the two state pictures.</w:t>
      </w:r>
      <w:r>
        <w:t xml:space="preserve"> Their PUF-side weights give an independent state income distribution that is strong exactly where ours is weak (the administrative top tail) and weak where ours is strong (demographic structure). A standing comparison of state AGI distributions between the two systems is cheap and should run on every vintage of either.</w:t>
      </w:r>
    </w:p>
    <w:p w14:paraId="1FDEDFD3" w14:textId="77777777" w:rsidR="00C877C4" w:rsidRDefault="00AF59D4">
      <w:pPr>
        <w:numPr>
          <w:ilvl w:val="0"/>
          <w:numId w:val="4"/>
        </w:numPr>
      </w:pPr>
      <w:r>
        <w:rPr>
          <w:b/>
          <w:bCs/>
        </w:rPr>
        <w:t>Pin the interface.</w:t>
      </w:r>
      <w:r>
        <w:t xml:space="preserve"> Our imputed file conforms to the Tax-Data v1 microdata contract, so Tax-Simulator runs on it unmodified; pin the versions of both repos when that bridge lands, and bump them deliberately.</w:t>
      </w:r>
    </w:p>
    <w:p w14:paraId="1FDEDFD4" w14:textId="77777777" w:rsidR="00C877C4" w:rsidRDefault="00AF59D4">
      <w:r>
        <w:t>Sequencing: items 1–3 are near-term and unblock our reweighting step; item 4 is adopted during the build; items 5–7 become possible once our calibrated file exists, and item 5 is the one that pays the alignment back in both directions.</w:t>
      </w:r>
    </w:p>
    <w:p w14:paraId="6FFD7B5B" w14:textId="77777777" w:rsidR="00C877C4" w:rsidRDefault="00AF59D4">
      <w:r>
        <w:t>Source-verification notes for this memo — which claims have been checked against primary sources and which remain unverified — are kept in the companion note “Income — verification notes” in the Plans folder.</w:t>
      </w:r>
    </w:p>
    <w:p w14:paraId="1FDEDFDC" w14:textId="77777777" w:rsidR="00C877C4" w:rsidRDefault="00AF59D4">
      <w:bookmarkStart w:id="21" w:name="X12b396b65a0e1763a8e1e2e48a0f86f86173aa1"/>
      <w:bookmarkEnd w:id="21"/>
      <w:r>
        <w:br w:type="page"/>
      </w:r>
    </w:p>
    <w:p w14:paraId="1FDEDFDD" w14:textId="77777777" w:rsidR="00C877C4" w:rsidRDefault="00AF59D4">
      <w:pPr>
        <w:pStyle w:val="Heading2"/>
        <w:spacing w:before="0"/>
      </w:pPr>
      <w:r>
        <w:lastRenderedPageBreak/>
        <w:t xml:space="preserve">Appendix 1: Cilke (1998) </w:t>
      </w:r>
    </w:p>
    <w:p w14:paraId="1FDEDFDE" w14:textId="77777777" w:rsidR="00C877C4" w:rsidRDefault="00C877C4"/>
    <w:p w14:paraId="1FDEDFDF" w14:textId="77777777" w:rsidR="00C877C4" w:rsidRDefault="00AF59D4">
      <w:r>
        <w:t xml:space="preserve">Cilke uses the 1990 CPS–IRS Exact Match file and restricts the estimation universe to persons whose income falls </w:t>
      </w:r>
      <w:r>
        <w:rPr>
          <w:b/>
          <w:bCs/>
        </w:rPr>
        <w:t>below</w:t>
      </w:r>
      <w:r>
        <w:t xml:space="preserve"> the filing threshold. The dependent variable is an indicator for filing. Rather than one pooled equation, he estimates nine separate but identically specified probits, one for each of nine mutually exclusive person types: unmarried dependents; unmarried with no children, under 62 and 62-or-over; married with no children, under 62 and 62-or-over; married with children, under 62 and 62-or-over; and unmarried with children, under 62 and 62-or-over. For married couples the equation is estimated on one spouse only, so that the couple gets one prediction rather than two.</w:t>
      </w:r>
    </w:p>
    <w:p w14:paraId="1FDEDFE0" w14:textId="77777777" w:rsidR="00C877C4" w:rsidRDefault="00C877C4"/>
    <w:p w14:paraId="1FDEDFE1" w14:textId="77777777" w:rsidR="00C877C4" w:rsidRDefault="00AF59D4">
      <w:r>
        <w:t xml:space="preserve">Almost every regressor is a dummy: gender, education, household-head status, race and Hispanic origin, type of living quarters, main activity last week (in the labor force, keeping house or in school, unable to work, retired, other), presence of earned income, presence of unearned income, presence of taxable transfers, and presence of each of public housing assistance, food stamps, Social Security, SSI, AFDC-type public assistance, and other non-taxable transfers. There is exactly one continuous regressor: </w:t>
      </w:r>
      <w:r>
        <w:rPr>
          <w:b/>
          <w:bCs/>
        </w:rPr>
        <w:t>AGI as a share of the filing threshold</w:t>
      </w:r>
      <w:r>
        <w:t>. Classification is done not at a 50 percent cutoff but against each group’s own observed non-filing rate — 64.8 percent for dependents, 36.1 percent for married-with-children under 62, 55.5 percent across all sub-threshold persons — which is what makes the group-specific constant the natural calibration handle. The equations classify correctly 76 percent of the time and reproduce the sample non-filer count closely (12,973 predicted against 13,725 actual).</w:t>
      </w:r>
    </w:p>
    <w:p w14:paraId="1FDEDFE2" w14:textId="77777777" w:rsidR="00C877C4" w:rsidRDefault="00C877C4"/>
    <w:p w14:paraId="1FDEDFE3" w14:textId="77777777" w:rsidR="00C877C4" w:rsidRDefault="00AF59D4">
      <w:r>
        <w:t xml:space="preserve">Most of that specification survives translation to the ACS. Gender, education, household-head status, race and Hispanic origin, presence of earned and unearned income, Social Security, SSI, public assistance, food stamps, and AGI-over-threshold all have direct ACS analogues; main activity maps approximately onto employment status; type of living quarters maps only partially. </w:t>
      </w:r>
    </w:p>
    <w:p w14:paraId="1FDEDFE4" w14:textId="77777777" w:rsidR="00C877C4" w:rsidRDefault="00C877C4"/>
    <w:p w14:paraId="1FDEDFE5" w14:textId="77777777" w:rsidR="00C877C4" w:rsidRDefault="00AF59D4">
      <w:r>
        <w:t>The one genuine loss is the taxable-transfer indicator, which the ACS buries inside aggregate other income — the same problem that makes UI hard on the transfer side. Re-estimation is not available to us: there is no modern public exact-match file, so the honest move is to port the specification and calibrate its group-specific constants rather than pretend to fresh coefficients. We propose calibrating those constants by filing status and number of dependents so that state return counts hit the SOI totals.</w:t>
      </w:r>
    </w:p>
    <w:p w14:paraId="1FDEDFE6" w14:textId="77777777" w:rsidR="00C877C4" w:rsidRDefault="00C877C4"/>
    <w:p w14:paraId="1FDEDFE7" w14:textId="77777777" w:rsidR="00C877C4" w:rsidRDefault="00AF59D4">
      <w:pPr>
        <w:pStyle w:val="Heading2"/>
      </w:pPr>
      <w:r>
        <w:t>Appendix 2: the filing margin in other microsimulations</w:t>
      </w:r>
    </w:p>
    <w:p w14:paraId="1FDEDFE8" w14:textId="77777777" w:rsidR="00C877C4" w:rsidRDefault="00C877C4"/>
    <w:p w14:paraId="1FDEDFE9" w14:textId="77777777" w:rsidR="00C877C4" w:rsidRDefault="00AF59D4">
      <w:r>
        <w:t>No two models treat the filing decision the same way, and the differences matter more for state-level work than for national work, because the non-filing population is distributed very unevenly across states.</w:t>
      </w:r>
    </w:p>
    <w:p w14:paraId="1FDEDFEA" w14:textId="77777777" w:rsidR="00C877C4" w:rsidRDefault="00C877C4"/>
    <w:p w14:paraId="1FDEDFEB" w14:textId="77777777" w:rsidR="00C877C4" w:rsidRDefault="00AF59D4">
      <w:r>
        <w:rPr>
          <w:b/>
          <w:bCs/>
        </w:rPr>
        <w:t xml:space="preserve">Tax Policy Center. </w:t>
      </w:r>
      <w:r>
        <w:t>Builds tax units from the CPS ASEC, matches them statistically to the Public Use File, and models filing below the threshold. For state detail it imputes non-filer behaviour from the coefficients of filers in the lowest AGI range. That imputation is the documented fallback this memo would use if the direct non-filer margins prove too thin.</w:t>
      </w:r>
    </w:p>
    <w:p w14:paraId="1FDEDFEC" w14:textId="77777777" w:rsidR="00C877C4" w:rsidRDefault="00C877C4"/>
    <w:p w14:paraId="1FDEDFED" w14:textId="77777777" w:rsidR="00C877C4" w:rsidRDefault="00AF59D4">
      <w:r>
        <w:rPr>
          <w:b/>
          <w:bCs/>
        </w:rPr>
        <w:t xml:space="preserve">Congressional Budget Office. </w:t>
      </w:r>
      <w:r>
        <w:t>Separates changes to record values from changes to population weights, and aligns to administrative totals rather than modelling participation behaviourally. Its projection and alignment methods paper is the reference for the distinction this memo draws between measurement and representation.</w:t>
      </w:r>
    </w:p>
    <w:p w14:paraId="1FDEDFEE" w14:textId="77777777" w:rsidR="00C877C4" w:rsidRDefault="00C877C4"/>
    <w:p w14:paraId="1FDEDFEF" w14:textId="77777777" w:rsidR="00C877C4" w:rsidRDefault="00AF59D4">
      <w:r>
        <w:rPr>
          <w:b/>
          <w:bCs/>
        </w:rPr>
        <w:t xml:space="preserve">Joint Committee on Taxation. </w:t>
      </w:r>
      <w:r>
        <w:t>Works from an administrative return sample and therefore begins inside the filing universe; non-filers enter through supplementary imputation rather than through a filing model. That is the opposite endowment from ours, and it is why their approach does not transfer directly.</w:t>
      </w:r>
    </w:p>
    <w:p w14:paraId="1FDEDFF0" w14:textId="77777777" w:rsidR="00C877C4" w:rsidRDefault="00C877C4"/>
    <w:p w14:paraId="1FDEDFF1" w14:textId="77777777" w:rsidR="00C877C4" w:rsidRDefault="00AF59D4">
      <w:r>
        <w:rPr>
          <w:b/>
          <w:bCs/>
        </w:rPr>
        <w:t xml:space="preserve">PolicyEngine. </w:t>
      </w:r>
      <w:r>
        <w:t>Its Enhanced CPS imputes tax detail onto survey records with quantile regression forests and then optimizes household weights against administrative targets. This is the closest open-source analogue to the pipeline described here, and also the reason its performance claims should be read as developer-documented rather than independently validated.</w:t>
      </w:r>
    </w:p>
    <w:p w14:paraId="1FDEDFF2" w14:textId="77777777" w:rsidR="00C877C4" w:rsidRDefault="00C877C4"/>
    <w:p w14:paraId="1FDEDFF3" w14:textId="77777777" w:rsidR="00C877C4" w:rsidRDefault="00AF59D4">
      <w:r>
        <w:rPr>
          <w:b/>
          <w:bCs/>
        </w:rPr>
        <w:t xml:space="preserve">Piketty, Saez and Zucman. </w:t>
      </w:r>
      <w:r>
        <w:t>Construct a full-population distribution by adding imputed non-filers to the administrative return universe, with national totals taken from the national accounts. The Budget Lab’s own production microdata already uses that file to impute non-filers, which makes the approach precedent for us rather than an alternative to us.</w:t>
      </w:r>
    </w:p>
    <w:p w14:paraId="1FDEDFF4" w14:textId="77777777" w:rsidR="00C877C4" w:rsidRDefault="00C877C4"/>
    <w:p w14:paraId="1FDEDFF5" w14:textId="77777777" w:rsidR="00C877C4" w:rsidRDefault="00AF59D4">
      <w:r>
        <w:rPr>
          <w:b/>
          <w:bCs/>
        </w:rPr>
        <w:t xml:space="preserve">Cilke. </w:t>
      </w:r>
      <w:r>
        <w:t>The sub-threshold filing probit set out in Appendix 1 remains the only published specification estimated on linked survey-and-return microdata. That is why this memo ports its structure and calibrates its group-specific constants rather than claiming fresh coefficients.</w:t>
      </w:r>
    </w:p>
    <w:sectPr w:rsidR="00C877C4">
      <w:footerReference w:type="even" r:id="rId38"/>
      <w:footerReference w:type="default" r:id="rId39"/>
      <w:footerReference w:type="first" r:id="rId40"/>
      <w:pgSz w:w="12240" w:h="15840"/>
      <w:pgMar w:top="1440" w:right="1440" w:bottom="1440" w:left="1440" w:header="0"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selin, John" w:date="2026-08-15T14:02:00Z" w:initials="JI">
    <w:p w14:paraId="1FDEDFF6" w14:textId="77777777" w:rsidR="00C877C4" w:rsidRDefault="00AF59D4">
      <w:pPr>
        <w:overflowPunct w:val="0"/>
      </w:pPr>
      <w:r>
        <w:annotationRef/>
      </w:r>
      <w:r>
        <w:rPr>
          <w:rFonts w:ascii="Liberation Serif" w:eastAsia="Segoe UI" w:hAnsi="Liberation Serif" w:cs="Tahoma"/>
          <w:lang w:bidi="en-US"/>
        </w:rPr>
        <w:t>Note: this is vague at the moment, and deserves a bit more thought. Two questions: what sort of projections do we intend to do, and what values will we have to 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DEDFF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DEDFF6" w16cid:durableId="1FDEDF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20F89" w14:textId="77777777" w:rsidR="00217F9F" w:rsidRDefault="00217F9F">
      <w:r>
        <w:separator/>
      </w:r>
    </w:p>
  </w:endnote>
  <w:endnote w:type="continuationSeparator" w:id="0">
    <w:p w14:paraId="297540B1" w14:textId="77777777" w:rsidR="00217F9F" w:rsidRDefault="00217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iberation Serif">
    <w:altName w:val="Times New Roman"/>
    <w:panose1 w:val="02020603050405020304"/>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DFF9" w14:textId="77777777" w:rsidR="00C877C4" w:rsidRDefault="00C87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10709"/>
      <w:docPartObj>
        <w:docPartGallery w:val="Page Numbers (Bottom of Page)"/>
        <w:docPartUnique/>
      </w:docPartObj>
    </w:sdtPr>
    <w:sdtContent>
      <w:p w14:paraId="1FDEDFFA" w14:textId="77777777" w:rsidR="00C877C4" w:rsidRDefault="00AF59D4">
        <w:pPr>
          <w:pStyle w:val="Footer"/>
          <w:jc w:val="right"/>
        </w:pPr>
        <w:r>
          <w:fldChar w:fldCharType="begin"/>
        </w:r>
        <w:r>
          <w:instrText xml:space="preserve"> PAGE </w:instrText>
        </w:r>
        <w:r>
          <w:fldChar w:fldCharType="separate"/>
        </w:r>
        <w:r>
          <w:t>20</w:t>
        </w:r>
        <w:r>
          <w:fldChar w:fldCharType="end"/>
        </w:r>
      </w:p>
    </w:sdtContent>
  </w:sdt>
  <w:p w14:paraId="1FDEDFFB" w14:textId="77777777" w:rsidR="00C877C4" w:rsidRDefault="00C877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885189"/>
      <w:docPartObj>
        <w:docPartGallery w:val="Page Numbers (Bottom of Page)"/>
        <w:docPartUnique/>
      </w:docPartObj>
    </w:sdtPr>
    <w:sdtContent>
      <w:p w14:paraId="1FDEDFFC" w14:textId="77777777" w:rsidR="00C877C4" w:rsidRDefault="00AF59D4">
        <w:pPr>
          <w:pStyle w:val="Footer"/>
          <w:jc w:val="right"/>
        </w:pPr>
        <w:r>
          <w:fldChar w:fldCharType="begin"/>
        </w:r>
        <w:r>
          <w:instrText xml:space="preserve"> PAGE </w:instrText>
        </w:r>
        <w:r>
          <w:fldChar w:fldCharType="separate"/>
        </w:r>
        <w:r>
          <w:t>20</w:t>
        </w:r>
        <w:r>
          <w:fldChar w:fldCharType="end"/>
        </w:r>
      </w:p>
    </w:sdtContent>
  </w:sdt>
  <w:p w14:paraId="1FDEDFFD" w14:textId="77777777" w:rsidR="00C877C4" w:rsidRDefault="00C87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E2A91" w14:textId="77777777" w:rsidR="00217F9F" w:rsidRDefault="00217F9F">
      <w:r>
        <w:separator/>
      </w:r>
    </w:p>
  </w:footnote>
  <w:footnote w:type="continuationSeparator" w:id="0">
    <w:p w14:paraId="79BD811E" w14:textId="77777777" w:rsidR="00217F9F" w:rsidRDefault="00217F9F">
      <w:r>
        <w:continuationSeparator/>
      </w:r>
    </w:p>
  </w:footnote>
  <w:footnote w:id="1">
    <w:p w14:paraId="1FDEDFFE" w14:textId="76128C99" w:rsidR="00C877C4" w:rsidRDefault="00AF59D4">
      <w:pPr>
        <w:pStyle w:val="FootnoteText"/>
      </w:pPr>
      <w:r>
        <w:rPr>
          <w:rStyle w:val="FootnoteCharacters"/>
        </w:rPr>
        <w:footnoteRef/>
      </w:r>
      <w:r>
        <w:t xml:space="preserve"> The initial version of this index will focus on tax year 2022, with two time-based extensions. Extending the panel back to 2017 is relatively straightforward, given that we observe both ACS and tax data in both years (though the 2020 ACS </w:t>
      </w:r>
      <w:r>
        <w:t>has</w:t>
      </w:r>
      <w:r>
        <w:t xml:space="preserve"> a number of COVID-era issues that are worth investigating</w:t>
      </w:r>
      <w:r>
        <w:t>)</w:t>
      </w:r>
      <w:r>
        <w:t>. Extending the panel forward requires two stages: through 2024 we have ACS data without IRS state-by-income targets, so we will have to project forward only the latter, while after 2024 we will have to age the 2024 ACS data. Three hazards are worth recording now, because they bound how far back the panel can credibly go: the 2018 change in tax law breaks comparability in the middle of the window, 2020 and 2021 incomes are distorted by the pandemic and its transfers, and there is no standard one-year ACS file for 2020 at all.</w:t>
      </w:r>
    </w:p>
  </w:footnote>
  <w:footnote w:id="2">
    <w:p w14:paraId="1FDEDFFF" w14:textId="77777777" w:rsidR="00C877C4" w:rsidRDefault="00AF59D4">
      <w:pPr>
        <w:pStyle w:val="FootnoteText"/>
      </w:pPr>
      <w:r>
        <w:rPr>
          <w:rStyle w:val="FootnoteCharacters"/>
        </w:rPr>
        <w:footnoteRef/>
      </w:r>
      <w:r>
        <w:t xml:space="preserve"> The SPM subtracts three things from its resource measure that we do not: medical out-of-pocket spending, childcare, and work expenses, because its thresholds exclude those needs. We estimate the costs of two of these directly (childcare and out-of-pocket medical spending), while work-expenses are implicit in others (e.g. transportation). </w:t>
      </w:r>
    </w:p>
  </w:footnote>
  <w:footnote w:id="3">
    <w:p w14:paraId="1FDEE000" w14:textId="77777777" w:rsidR="00C877C4" w:rsidRDefault="00AF59D4">
      <w:pPr>
        <w:pStyle w:val="FootnoteText"/>
      </w:pPr>
      <w:r>
        <w:rPr>
          <w:rStyle w:val="FootnoteCharacters"/>
        </w:rPr>
        <w:footnoteRef/>
      </w:r>
      <w:r>
        <w:t xml:space="preserve"> IRS Publication 5785 (Hertz, Langetieg, Payne and Plumley, 2022) estimates the non-filing tax gap by linking CPS ASEC records at the person level to comprehensive IRS return and information-return data. They find that during the 2014-2016 period, over 10 million tax units were both over the filing threshold and did not file an on-time return. </w:t>
      </w:r>
    </w:p>
  </w:footnote>
  <w:footnote w:id="4">
    <w:p w14:paraId="1FDEE001" w14:textId="77777777" w:rsidR="00C877C4" w:rsidRDefault="00AF59D4">
      <w:pPr>
        <w:pStyle w:val="FootnoteText"/>
      </w:pPr>
      <w:r>
        <w:rPr>
          <w:rStyle w:val="FootnoteCharacters"/>
        </w:rPr>
        <w:footnoteRef/>
      </w:r>
      <w:r>
        <w:t xml:space="preserve"> Three alternatives were considered and rejected on arithmetic rather than taste. Summing person weights within a tax unit produces a count of people, not a count of units, and would overstate returns by roughly the average unit size. Dividing a household&amp;#x2019;s weight among its units conserves households but not returns — a household containing three tax units would contribute one return where the administrative universe counts three — and it makes unit-level aggregates depend on the splitting rule, so changing the tax-unit definition would move measured dollars through the weights rather than through the tax units. Taking the primary filer&amp;#x2019;s person weight is a reasonable diagnostic for return counts but gives members of one household different weights, which the index cannot use.</w:t>
      </w:r>
    </w:p>
  </w:footnote>
  <w:footnote w:id="5">
    <w:p w14:paraId="1FDEE002" w14:textId="77777777" w:rsidR="00C877C4" w:rsidRDefault="00AF59D4">
      <w:pPr>
        <w:pStyle w:val="FootnoteText"/>
      </w:pPr>
      <w:r>
        <w:rPr>
          <w:rStyle w:val="FootnoteCharacters"/>
        </w:rPr>
        <w:footnoteRef/>
      </w:r>
      <w:r>
        <w:t xml:space="preserve"> Jean-Claude Deville and Carl-Erik Särndal, “Calibration Estimators in Survey Sampling,” </w:t>
      </w:r>
      <w:r>
        <w:rPr>
          <w:i/>
          <w:iCs/>
        </w:rPr>
        <w:t>Journal of the American Statistical Association</w:t>
      </w:r>
      <w:r>
        <w:t xml:space="preserve"> 87 (1992), https://doi.org/10.1080/01621459.1992.10475217; INSEE, “Calibration Techniques,” https://www.insee.fr/en/statistiques/fichier/5398341/5-calibration-methods.pdf; Eurostat, German EU-SILC quality report, weighting methods; Congressional Budget Office, “Projection and Alignment Methods for Static Microsimulation Models” (2016); and PolicyEngine, “Enhanced CPS Full Launch” (2025).</w:t>
      </w:r>
    </w:p>
  </w:footnote>
  <w:footnote w:id="6">
    <w:p w14:paraId="1FDEE003" w14:textId="77777777" w:rsidR="00C877C4" w:rsidRDefault="00AF59D4">
      <w:pPr>
        <w:pStyle w:val="FootnoteText"/>
      </w:pPr>
      <w:r>
        <w:rPr>
          <w:rStyle w:val="FootnoteCharacters"/>
        </w:rPr>
        <w:footnoteRef/>
      </w:r>
      <w:r>
        <w:t xml:space="preserve"> The Census Bureau defines the ACS 1-year and 5-year products as distinct period estimates. The five-year product pools, weights, and processes 60 months of responses as one product; it is not an average of five one-year estimates. Census guidance also advises comparing one-year estimates with one-year estimates and five-year estimates with five-year estimates. See https://www.census.gov/newsroom/blogs/random-samplings/2022/03/period-estimates-american-community-survey.html and https://www.census.gov/programs-surveys/acs/guidance/comparing-acs-data.html.</w:t>
      </w:r>
    </w:p>
  </w:footnote>
  <w:footnote w:id="7">
    <w:p w14:paraId="1FDEE004" w14:textId="77777777" w:rsidR="00C877C4" w:rsidRDefault="00AF59D4">
      <w:pPr>
        <w:pStyle w:val="FootnoteText"/>
      </w:pPr>
      <w:r>
        <w:rPr>
          <w:rStyle w:val="FootnoteCharacters"/>
        </w:rPr>
        <w:footnoteRef/>
      </w:r>
      <w:r>
        <w:t xml:space="preserve"> HT2 omits the married-filing-separately count; it and dependents are recovered as residuals from the published totals (</w:t>
      </w:r>
      <m:oMath>
        <m:r>
          <w:rPr>
            <w:rFonts w:ascii="Cambria Math" w:hAnsi="Cambria Math"/>
          </w:rPr>
          <m:t>N1</m:t>
        </m:r>
      </m:oMath>
      <w:r>
        <w:t xml:space="preserve"> = returns, </w:t>
      </w:r>
      <m:oMath>
        <m:r>
          <w:rPr>
            <w:rFonts w:ascii="Cambria Math" w:hAnsi="Cambria Math"/>
          </w:rPr>
          <m:t>N2</m:t>
        </m:r>
      </m:oMath>
      <w:r>
        <w:t xml:space="preserve"> = individuals, </w:t>
      </w:r>
      <m:oMath>
        <m:r>
          <w:rPr>
            <w:rFonts w:ascii="Cambria Math" w:hAnsi="Cambria Math"/>
          </w:rPr>
          <m:t>MARS</m:t>
        </m:r>
        <m:r>
          <m:rPr>
            <m:lit/>
            <m:nor/>
          </m:rPr>
          <m:t>*</m:t>
        </m:r>
      </m:oMath>
      <w:r>
        <w:t xml:space="preserve"> = returns by filing status). At TY2022 the residuals give 4.05 million MFS returns (about 2.5 percent of all returns) and 79.3 million claimed dependents, verified against the US row. Strictly, the filing-status residual is MFS plus qualifying-surviving-spouse returns, since HT2 publishes neither; QSS is small enough that the 4.05 million figure stands, but the residual should be labelled for what it is.</w:t>
      </w:r>
    </w:p>
  </w:footnote>
  <w:footnote w:id="8">
    <w:p w14:paraId="1FDEE005" w14:textId="77777777" w:rsidR="00C877C4" w:rsidRDefault="00AF59D4">
      <w:pPr>
        <w:pStyle w:val="FootnoteText"/>
      </w:pPr>
      <w:r>
        <w:rPr>
          <w:rStyle w:val="FootnoteCharacters"/>
        </w:rPr>
        <w:footnoteRef/>
      </w:r>
      <w:r>
        <w:t xml:space="preserve"> Treat the population-minus-filers residual as a diagnostic or soft margin, not an exact count. IRS return state can differ from residence; filing-status categories do not map perfectly to ACS marital status; claimed dependents can be adults or reside elsewhere; and PEP, ACS controls, and IRS tax-year vintages differ. Report those wedges before calibration and assign an explicit tolerance.</w:t>
      </w:r>
    </w:p>
  </w:footnote>
  <w:footnote w:id="9">
    <w:p w14:paraId="1FDEE006" w14:textId="222D4591" w:rsidR="00C877C4" w:rsidRDefault="00AF59D4">
      <w:pPr>
        <w:pStyle w:val="FootnoteText"/>
      </w:pPr>
      <w:r>
        <w:rPr>
          <w:rStyle w:val="FootnoteCharacters"/>
        </w:rPr>
        <w:footnoteRef/>
      </w:r>
      <w:r>
        <w:t xml:space="preserve"> The evidence base for this section. Bee and Mitchell (2017, Census SEHSD-WP2017-39) link the CPS ASEC and the Health and Retirement Study to administrative income records for the same households and find median household income for householders aged 65 and over thirty percent higher in the administrative data, driven by under-reporting of both defined-benefit pension income and withdrawals from retirement accounts. Bee, Mitchell et al. (2024, Census CES-WP-24-32) show the gap persists after the CPS redesign and put public-use CPS coverage of 65-and-over retirement income at roughly forty-eight percent. Brady and Bass (2021, Joint Statistical Research Program) supply the false-negative rates on receipt by vehicle. Dushi and Trenkamp (2021, SSA ORES WP 116) show the consequence for measured reliance on Social Security. All of this evidence is CPS-based; none of it is estimated on the ACS.</w:t>
      </w:r>
      <w:hyperlink r:id="rId1"/>
    </w:p>
  </w:footnote>
  <w:footnote w:id="10">
    <w:p w14:paraId="1FDEE007" w14:textId="77777777" w:rsidR="00C877C4" w:rsidRDefault="00AF59D4">
      <w:pPr>
        <w:pStyle w:val="FootnoteText"/>
      </w:pPr>
      <w:r>
        <w:rPr>
          <w:rStyle w:val="FootnoteCharacters"/>
        </w:rPr>
        <w:footnoteRef/>
      </w:r>
      <w:r>
        <w:t xml:space="preserve"> The IRS tax-gap studies estimate net misreporting of non-farm proprietor income at roughly fifty-five percent, the highest rate of any major income line, with that category alone accounting for well over a hundred billion dollars of the individual underreporting gap. The gradient across lines tracks information reporting almost exactly: wages, which carry both third-party reporting and withholding, are misreported at about one percent. That contrast is why the wage line can be calibrated against while the self-employment line cannot.</w:t>
      </w:r>
    </w:p>
  </w:footnote>
  <w:footnote w:id="11">
    <w:p w14:paraId="1FDEE008" w14:textId="77777777" w:rsidR="00C877C4" w:rsidRDefault="00AF59D4">
      <w:pPr>
        <w:pStyle w:val="FootnoteText"/>
      </w:pPr>
      <w:r>
        <w:rPr>
          <w:rStyle w:val="FootnoteCharacters"/>
        </w:rPr>
        <w:footnoteRef/>
      </w:r>
      <w:r>
        <w:t xml:space="preserve"> This reveals a nuanced point about the household’s reported market income. We are using it both as a measure of household resources and an input into tax-and-transfer calculations. For the second, income as reported on tax returns is the correct measure, as it accurately reflects the taxes paid and implies a real tax gap (e.g. avoidance or evasion on the part of the tax unit). In an ideal structure, we would separately model reported and mis-reported income on tax returns, backed out from IRS random audit data (which has real known issues: </w:t>
      </w:r>
      <w:hyperlink r:id="rId2">
        <w:r w:rsidR="00C877C4">
          <w:rPr>
            <w:rStyle w:val="Hyperlink"/>
          </w:rPr>
          <w:t>https://taxpolicycenter.org/taxvox/improving-irs-national-research-program</w:t>
        </w:r>
      </w:hyperlink>
      <w:r>
        <w:t xml:space="preserve">) that would allow us to observe household resources from self-employment separately from the tax implications of avoidance. </w:t>
      </w:r>
    </w:p>
    <w:p w14:paraId="1FDEE009" w14:textId="77777777" w:rsidR="00C877C4" w:rsidRDefault="00C877C4">
      <w:pPr>
        <w:pStyle w:val="FootnoteText"/>
      </w:pPr>
    </w:p>
  </w:footnote>
  <w:footnote w:id="12">
    <w:p w14:paraId="6C37110D" w14:textId="2C44089F" w:rsidR="001A5215" w:rsidRDefault="001A5215">
      <w:pPr>
        <w:pStyle w:val="FootnoteText"/>
      </w:pPr>
      <w:r>
        <w:rPr>
          <w:rStyle w:val="FootnoteReference"/>
        </w:rPr>
        <w:footnoteRef/>
      </w:r>
      <w:r>
        <w:t xml:space="preserve"> </w:t>
      </w:r>
      <w:r w:rsidRPr="001A5215">
        <w:t>That reconciliation has since happened: the Food memo was revised on 12 August 2026 to model take-up at the record level, calibrated to FNS state participation and benefit totals, and it now cites this memo’s EITC take-up convention as its precedent. The two documents agree. One copy does not: the exported external copy of the Food memo still carries the superseded reweighting language and should be refreshed.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C40CF"/>
    <w:multiLevelType w:val="multilevel"/>
    <w:tmpl w:val="FCF4BB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 w15:restartNumberingAfterBreak="0">
    <w:nsid w:val="25F14673"/>
    <w:multiLevelType w:val="multilevel"/>
    <w:tmpl w:val="C38A3E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333A779E"/>
    <w:multiLevelType w:val="multilevel"/>
    <w:tmpl w:val="5C8E3D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64539A4"/>
    <w:multiLevelType w:val="multilevel"/>
    <w:tmpl w:val="246ED4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4" w15:restartNumberingAfterBreak="0">
    <w:nsid w:val="42172FC0"/>
    <w:multiLevelType w:val="hybridMultilevel"/>
    <w:tmpl w:val="0AD04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C5602"/>
    <w:multiLevelType w:val="multilevel"/>
    <w:tmpl w:val="867011D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93D67D3"/>
    <w:multiLevelType w:val="hybridMultilevel"/>
    <w:tmpl w:val="9134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B560AC"/>
    <w:multiLevelType w:val="multilevel"/>
    <w:tmpl w:val="00FE59F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8" w15:restartNumberingAfterBreak="0">
    <w:nsid w:val="597A6932"/>
    <w:multiLevelType w:val="multilevel"/>
    <w:tmpl w:val="CC0CA3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C6D101D"/>
    <w:multiLevelType w:val="hybridMultilevel"/>
    <w:tmpl w:val="B06C8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E8052E"/>
    <w:multiLevelType w:val="multilevel"/>
    <w:tmpl w:val="C60C37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27566498">
    <w:abstractNumId w:val="5"/>
  </w:num>
  <w:num w:numId="2" w16cid:durableId="547030633">
    <w:abstractNumId w:val="3"/>
  </w:num>
  <w:num w:numId="3" w16cid:durableId="1333021986">
    <w:abstractNumId w:val="10"/>
  </w:num>
  <w:num w:numId="4" w16cid:durableId="2088842335">
    <w:abstractNumId w:val="7"/>
  </w:num>
  <w:num w:numId="5" w16cid:durableId="378869822">
    <w:abstractNumId w:val="0"/>
  </w:num>
  <w:num w:numId="6" w16cid:durableId="1687168893">
    <w:abstractNumId w:val="1"/>
  </w:num>
  <w:num w:numId="7" w16cid:durableId="801389871">
    <w:abstractNumId w:val="8"/>
  </w:num>
  <w:num w:numId="8" w16cid:durableId="523204371">
    <w:abstractNumId w:val="2"/>
  </w:num>
  <w:num w:numId="9" w16cid:durableId="1574004446">
    <w:abstractNumId w:val="7"/>
    <w:lvlOverride w:ilvl="0">
      <w:startOverride w:val="1"/>
    </w:lvlOverride>
  </w:num>
  <w:num w:numId="10" w16cid:durableId="1095057257">
    <w:abstractNumId w:val="7"/>
    <w:lvlOverride w:ilvl="0">
      <w:startOverride w:val="1"/>
    </w:lvlOverride>
  </w:num>
  <w:num w:numId="11" w16cid:durableId="859125895">
    <w:abstractNumId w:val="7"/>
    <w:lvlOverride w:ilvl="0">
      <w:startOverride w:val="1"/>
    </w:lvlOverride>
  </w:num>
  <w:num w:numId="12" w16cid:durableId="1486126019">
    <w:abstractNumId w:val="6"/>
  </w:num>
  <w:num w:numId="13" w16cid:durableId="1185250094">
    <w:abstractNumId w:val="9"/>
  </w:num>
  <w:num w:numId="14" w16cid:durableId="99117962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elin, John">
    <w15:presenceInfo w15:providerId="AD" w15:userId="S::john.iselin@yale.edu::e9db7eea-ae36-4f07-bd5a-5c420ae44a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C4"/>
    <w:rsid w:val="00016355"/>
    <w:rsid w:val="00032E49"/>
    <w:rsid w:val="00041792"/>
    <w:rsid w:val="00050977"/>
    <w:rsid w:val="00065268"/>
    <w:rsid w:val="000879CF"/>
    <w:rsid w:val="000A6BD0"/>
    <w:rsid w:val="000B5B2E"/>
    <w:rsid w:val="000B7C4D"/>
    <w:rsid w:val="001008EC"/>
    <w:rsid w:val="00194CDE"/>
    <w:rsid w:val="001A5215"/>
    <w:rsid w:val="00217F9F"/>
    <w:rsid w:val="002213F9"/>
    <w:rsid w:val="002A0CAE"/>
    <w:rsid w:val="002B48AF"/>
    <w:rsid w:val="002F1627"/>
    <w:rsid w:val="002F4443"/>
    <w:rsid w:val="00320620"/>
    <w:rsid w:val="003A6FF1"/>
    <w:rsid w:val="0041017A"/>
    <w:rsid w:val="0048205B"/>
    <w:rsid w:val="00484620"/>
    <w:rsid w:val="005056CA"/>
    <w:rsid w:val="00505D41"/>
    <w:rsid w:val="00622F85"/>
    <w:rsid w:val="00685C1E"/>
    <w:rsid w:val="00695526"/>
    <w:rsid w:val="006A7DDE"/>
    <w:rsid w:val="006D72B8"/>
    <w:rsid w:val="006E15E4"/>
    <w:rsid w:val="006E2C5E"/>
    <w:rsid w:val="00715A4D"/>
    <w:rsid w:val="007921F5"/>
    <w:rsid w:val="00965AFF"/>
    <w:rsid w:val="00982FB1"/>
    <w:rsid w:val="00A13592"/>
    <w:rsid w:val="00A83467"/>
    <w:rsid w:val="00AF59D4"/>
    <w:rsid w:val="00B131B8"/>
    <w:rsid w:val="00B558D6"/>
    <w:rsid w:val="00B658DD"/>
    <w:rsid w:val="00BC324B"/>
    <w:rsid w:val="00C15100"/>
    <w:rsid w:val="00C732F9"/>
    <w:rsid w:val="00C87121"/>
    <w:rsid w:val="00C877C4"/>
    <w:rsid w:val="00CF1CCA"/>
    <w:rsid w:val="00D22FBE"/>
    <w:rsid w:val="00D672EE"/>
    <w:rsid w:val="00DA1C56"/>
    <w:rsid w:val="00DD3590"/>
    <w:rsid w:val="00E64802"/>
    <w:rsid w:val="00E87E4E"/>
    <w:rsid w:val="00EA3151"/>
    <w:rsid w:val="00F034C4"/>
    <w:rsid w:val="00F325C9"/>
    <w:rsid w:val="00FC2D5B"/>
    <w:rsid w:val="00FE1A17"/>
    <w:rsid w:val="00FF51C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EDE94"/>
  <w15:docId w15:val="{A9FA503E-5F72-433D-B81D-96579ED8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10E"/>
  </w:style>
  <w:style w:type="paragraph" w:styleId="Heading1">
    <w:name w:val="heading 1"/>
    <w:uiPriority w:val="9"/>
    <w:qFormat/>
    <w:pPr>
      <w:pBdr>
        <w:bottom w:val="single" w:sz="6" w:space="4" w:color="2E75B6"/>
      </w:pBdr>
      <w:spacing w:before="320" w:after="14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link w:val="Heading3Char"/>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DD1C8F"/>
    <w:rPr>
      <w:color w:val="605E5C"/>
      <w:shd w:val="clear" w:color="auto" w:fill="E1DFDD"/>
    </w:rPr>
  </w:style>
  <w:style w:type="character" w:styleId="PlaceholderText">
    <w:name w:val="Placeholder Text"/>
    <w:basedOn w:val="DefaultParagraphFont"/>
    <w:uiPriority w:val="99"/>
    <w:semiHidden/>
    <w:qFormat/>
    <w:rsid w:val="00F310A7"/>
    <w:rPr>
      <w:color w:val="666666"/>
    </w:rPr>
  </w:style>
  <w:style w:type="character" w:styleId="CommentReference">
    <w:name w:val="annotation reference"/>
    <w:basedOn w:val="DefaultParagraphFont"/>
    <w:uiPriority w:val="99"/>
    <w:semiHidden/>
    <w:unhideWhenUsed/>
    <w:qFormat/>
    <w:rsid w:val="00CF1CD8"/>
    <w:rPr>
      <w:sz w:val="16"/>
      <w:szCs w:val="16"/>
    </w:rPr>
  </w:style>
  <w:style w:type="character" w:customStyle="1" w:styleId="CommentTextChar">
    <w:name w:val="Comment Text Char"/>
    <w:basedOn w:val="DefaultParagraphFont"/>
    <w:link w:val="CommentText"/>
    <w:uiPriority w:val="99"/>
    <w:qFormat/>
    <w:rsid w:val="00CF1CD8"/>
    <w:rPr>
      <w:sz w:val="20"/>
      <w:szCs w:val="20"/>
    </w:rPr>
  </w:style>
  <w:style w:type="character" w:customStyle="1" w:styleId="CommentSubjectChar">
    <w:name w:val="Comment Subject Char"/>
    <w:basedOn w:val="CommentTextChar"/>
    <w:link w:val="CommentSubject"/>
    <w:uiPriority w:val="99"/>
    <w:semiHidden/>
    <w:qFormat/>
    <w:rsid w:val="00CF1CD8"/>
    <w:rPr>
      <w:b/>
      <w:bCs/>
      <w:sz w:val="20"/>
      <w:szCs w:val="20"/>
    </w:rPr>
  </w:style>
  <w:style w:type="character" w:customStyle="1" w:styleId="HeaderChar">
    <w:name w:val="Header Char"/>
    <w:basedOn w:val="DefaultParagraphFont"/>
    <w:link w:val="Header"/>
    <w:uiPriority w:val="99"/>
    <w:qFormat/>
    <w:rsid w:val="0081197A"/>
  </w:style>
  <w:style w:type="character" w:customStyle="1" w:styleId="FooterChar">
    <w:name w:val="Footer Char"/>
    <w:basedOn w:val="DefaultParagraphFont"/>
    <w:link w:val="Footer"/>
    <w:uiPriority w:val="99"/>
    <w:qFormat/>
    <w:rsid w:val="0081197A"/>
  </w:style>
  <w:style w:type="character" w:styleId="FollowedHyperlink">
    <w:name w:val="FollowedHyperlink"/>
    <w:basedOn w:val="DefaultParagraphFont"/>
    <w:uiPriority w:val="99"/>
    <w:semiHidden/>
    <w:unhideWhenUsed/>
    <w:rsid w:val="00A17244"/>
    <w:rPr>
      <w:color w:val="96607D" w:themeColor="followedHyperlink"/>
      <w:u w:val="single"/>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character" w:customStyle="1" w:styleId="Heading3Char">
    <w:name w:val="Heading 3 Char"/>
    <w:basedOn w:val="DefaultParagraphFont"/>
    <w:link w:val="Heading3"/>
    <w:uiPriority w:val="9"/>
    <w:qFormat/>
    <w:rsid w:val="00B06AAA"/>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CF1CD8"/>
    <w:rPr>
      <w:sz w:val="20"/>
      <w:szCs w:val="20"/>
    </w:rPr>
  </w:style>
  <w:style w:type="paragraph" w:styleId="CommentSubject">
    <w:name w:val="annotation subject"/>
    <w:basedOn w:val="CommentText"/>
    <w:next w:val="CommentText"/>
    <w:link w:val="CommentSubjectChar"/>
    <w:uiPriority w:val="99"/>
    <w:semiHidden/>
    <w:unhideWhenUsed/>
    <w:qFormat/>
    <w:rsid w:val="00CF1CD8"/>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1197A"/>
    <w:pPr>
      <w:tabs>
        <w:tab w:val="center" w:pos="4680"/>
        <w:tab w:val="right" w:pos="9360"/>
      </w:tabs>
    </w:pPr>
  </w:style>
  <w:style w:type="paragraph" w:styleId="Footer">
    <w:name w:val="footer"/>
    <w:basedOn w:val="Normal"/>
    <w:link w:val="FooterChar"/>
    <w:uiPriority w:val="99"/>
    <w:unhideWhenUsed/>
    <w:rsid w:val="0081197A"/>
    <w:pPr>
      <w:tabs>
        <w:tab w:val="center" w:pos="4680"/>
        <w:tab w:val="right" w:pos="9360"/>
      </w:tabs>
    </w:pPr>
  </w:style>
  <w:style w:type="paragraph" w:customStyle="1" w:styleId="SourceCode">
    <w:name w:val="Source Code"/>
    <w:basedOn w:val="Normal"/>
    <w:qFormat/>
  </w:style>
  <w:style w:type="paragraph" w:styleId="Revision">
    <w:name w:val="Revision"/>
    <w:uiPriority w:val="99"/>
    <w:semiHidden/>
    <w:qFormat/>
    <w:rsid w:val="00D53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rs.gov/statistics/soi-tax-stats-adjusted-gross-income-agi-percentile-data-by-state" TargetMode="External"/><Relationship Id="rId18" Type="http://schemas.openxmlformats.org/officeDocument/2006/relationships/comments" Target="comments.xml"/><Relationship Id="rId26" Type="http://schemas.openxmlformats.org/officeDocument/2006/relationships/hyperlink" Target="https://www.ssa.gov/policy/docs/statcomps/eedata_sc/" TargetMode="External"/><Relationship Id="rId39" Type="http://schemas.openxmlformats.org/officeDocument/2006/relationships/footer" Target="footer2.xml"/><Relationship Id="rId21" Type="http://schemas.openxmlformats.org/officeDocument/2006/relationships/hyperlink" Target="https://www.census.gov/topics/income-poverty/income/guidance/tax-model.html" TargetMode="External"/><Relationship Id="rId34" Type="http://schemas.openxmlformats.org/officeDocument/2006/relationships/hyperlink" Target="https://github.com/Budget-Lab-Yale/Affordability-Index" TargetMode="External"/><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sa.gov/policy/docs/statcomps/eedata_sc/index.html" TargetMode="External"/><Relationship Id="rId20" Type="http://schemas.microsoft.com/office/2016/09/relationships/commentsIds" Target="commentsIds.xml"/><Relationship Id="rId29" Type="http://schemas.openxmlformats.org/officeDocument/2006/relationships/hyperlink" Target="https://www.census.gov/content/dam/Census/library/working-papers/2015/demo/SEHSD-WP2015-01.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sa.ipums.org/usa/" TargetMode="External"/><Relationship Id="rId24" Type="http://schemas.openxmlformats.org/officeDocument/2006/relationships/hyperlink" Target="https://www.census.gov/programs-surveys/popest.html" TargetMode="External"/><Relationship Id="rId32" Type="http://schemas.openxmlformats.org/officeDocument/2006/relationships/hyperlink" Target="https://www.eitc.irs.gov/eitc-central/participation-rate-by-state/participation-rate" TargetMode="External"/><Relationship Id="rId37" Type="http://schemas.openxmlformats.org/officeDocument/2006/relationships/hyperlink" Target="https://github.com/Budget-Lab-Yale/Tax-Data" TargetMode="Externa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usa.ipums.org/usa/volii/top_bottom_codes.shtml" TargetMode="External"/><Relationship Id="rId23" Type="http://schemas.openxmlformats.org/officeDocument/2006/relationships/hyperlink" Target="https://www.irs.gov/pub/irs-pdf/p5785.pdf" TargetMode="External"/><Relationship Id="rId28" Type="http://schemas.openxmlformats.org/officeDocument/2006/relationships/hyperlink" Target="https://www.census.gov/content/dam/Census/library/working-papers/2017/demo/SEHSD-WP2017-39.pdf" TargetMode="External"/><Relationship Id="rId36" Type="http://schemas.openxmlformats.org/officeDocument/2006/relationships/hyperlink" Target="https://github.com/Budget-Lab-Yale/Tax-Simulator" TargetMode="Externa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hyperlink" Target="https://www.cms.gov/newsroom/press-releases/cms-announces-2022-medicare-part-b-premiu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udgetlab.yale.edu/research/tax-microsimulation-budget-lab" TargetMode="External"/><Relationship Id="rId22" Type="http://schemas.openxmlformats.org/officeDocument/2006/relationships/hyperlink" Target="https://home.treasury.gov/system/files/131/WP-78.pdf" TargetMode="External"/><Relationship Id="rId27" Type="http://schemas.openxmlformats.org/officeDocument/2006/relationships/hyperlink" Target="https://www.bls.gov/cew/" TargetMode="External"/><Relationship Id="rId30" Type="http://schemas.openxmlformats.org/officeDocument/2006/relationships/hyperlink" Target="https://www2.census.gov/library/working-papers/2024/adrm/ces/CES-WP-24-32.pdf" TargetMode="External"/><Relationship Id="rId35" Type="http://schemas.openxmlformats.org/officeDocument/2006/relationships/hyperlink" Target="https://github.com/Budget-Lab-Yale/Tax-Simulator/tree/state-tax"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irs.gov/statistics/soi-tax-stats-historic-table-2" TargetMode="External"/><Relationship Id="rId17" Type="http://schemas.openxmlformats.org/officeDocument/2006/relationships/hyperlink" Target="https://www.bls.gov/cew/" TargetMode="External"/><Relationship Id="rId25" Type="http://schemas.openxmlformats.org/officeDocument/2006/relationships/hyperlink" Target="https://www.ssa.gov/policy/docs/statcomps/oasdi_sc/" TargetMode="External"/><Relationship Id="rId33" Type="http://schemas.openxmlformats.org/officeDocument/2006/relationships/hyperlink" Target="https://www.davidsplinter.com/LMS-UI.pdf" TargetMode="External"/><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taxpolicycenter.org/taxvox/improving-irs-national-research-program" TargetMode="External"/><Relationship Id="rId1" Type="http://schemas.openxmlformats.org/officeDocument/2006/relationships/hyperlink" Target="https://www.census.gov/library/working-papers/2024/adrm/CES-WP-24-32.html"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f920677-3304-433e-be05-2e1ad2081a3e" xsi:nil="true"/>
    <lcf76f155ced4ddcb4097134ff3c332f xmlns="53eb200e-4eea-4efa-b94a-d26410433f5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F0C640B5A97941AD0E01237FDE13AD" ma:contentTypeVersion="15" ma:contentTypeDescription="Create a new document." ma:contentTypeScope="" ma:versionID="bb0a8e7d96267ed467b35fd82bd3d054">
  <xsd:schema xmlns:xsd="http://www.w3.org/2001/XMLSchema" xmlns:xs="http://www.w3.org/2001/XMLSchema" xmlns:p="http://schemas.microsoft.com/office/2006/metadata/properties" xmlns:ns2="53eb200e-4eea-4efa-b94a-d26410433f56" xmlns:ns3="6f920677-3304-433e-be05-2e1ad2081a3e" targetNamespace="http://schemas.microsoft.com/office/2006/metadata/properties" ma:root="true" ma:fieldsID="04602d34a4e5615565ce0cf0464bc025" ns2:_="" ns3:_="">
    <xsd:import namespace="53eb200e-4eea-4efa-b94a-d26410433f56"/>
    <xsd:import namespace="6f920677-3304-433e-be05-2e1ad2081a3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b200e-4eea-4efa-b94a-d26410433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d9ce95e-1345-4484-817e-41007f75531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920677-3304-433e-be05-2e1ad2081a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69c74b6-6e82-40cd-a50c-16285d3a1c19}" ma:internalName="TaxCatchAll" ma:showField="CatchAllData" ma:web="6f920677-3304-433e-be05-2e1ad2081a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32D8B3-63B3-4DDA-86FD-52138DA7633E}">
  <ds:schemaRefs>
    <ds:schemaRef ds:uri="http://schemas.openxmlformats.org/officeDocument/2006/bibliography"/>
  </ds:schemaRefs>
</ds:datastoreItem>
</file>

<file path=customXml/itemProps2.xml><?xml version="1.0" encoding="utf-8"?>
<ds:datastoreItem xmlns:ds="http://schemas.openxmlformats.org/officeDocument/2006/customXml" ds:itemID="{7F90BA8D-CDEE-4F04-BAC4-CEF2A4155CDC}">
  <ds:schemaRefs>
    <ds:schemaRef ds:uri="http://schemas.microsoft.com/office/2006/metadata/properties"/>
    <ds:schemaRef ds:uri="http://schemas.microsoft.com/office/infopath/2007/PartnerControls"/>
    <ds:schemaRef ds:uri="6f920677-3304-433e-be05-2e1ad2081a3e"/>
    <ds:schemaRef ds:uri="53eb200e-4eea-4efa-b94a-d26410433f56"/>
  </ds:schemaRefs>
</ds:datastoreItem>
</file>

<file path=customXml/itemProps3.xml><?xml version="1.0" encoding="utf-8"?>
<ds:datastoreItem xmlns:ds="http://schemas.openxmlformats.org/officeDocument/2006/customXml" ds:itemID="{D57926C7-6320-4262-A639-12AC7FDAB2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eb200e-4eea-4efa-b94a-d26410433f56"/>
    <ds:schemaRef ds:uri="6f920677-3304-433e-be05-2e1ad2081a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16F2FA-4E12-40C1-A270-00AA2AED22A1}">
  <ds:schemaRefs>
    <ds:schemaRef ds:uri="http://schemas.microsoft.com/sharepoint/v3/contenttype/forms"/>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4356</TotalTime>
  <Pages>26</Pages>
  <Words>11937</Words>
  <Characters>68042</Characters>
  <Application>Microsoft Office Word</Application>
  <DocSecurity>0</DocSecurity>
  <Lines>567</Lines>
  <Paragraphs>159</Paragraphs>
  <ScaleCrop>false</ScaleCrop>
  <Company/>
  <LinksUpToDate>false</LinksUpToDate>
  <CharactersWithSpaces>79820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Iselin, John</cp:lastModifiedBy>
  <cp:revision>267</cp:revision>
  <dcterms:created xsi:type="dcterms:W3CDTF">2026-08-12T18:27:00Z</dcterms:created>
  <dcterms:modified xsi:type="dcterms:W3CDTF">2026-08-16T19:22:00Z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0x0101008BF0C640B5A97941AD0E01237FDE13AD</vt:lpwstr>
  </property>
  <property fmtid="{D5CDD505-2E9C-101B-9397-08002B2CF9AE}" pid="3" name="MediaServiceImageTags">
    <vt:lpwstr/>
  </property>
</Properties>
</file>