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079CF" w14:textId="6E9A0AB9" w:rsidR="00841F25" w:rsidRDefault="00A1444F">
      <w:r>
        <w:t xml:space="preserve">Actual verses Effective ETRs </w:t>
      </w:r>
    </w:p>
    <w:p w14:paraId="09DA0685" w14:textId="77777777" w:rsidR="00A1444F" w:rsidRDefault="00A1444F"/>
    <w:p w14:paraId="7ACA8D71" w14:textId="7980A2E9" w:rsidR="00A1444F" w:rsidRDefault="00A1444F" w:rsidP="00A1444F">
      <w:pPr>
        <w:pStyle w:val="ListParagraph"/>
        <w:numPr>
          <w:ilvl w:val="0"/>
          <w:numId w:val="1"/>
        </w:numPr>
      </w:pPr>
      <w:r>
        <w:t>Introduction</w:t>
      </w:r>
    </w:p>
    <w:p w14:paraId="2286D6AA" w14:textId="4FE809F8" w:rsidR="00A1444F" w:rsidRDefault="00A1444F" w:rsidP="00A1444F">
      <w:pPr>
        <w:pStyle w:val="ListParagraph"/>
        <w:numPr>
          <w:ilvl w:val="1"/>
          <w:numId w:val="1"/>
        </w:numPr>
      </w:pPr>
      <w:r>
        <w:t xml:space="preserve">Tariff regime </w:t>
      </w:r>
    </w:p>
    <w:p w14:paraId="7D7D7F46" w14:textId="0D9D2ADC" w:rsidR="00A1444F" w:rsidRDefault="00A1444F" w:rsidP="00A1444F">
      <w:pPr>
        <w:pStyle w:val="ListParagraph"/>
        <w:numPr>
          <w:ilvl w:val="1"/>
          <w:numId w:val="1"/>
        </w:numPr>
      </w:pPr>
      <w:r>
        <w:t xml:space="preserve">High statutory tariff rates, lower observed rates. </w:t>
      </w:r>
    </w:p>
    <w:p w14:paraId="53B62E9C" w14:textId="089A9FB8" w:rsidR="00A1444F" w:rsidRDefault="00A1444F" w:rsidP="00A1444F">
      <w:pPr>
        <w:pStyle w:val="ListParagraph"/>
        <w:numPr>
          <w:ilvl w:val="1"/>
          <w:numId w:val="1"/>
        </w:numPr>
      </w:pPr>
      <w:r>
        <w:t xml:space="preserve">What could explain the difference? </w:t>
      </w:r>
    </w:p>
    <w:p w14:paraId="7C51773F" w14:textId="088CA2FD" w:rsidR="00A1444F" w:rsidRDefault="00A1444F" w:rsidP="00A1444F">
      <w:pPr>
        <w:pStyle w:val="ListParagraph"/>
        <w:numPr>
          <w:ilvl w:val="2"/>
          <w:numId w:val="1"/>
        </w:numPr>
      </w:pPr>
      <w:commentRangeStart w:id="0"/>
      <w:r>
        <w:t xml:space="preserve">Real economic response (trade flows change) </w:t>
      </w:r>
    </w:p>
    <w:p w14:paraId="6A5FD536" w14:textId="00F6BD8D" w:rsidR="00A1444F" w:rsidRDefault="00A1444F" w:rsidP="00A1444F">
      <w:pPr>
        <w:pStyle w:val="ListParagraph"/>
        <w:numPr>
          <w:ilvl w:val="2"/>
          <w:numId w:val="1"/>
        </w:numPr>
      </w:pPr>
      <w:r>
        <w:t xml:space="preserve">Implementation / avoidance responses (trade flows don’t change) </w:t>
      </w:r>
      <w:commentRangeEnd w:id="0"/>
      <w:r>
        <w:rPr>
          <w:rStyle w:val="CommentReference"/>
        </w:rPr>
        <w:commentReference w:id="0"/>
      </w:r>
    </w:p>
    <w:p w14:paraId="3BE1C270" w14:textId="2466E219" w:rsidR="00A1444F" w:rsidRDefault="00A1444F" w:rsidP="00A1444F">
      <w:pPr>
        <w:pStyle w:val="ListParagraph"/>
        <w:numPr>
          <w:ilvl w:val="1"/>
          <w:numId w:val="1"/>
        </w:numPr>
      </w:pPr>
      <w:r>
        <w:t xml:space="preserve">Why is this important? </w:t>
      </w:r>
    </w:p>
    <w:p w14:paraId="09F96C7E" w14:textId="57F37F55" w:rsidR="00A1444F" w:rsidRDefault="00A1444F" w:rsidP="00A1444F">
      <w:pPr>
        <w:pStyle w:val="ListParagraph"/>
        <w:numPr>
          <w:ilvl w:val="2"/>
          <w:numId w:val="1"/>
        </w:numPr>
      </w:pPr>
      <w:r>
        <w:t xml:space="preserve">Impacts passthrough </w:t>
      </w:r>
    </w:p>
    <w:p w14:paraId="53843B32" w14:textId="6339854F" w:rsidR="00A1444F" w:rsidRDefault="00A1444F" w:rsidP="00A1444F">
      <w:pPr>
        <w:pStyle w:val="ListParagraph"/>
        <w:numPr>
          <w:ilvl w:val="2"/>
          <w:numId w:val="1"/>
        </w:numPr>
      </w:pPr>
      <w:r>
        <w:t>Impacts ….</w:t>
      </w:r>
    </w:p>
    <w:p w14:paraId="306694CD" w14:textId="65A5AC77" w:rsidR="00923F81" w:rsidRDefault="00923F81" w:rsidP="00923F81">
      <w:r>
        <w:rPr>
          <w:noProof/>
        </w:rPr>
        <w:drawing>
          <wp:inline distT="0" distB="0" distL="0" distR="0" wp14:anchorId="1FD64C1D" wp14:editId="3B0CC9E5">
            <wp:extent cx="5943600" cy="3566160"/>
            <wp:effectExtent l="0" t="0" r="0" b="0"/>
            <wp:docPr id="135227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143E118E" w14:textId="77777777" w:rsidR="00923F81" w:rsidRDefault="00923F81" w:rsidP="00923F81"/>
    <w:p w14:paraId="21868E41" w14:textId="26FD57CC" w:rsidR="0042713F" w:rsidRDefault="00A1444F" w:rsidP="0042713F">
      <w:pPr>
        <w:pStyle w:val="ListParagraph"/>
        <w:numPr>
          <w:ilvl w:val="0"/>
          <w:numId w:val="1"/>
        </w:numPr>
      </w:pPr>
      <w:r>
        <w:t xml:space="preserve">Defining the gap </w:t>
      </w:r>
    </w:p>
    <w:p w14:paraId="289ACB1B" w14:textId="7A8E8D3A" w:rsidR="00A1444F" w:rsidRDefault="00A1444F" w:rsidP="00A1444F">
      <w:pPr>
        <w:pStyle w:val="ListParagraph"/>
        <w:numPr>
          <w:ilvl w:val="1"/>
          <w:numId w:val="1"/>
        </w:numPr>
      </w:pPr>
      <w:r>
        <w:t xml:space="preserve">Define statutory ETR </w:t>
      </w:r>
    </w:p>
    <w:p w14:paraId="7AE38B1C" w14:textId="2C46EF5A" w:rsidR="0042713F" w:rsidRDefault="0042713F" w:rsidP="0042713F">
      <w:pPr>
        <w:pStyle w:val="ListParagraph"/>
        <w:numPr>
          <w:ilvl w:val="2"/>
          <w:numId w:val="1"/>
        </w:numPr>
      </w:pPr>
      <w:r>
        <w:t xml:space="preserve">Statutory rates weighted by 2024 weights </w:t>
      </w:r>
    </w:p>
    <w:p w14:paraId="55DF8A31" w14:textId="0AA05C8A" w:rsidR="00A1444F" w:rsidRDefault="00A1444F" w:rsidP="00A1444F">
      <w:pPr>
        <w:pStyle w:val="ListParagraph"/>
        <w:numPr>
          <w:ilvl w:val="2"/>
          <w:numId w:val="1"/>
        </w:numPr>
      </w:pPr>
      <w:r>
        <w:t xml:space="preserve">Differentiate from TBL headline # </w:t>
      </w:r>
    </w:p>
    <w:p w14:paraId="4B45026B" w14:textId="794690DC" w:rsidR="00A1444F" w:rsidRDefault="00A1444F" w:rsidP="00A1444F">
      <w:pPr>
        <w:pStyle w:val="ListParagraph"/>
        <w:numPr>
          <w:ilvl w:val="3"/>
          <w:numId w:val="1"/>
        </w:numPr>
      </w:pPr>
      <w:r>
        <w:t xml:space="preserve">TBL includes some behavioral responses (USMCA) but excludes others. </w:t>
      </w:r>
    </w:p>
    <w:p w14:paraId="0B8E64EE" w14:textId="7296D2AE" w:rsidR="00A1444F" w:rsidRDefault="00A1444F" w:rsidP="00A1444F">
      <w:pPr>
        <w:pStyle w:val="ListParagraph"/>
        <w:numPr>
          <w:ilvl w:val="3"/>
          <w:numId w:val="1"/>
        </w:numPr>
      </w:pPr>
      <w:r>
        <w:lastRenderedPageBreak/>
        <w:t>For this exercise, we begin with holding fixed 2024 trade weights AND all other factors</w:t>
      </w:r>
    </w:p>
    <w:p w14:paraId="3A14A9CE" w14:textId="6F01ED3B" w:rsidR="00A1444F" w:rsidRDefault="00A1444F" w:rsidP="00A1444F">
      <w:pPr>
        <w:pStyle w:val="ListParagraph"/>
        <w:numPr>
          <w:ilvl w:val="2"/>
          <w:numId w:val="1"/>
        </w:numPr>
      </w:pPr>
      <w:r>
        <w:t xml:space="preserve">Describe daily rate tracker tool </w:t>
      </w:r>
    </w:p>
    <w:p w14:paraId="42CF51B0" w14:textId="346B5B46" w:rsidR="00A1444F" w:rsidRDefault="00A1444F" w:rsidP="00A1444F">
      <w:pPr>
        <w:pStyle w:val="ListParagraph"/>
        <w:numPr>
          <w:ilvl w:val="1"/>
          <w:numId w:val="1"/>
        </w:numPr>
      </w:pPr>
      <w:r>
        <w:t xml:space="preserve">Define actual ETR </w:t>
      </w:r>
    </w:p>
    <w:p w14:paraId="14D12DB1" w14:textId="5CDA880A" w:rsidR="00A1444F" w:rsidRDefault="00A1444F" w:rsidP="00A1444F">
      <w:pPr>
        <w:pStyle w:val="ListParagraph"/>
        <w:numPr>
          <w:ilvl w:val="2"/>
          <w:numId w:val="1"/>
        </w:numPr>
      </w:pPr>
      <w:r>
        <w:t>US treasury data on actual imports and custom duties revenue</w:t>
      </w:r>
    </w:p>
    <w:p w14:paraId="0D5F7B9D" w14:textId="3F55AD9A" w:rsidR="00A1444F" w:rsidRDefault="00A1444F" w:rsidP="00A1444F">
      <w:pPr>
        <w:pStyle w:val="ListParagraph"/>
        <w:numPr>
          <w:ilvl w:val="2"/>
          <w:numId w:val="1"/>
        </w:numPr>
      </w:pPr>
      <w:r>
        <w:t xml:space="preserve">Only observable at the aggregate monthly level. </w:t>
      </w:r>
    </w:p>
    <w:p w14:paraId="04ACEF4C" w14:textId="0836435C" w:rsidR="00923F81" w:rsidRDefault="00A1444F" w:rsidP="00923F81">
      <w:pPr>
        <w:pStyle w:val="ListParagraph"/>
        <w:numPr>
          <w:ilvl w:val="1"/>
          <w:numId w:val="1"/>
        </w:numPr>
      </w:pPr>
      <w:r>
        <w:t xml:space="preserve">We can observe monthly import data at a more granular level (product, country, </w:t>
      </w:r>
      <w:proofErr w:type="spellStart"/>
      <w:r>
        <w:t>etc</w:t>
      </w:r>
      <w:proofErr w:type="spellEnd"/>
      <w:r>
        <w:t xml:space="preserve">…) but </w:t>
      </w:r>
      <w:commentRangeStart w:id="1"/>
      <w:r>
        <w:t xml:space="preserve">not duties collected </w:t>
      </w:r>
      <w:commentRangeEnd w:id="1"/>
      <w:r>
        <w:rPr>
          <w:rStyle w:val="CommentReference"/>
        </w:rPr>
        <w:commentReference w:id="1"/>
      </w:r>
    </w:p>
    <w:p w14:paraId="1269F427" w14:textId="48C0D5A6" w:rsidR="00A1444F" w:rsidRDefault="00A1444F" w:rsidP="00A1444F">
      <w:pPr>
        <w:pStyle w:val="ListParagraph"/>
        <w:numPr>
          <w:ilvl w:val="0"/>
          <w:numId w:val="1"/>
        </w:numPr>
      </w:pPr>
      <w:r>
        <w:t xml:space="preserve">Literature review </w:t>
      </w:r>
    </w:p>
    <w:p w14:paraId="799525E7" w14:textId="532D49DD" w:rsidR="00A1444F" w:rsidRDefault="00A1444F" w:rsidP="00A1444F">
      <w:pPr>
        <w:pStyle w:val="ListParagraph"/>
        <w:numPr>
          <w:ilvl w:val="1"/>
          <w:numId w:val="1"/>
        </w:numPr>
      </w:pPr>
      <w:hyperlink r:id="rId10" w:history="1">
        <w:proofErr w:type="spellStart"/>
        <w:r w:rsidRPr="00A1444F">
          <w:rPr>
            <w:rStyle w:val="Hyperlink"/>
          </w:rPr>
          <w:t>Azzimonti</w:t>
        </w:r>
        <w:proofErr w:type="spellEnd"/>
      </w:hyperlink>
      <w:r w:rsidRPr="00A1444F">
        <w:t xml:space="preserve"> (Richmond Fed, August 2025)</w:t>
      </w:r>
    </w:p>
    <w:p w14:paraId="07528945" w14:textId="77777777" w:rsidR="00A1444F" w:rsidRDefault="00A1444F" w:rsidP="00A1444F">
      <w:pPr>
        <w:pStyle w:val="ListParagraph"/>
        <w:numPr>
          <w:ilvl w:val="1"/>
          <w:numId w:val="1"/>
        </w:numPr>
      </w:pPr>
      <w:hyperlink r:id="rId11" w:history="1">
        <w:r w:rsidRPr="00A1444F">
          <w:rPr>
            <w:rStyle w:val="Hyperlink"/>
          </w:rPr>
          <w:t>Cui et al. (2026)</w:t>
        </w:r>
      </w:hyperlink>
    </w:p>
    <w:p w14:paraId="317136CB" w14:textId="10524973" w:rsidR="00A1444F" w:rsidRDefault="00A1444F" w:rsidP="00A1444F">
      <w:pPr>
        <w:pStyle w:val="ListParagraph"/>
        <w:numPr>
          <w:ilvl w:val="1"/>
          <w:numId w:val="1"/>
        </w:numPr>
      </w:pPr>
      <w:r>
        <w:t xml:space="preserve">Gopinath and Neiman (2026) (NBER) </w:t>
      </w:r>
    </w:p>
    <w:p w14:paraId="3C129152" w14:textId="5624CBAB" w:rsidR="00A1444F" w:rsidRDefault="00A1444F" w:rsidP="00A1444F">
      <w:pPr>
        <w:pStyle w:val="ListParagraph"/>
        <w:numPr>
          <w:ilvl w:val="1"/>
          <w:numId w:val="1"/>
        </w:numPr>
      </w:pPr>
      <w:r>
        <w:t xml:space="preserve"> </w:t>
      </w:r>
      <w:proofErr w:type="spellStart"/>
      <w:r w:rsidRPr="00A1444F">
        <w:t>Fajgelbaum</w:t>
      </w:r>
      <w:proofErr w:type="spellEnd"/>
      <w:r>
        <w:t xml:space="preserve"> and </w:t>
      </w:r>
      <w:r w:rsidRPr="00A1444F">
        <w:t>Khandelwal</w:t>
      </w:r>
      <w:r>
        <w:t xml:space="preserve"> (2026) (Brookings)</w:t>
      </w:r>
    </w:p>
    <w:p w14:paraId="158E28CD" w14:textId="253A5318" w:rsidR="00A1444F" w:rsidRDefault="00A1444F" w:rsidP="00A1444F">
      <w:pPr>
        <w:pStyle w:val="ListParagraph"/>
        <w:numPr>
          <w:ilvl w:val="0"/>
          <w:numId w:val="1"/>
        </w:numPr>
      </w:pPr>
      <w:commentRangeStart w:id="2"/>
      <w:r>
        <w:t xml:space="preserve">Understanding economic response </w:t>
      </w:r>
      <w:commentRangeEnd w:id="2"/>
      <w:r w:rsidR="0042713F">
        <w:rPr>
          <w:rStyle w:val="CommentReference"/>
        </w:rPr>
        <w:commentReference w:id="2"/>
      </w:r>
    </w:p>
    <w:p w14:paraId="5F342826" w14:textId="03081342" w:rsidR="00923F81" w:rsidRDefault="0042713F" w:rsidP="00923F81">
      <w:pPr>
        <w:pStyle w:val="ListParagraph"/>
        <w:numPr>
          <w:ilvl w:val="1"/>
          <w:numId w:val="1"/>
        </w:numPr>
      </w:pPr>
      <w:r>
        <w:t xml:space="preserve">Within-country </w:t>
      </w:r>
    </w:p>
    <w:p w14:paraId="515A36F8" w14:textId="7044116F" w:rsidR="0042713F" w:rsidRDefault="0042713F" w:rsidP="00923F81">
      <w:pPr>
        <w:pStyle w:val="ListParagraph"/>
        <w:numPr>
          <w:ilvl w:val="1"/>
          <w:numId w:val="1"/>
        </w:numPr>
      </w:pPr>
      <w:r>
        <w:t xml:space="preserve">Across country </w:t>
      </w:r>
    </w:p>
    <w:p w14:paraId="6E515269" w14:textId="067857D2" w:rsidR="0042713F" w:rsidRDefault="0042713F" w:rsidP="00923F81">
      <w:pPr>
        <w:pStyle w:val="ListParagraph"/>
        <w:numPr>
          <w:ilvl w:val="1"/>
          <w:numId w:val="1"/>
        </w:numPr>
      </w:pPr>
      <w:r>
        <w:t xml:space="preserve">Stockpiling </w:t>
      </w:r>
    </w:p>
    <w:p w14:paraId="2104C2BB" w14:textId="7A32DDFF" w:rsidR="00A1444F" w:rsidRDefault="00A1444F" w:rsidP="0042713F">
      <w:pPr>
        <w:pStyle w:val="ListParagraph"/>
        <w:numPr>
          <w:ilvl w:val="0"/>
          <w:numId w:val="1"/>
        </w:numPr>
      </w:pPr>
      <w:commentRangeStart w:id="3"/>
      <w:r>
        <w:t xml:space="preserve">Understanding non-economic response </w:t>
      </w:r>
      <w:commentRangeEnd w:id="3"/>
      <w:r w:rsidR="0042713F">
        <w:rPr>
          <w:rStyle w:val="CommentReference"/>
        </w:rPr>
        <w:commentReference w:id="3"/>
      </w:r>
    </w:p>
    <w:p w14:paraId="4E66B93C" w14:textId="6CCDA492" w:rsidR="0042713F" w:rsidRDefault="0042713F" w:rsidP="00A1444F">
      <w:pPr>
        <w:pStyle w:val="ListParagraph"/>
        <w:numPr>
          <w:ilvl w:val="1"/>
          <w:numId w:val="1"/>
        </w:numPr>
      </w:pPr>
      <w:r>
        <w:t xml:space="preserve">Legal / Avoidance </w:t>
      </w:r>
    </w:p>
    <w:p w14:paraId="7AA7FE60" w14:textId="67DE18B5" w:rsidR="00923F81" w:rsidRDefault="00923F81" w:rsidP="0042713F">
      <w:pPr>
        <w:pStyle w:val="ListParagraph"/>
        <w:numPr>
          <w:ilvl w:val="2"/>
          <w:numId w:val="1"/>
        </w:numPr>
      </w:pPr>
      <w:r>
        <w:t>USMCA</w:t>
      </w:r>
    </w:p>
    <w:p w14:paraId="20A3107F" w14:textId="77777777" w:rsidR="0042713F" w:rsidRDefault="0042713F" w:rsidP="0042713F">
      <w:pPr>
        <w:pStyle w:val="ListParagraph"/>
        <w:numPr>
          <w:ilvl w:val="2"/>
          <w:numId w:val="1"/>
        </w:numPr>
      </w:pPr>
      <w:r>
        <w:t>Auto (rebate)</w:t>
      </w:r>
    </w:p>
    <w:p w14:paraId="0F52E374" w14:textId="135145E6" w:rsidR="0042713F" w:rsidRDefault="0042713F" w:rsidP="0042713F">
      <w:pPr>
        <w:pStyle w:val="ListParagraph"/>
        <w:numPr>
          <w:ilvl w:val="2"/>
          <w:numId w:val="1"/>
        </w:numPr>
      </w:pPr>
      <w:r>
        <w:t xml:space="preserve">Transfer pricing  </w:t>
      </w:r>
    </w:p>
    <w:p w14:paraId="7727C0F2" w14:textId="38C0E66F" w:rsidR="008245DF" w:rsidRDefault="008245DF" w:rsidP="0042713F">
      <w:pPr>
        <w:pStyle w:val="ListParagraph"/>
        <w:numPr>
          <w:ilvl w:val="2"/>
          <w:numId w:val="1"/>
        </w:numPr>
      </w:pPr>
      <w:r>
        <w:t>Other exceptions</w:t>
      </w:r>
    </w:p>
    <w:p w14:paraId="05914D04" w14:textId="153236E5" w:rsidR="008245DF" w:rsidRDefault="008245DF" w:rsidP="0042713F">
      <w:pPr>
        <w:pStyle w:val="ListParagraph"/>
        <w:numPr>
          <w:ilvl w:val="2"/>
          <w:numId w:val="1"/>
        </w:numPr>
      </w:pPr>
      <w:r>
        <w:t xml:space="preserve">Lags </w:t>
      </w:r>
      <w:r>
        <w:sym w:font="Wingdings" w:char="F0E0"/>
      </w:r>
      <w:r>
        <w:t xml:space="preserve"> can we rule out </w:t>
      </w:r>
    </w:p>
    <w:p w14:paraId="780E956B" w14:textId="77777777" w:rsidR="008245DF" w:rsidRDefault="008245DF" w:rsidP="0042713F">
      <w:pPr>
        <w:pStyle w:val="ListParagraph"/>
        <w:numPr>
          <w:ilvl w:val="2"/>
          <w:numId w:val="1"/>
        </w:numPr>
      </w:pPr>
    </w:p>
    <w:p w14:paraId="669444C2" w14:textId="2018C135" w:rsidR="0042713F" w:rsidRDefault="0042713F" w:rsidP="0042713F">
      <w:pPr>
        <w:pStyle w:val="ListParagraph"/>
        <w:numPr>
          <w:ilvl w:val="1"/>
          <w:numId w:val="1"/>
        </w:numPr>
      </w:pPr>
      <w:r>
        <w:t xml:space="preserve">Evasion </w:t>
      </w:r>
    </w:p>
    <w:p w14:paraId="7CEF7D74" w14:textId="7B65DA99" w:rsidR="0042713F" w:rsidRDefault="008245DF" w:rsidP="0042713F">
      <w:pPr>
        <w:pStyle w:val="ListParagraph"/>
        <w:numPr>
          <w:ilvl w:val="2"/>
          <w:numId w:val="1"/>
        </w:numPr>
      </w:pPr>
      <w:r>
        <w:t xml:space="preserve">Model HTS code shifting from neighboring tariffed HTS codes to non-tariffed HTS codes. </w:t>
      </w:r>
    </w:p>
    <w:p w14:paraId="07BD6EDB" w14:textId="24289CB7" w:rsidR="008245DF" w:rsidRDefault="008245DF" w:rsidP="008245DF">
      <w:pPr>
        <w:pStyle w:val="ListParagraph"/>
        <w:numPr>
          <w:ilvl w:val="3"/>
          <w:numId w:val="1"/>
        </w:numPr>
      </w:pPr>
      <w:r>
        <w:t>Use post implementation revisions to find</w:t>
      </w:r>
    </w:p>
    <w:p w14:paraId="1B2FD00C" w14:textId="0C48A9CF" w:rsidR="008245DF" w:rsidRDefault="008245DF" w:rsidP="008245DF">
      <w:pPr>
        <w:pStyle w:val="ListParagraph"/>
        <w:numPr>
          <w:ilvl w:val="3"/>
          <w:numId w:val="1"/>
        </w:numPr>
      </w:pPr>
      <w:r>
        <w:t xml:space="preserve">Stories / newspapers </w:t>
      </w:r>
    </w:p>
    <w:p w14:paraId="56ABF8B8" w14:textId="77777777" w:rsidR="008245DF" w:rsidRDefault="008245DF" w:rsidP="008245DF">
      <w:pPr>
        <w:pStyle w:val="ListParagraph"/>
        <w:numPr>
          <w:ilvl w:val="2"/>
          <w:numId w:val="1"/>
        </w:numPr>
      </w:pPr>
    </w:p>
    <w:p w14:paraId="18A98981" w14:textId="77777777" w:rsidR="00923F81" w:rsidRDefault="00923F81" w:rsidP="0042713F"/>
    <w:p w14:paraId="4E183E54" w14:textId="77777777" w:rsidR="0042713F" w:rsidRDefault="0042713F" w:rsidP="0042713F"/>
    <w:p w14:paraId="34B53C7D" w14:textId="77777777" w:rsidR="0042713F" w:rsidRDefault="0042713F" w:rsidP="0042713F"/>
    <w:p w14:paraId="16770642" w14:textId="77777777" w:rsidR="0042713F" w:rsidRDefault="0042713F" w:rsidP="0042713F"/>
    <w:p w14:paraId="48B8CF29" w14:textId="77777777" w:rsidR="0042713F" w:rsidRDefault="0042713F" w:rsidP="0042713F"/>
    <w:p w14:paraId="3B4F6663" w14:textId="62FC0561" w:rsidR="0042713F" w:rsidRDefault="0042713F" w:rsidP="0042713F">
      <w:r>
        <w:t>NOTES</w:t>
      </w:r>
    </w:p>
    <w:p w14:paraId="07E98D92" w14:textId="77777777" w:rsidR="0042713F" w:rsidRDefault="0042713F" w:rsidP="0042713F"/>
    <w:p w14:paraId="6E5D9B6B" w14:textId="7033B895" w:rsidR="0042713F" w:rsidRDefault="0042713F" w:rsidP="0042713F">
      <w:r w:rsidRPr="0042713F">
        <w:t>What you can get from the public Census data (via USA Trade Online or the Census API) is monthly imports by HTS code and country, broken into customs value, dutiable value, and calculated duties collected. So in principle you can construct an effective tariff rate at the country-by-product-by-month level by dividing duties collected by customs value.</w:t>
      </w:r>
      <w:r w:rsidRPr="0042713F">
        <w:br/>
      </w:r>
      <w:r w:rsidRPr="0042713F">
        <w:br/>
        <w:t>The wrinkle is that what Census reports as "calculated duty" is the duty assessed at the time of entry, not necessarily what's ultimately collected after protests, refunds, drawback claims, FTZ adjustments, exclusions granted retroactively, and so on. There's a gap between assessed and collected, and that gap itself is informative for your decomposition — it's another channel of legal avoidance.</w:t>
      </w:r>
      <w:r w:rsidRPr="0042713F">
        <w:br/>
      </w:r>
      <w:r w:rsidRPr="0042713F">
        <w:br/>
        <w:t xml:space="preserve">The actual cash collections data sits with CBP and Treasury. The Monthly Treasury Statement reports total customs duties collected, but that's just one top-line number, not broken out by country or product. CBP has more granular </w:t>
      </w:r>
      <w:proofErr w:type="gramStart"/>
      <w:r w:rsidRPr="0042713F">
        <w:t>collections data</w:t>
      </w:r>
      <w:proofErr w:type="gramEnd"/>
      <w:r w:rsidRPr="0042713F">
        <w:t xml:space="preserve"> internally but doesn't publish it at the country-by-HTS level as far as I know.</w:t>
      </w:r>
    </w:p>
    <w:sectPr w:rsidR="0042713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selin, John" w:date="2026-04-06T15:50:00Z" w:initials="JI">
    <w:p w14:paraId="14D27157" w14:textId="77777777" w:rsidR="00A1444F" w:rsidRDefault="00A1444F" w:rsidP="00A1444F">
      <w:pPr>
        <w:pStyle w:val="CommentText"/>
      </w:pPr>
      <w:r>
        <w:rPr>
          <w:rStyle w:val="CommentReference"/>
        </w:rPr>
        <w:annotationRef/>
      </w:r>
      <w:r>
        <w:t xml:space="preserve">Key point 1: we need to be clear about how we separate these two points. </w:t>
      </w:r>
    </w:p>
  </w:comment>
  <w:comment w:id="1" w:author="Iselin, John" w:date="2026-04-06T15:54:00Z" w:initials="JI">
    <w:p w14:paraId="32641F57" w14:textId="77777777" w:rsidR="00A1444F" w:rsidRDefault="00A1444F" w:rsidP="00A1444F">
      <w:pPr>
        <w:pStyle w:val="CommentText"/>
      </w:pPr>
      <w:r>
        <w:rPr>
          <w:rStyle w:val="CommentReference"/>
        </w:rPr>
        <w:annotationRef/>
      </w:r>
      <w:r>
        <w:t xml:space="preserve">Calculated duties only, assumes the statutory rate applied. </w:t>
      </w:r>
    </w:p>
  </w:comment>
  <w:comment w:id="2" w:author="Iselin, John" w:date="2026-04-06T16:28:00Z" w:initials="JI">
    <w:p w14:paraId="142BB20A" w14:textId="77777777" w:rsidR="0042713F" w:rsidRDefault="0042713F" w:rsidP="0042713F">
      <w:pPr>
        <w:pStyle w:val="CommentText"/>
      </w:pPr>
      <w:r>
        <w:rPr>
          <w:rStyle w:val="CommentReference"/>
        </w:rPr>
        <w:annotationRef/>
      </w:r>
      <w:r>
        <w:t>Start with 2024 weights</w:t>
      </w:r>
    </w:p>
    <w:p w14:paraId="6B59E918" w14:textId="77777777" w:rsidR="0042713F" w:rsidRDefault="0042713F" w:rsidP="0042713F">
      <w:pPr>
        <w:pStyle w:val="CommentText"/>
      </w:pPr>
      <w:r>
        <w:t>Move to monthly 2025 weights</w:t>
      </w:r>
    </w:p>
    <w:p w14:paraId="385908DE" w14:textId="77777777" w:rsidR="0042713F" w:rsidRDefault="0042713F" w:rsidP="0042713F">
      <w:pPr>
        <w:pStyle w:val="CommentText"/>
      </w:pPr>
      <w:r>
        <w:t xml:space="preserve">Move to monthly 2025 weights controlling for product X country trends. </w:t>
      </w:r>
    </w:p>
  </w:comment>
  <w:comment w:id="3" w:author="Iselin, John" w:date="2026-04-06T16:30:00Z" w:initials="JI">
    <w:p w14:paraId="57BF1341" w14:textId="77777777" w:rsidR="0042713F" w:rsidRDefault="0042713F" w:rsidP="0042713F">
      <w:pPr>
        <w:pStyle w:val="CommentText"/>
      </w:pPr>
      <w:r>
        <w:rPr>
          <w:rStyle w:val="CommentReference"/>
        </w:rPr>
        <w:annotationRef/>
      </w:r>
      <w:r>
        <w:t>Observing weight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D27157" w15:done="0"/>
  <w15:commentEx w15:paraId="32641F57" w15:done="0"/>
  <w15:commentEx w15:paraId="385908DE" w15:done="0"/>
  <w15:commentEx w15:paraId="57BF13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8CD2DE" w16cex:dateUtc="2026-04-06T19:50:00Z"/>
  <w16cex:commentExtensible w16cex:durableId="754D763A" w16cex:dateUtc="2026-04-06T19:54:00Z"/>
  <w16cex:commentExtensible w16cex:durableId="607B1AEF" w16cex:dateUtc="2026-04-06T20:28:00Z"/>
  <w16cex:commentExtensible w16cex:durableId="31A28125" w16cex:dateUtc="2026-04-06T2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D27157" w16cid:durableId="0B8CD2DE"/>
  <w16cid:commentId w16cid:paraId="32641F57" w16cid:durableId="754D763A"/>
  <w16cid:commentId w16cid:paraId="385908DE" w16cid:durableId="607B1AEF"/>
  <w16cid:commentId w16cid:paraId="57BF1341" w16cid:durableId="31A281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15850"/>
    <w:multiLevelType w:val="hybridMultilevel"/>
    <w:tmpl w:val="0A50EE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28703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elin, John">
    <w15:presenceInfo w15:providerId="AD" w15:userId="S::john.iselin@yale.edu::e9db7eea-ae36-4f07-bd5a-5c420ae44a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4F"/>
    <w:rsid w:val="0024311F"/>
    <w:rsid w:val="0042713F"/>
    <w:rsid w:val="004919C0"/>
    <w:rsid w:val="004F56BB"/>
    <w:rsid w:val="008245DF"/>
    <w:rsid w:val="00841F25"/>
    <w:rsid w:val="00923F81"/>
    <w:rsid w:val="00A1444F"/>
    <w:rsid w:val="00B80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EAB50"/>
  <w15:chartTrackingRefBased/>
  <w15:docId w15:val="{232B93A3-2EEB-4885-962C-DCD542F26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44F"/>
    <w:rPr>
      <w:rFonts w:eastAsiaTheme="majorEastAsia" w:cstheme="majorBidi"/>
      <w:color w:val="272727" w:themeColor="text1" w:themeTint="D8"/>
    </w:rPr>
  </w:style>
  <w:style w:type="paragraph" w:styleId="Title">
    <w:name w:val="Title"/>
    <w:basedOn w:val="Normal"/>
    <w:next w:val="Normal"/>
    <w:link w:val="TitleChar"/>
    <w:uiPriority w:val="10"/>
    <w:qFormat/>
    <w:rsid w:val="00A14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44F"/>
    <w:pPr>
      <w:spacing w:before="160"/>
      <w:jc w:val="center"/>
    </w:pPr>
    <w:rPr>
      <w:i/>
      <w:iCs/>
      <w:color w:val="404040" w:themeColor="text1" w:themeTint="BF"/>
    </w:rPr>
  </w:style>
  <w:style w:type="character" w:customStyle="1" w:styleId="QuoteChar">
    <w:name w:val="Quote Char"/>
    <w:basedOn w:val="DefaultParagraphFont"/>
    <w:link w:val="Quote"/>
    <w:uiPriority w:val="29"/>
    <w:rsid w:val="00A1444F"/>
    <w:rPr>
      <w:i/>
      <w:iCs/>
      <w:color w:val="404040" w:themeColor="text1" w:themeTint="BF"/>
    </w:rPr>
  </w:style>
  <w:style w:type="paragraph" w:styleId="ListParagraph">
    <w:name w:val="List Paragraph"/>
    <w:basedOn w:val="Normal"/>
    <w:uiPriority w:val="34"/>
    <w:qFormat/>
    <w:rsid w:val="00A1444F"/>
    <w:pPr>
      <w:ind w:left="720"/>
      <w:contextualSpacing/>
    </w:pPr>
  </w:style>
  <w:style w:type="character" w:styleId="IntenseEmphasis">
    <w:name w:val="Intense Emphasis"/>
    <w:basedOn w:val="DefaultParagraphFont"/>
    <w:uiPriority w:val="21"/>
    <w:qFormat/>
    <w:rsid w:val="00A1444F"/>
    <w:rPr>
      <w:i/>
      <w:iCs/>
      <w:color w:val="0F4761" w:themeColor="accent1" w:themeShade="BF"/>
    </w:rPr>
  </w:style>
  <w:style w:type="paragraph" w:styleId="IntenseQuote">
    <w:name w:val="Intense Quote"/>
    <w:basedOn w:val="Normal"/>
    <w:next w:val="Normal"/>
    <w:link w:val="IntenseQuoteChar"/>
    <w:uiPriority w:val="30"/>
    <w:qFormat/>
    <w:rsid w:val="00A14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44F"/>
    <w:rPr>
      <w:i/>
      <w:iCs/>
      <w:color w:val="0F4761" w:themeColor="accent1" w:themeShade="BF"/>
    </w:rPr>
  </w:style>
  <w:style w:type="character" w:styleId="IntenseReference">
    <w:name w:val="Intense Reference"/>
    <w:basedOn w:val="DefaultParagraphFont"/>
    <w:uiPriority w:val="32"/>
    <w:qFormat/>
    <w:rsid w:val="00A1444F"/>
    <w:rPr>
      <w:b/>
      <w:bCs/>
      <w:smallCaps/>
      <w:color w:val="0F4761" w:themeColor="accent1" w:themeShade="BF"/>
      <w:spacing w:val="5"/>
    </w:rPr>
  </w:style>
  <w:style w:type="character" w:styleId="CommentReference">
    <w:name w:val="annotation reference"/>
    <w:basedOn w:val="DefaultParagraphFont"/>
    <w:uiPriority w:val="99"/>
    <w:semiHidden/>
    <w:unhideWhenUsed/>
    <w:rsid w:val="00A1444F"/>
    <w:rPr>
      <w:sz w:val="16"/>
      <w:szCs w:val="16"/>
    </w:rPr>
  </w:style>
  <w:style w:type="paragraph" w:styleId="CommentText">
    <w:name w:val="annotation text"/>
    <w:basedOn w:val="Normal"/>
    <w:link w:val="CommentTextChar"/>
    <w:uiPriority w:val="99"/>
    <w:unhideWhenUsed/>
    <w:rsid w:val="00A1444F"/>
    <w:pPr>
      <w:spacing w:line="240" w:lineRule="auto"/>
    </w:pPr>
    <w:rPr>
      <w:sz w:val="20"/>
      <w:szCs w:val="20"/>
    </w:rPr>
  </w:style>
  <w:style w:type="character" w:customStyle="1" w:styleId="CommentTextChar">
    <w:name w:val="Comment Text Char"/>
    <w:basedOn w:val="DefaultParagraphFont"/>
    <w:link w:val="CommentText"/>
    <w:uiPriority w:val="99"/>
    <w:rsid w:val="00A1444F"/>
    <w:rPr>
      <w:sz w:val="20"/>
      <w:szCs w:val="20"/>
    </w:rPr>
  </w:style>
  <w:style w:type="paragraph" w:styleId="CommentSubject">
    <w:name w:val="annotation subject"/>
    <w:basedOn w:val="CommentText"/>
    <w:next w:val="CommentText"/>
    <w:link w:val="CommentSubjectChar"/>
    <w:uiPriority w:val="99"/>
    <w:semiHidden/>
    <w:unhideWhenUsed/>
    <w:rsid w:val="00A1444F"/>
    <w:rPr>
      <w:b/>
      <w:bCs/>
    </w:rPr>
  </w:style>
  <w:style w:type="character" w:customStyle="1" w:styleId="CommentSubjectChar">
    <w:name w:val="Comment Subject Char"/>
    <w:basedOn w:val="CommentTextChar"/>
    <w:link w:val="CommentSubject"/>
    <w:uiPriority w:val="99"/>
    <w:semiHidden/>
    <w:rsid w:val="00A1444F"/>
    <w:rPr>
      <w:b/>
      <w:bCs/>
      <w:sz w:val="20"/>
      <w:szCs w:val="20"/>
    </w:rPr>
  </w:style>
  <w:style w:type="character" w:styleId="Hyperlink">
    <w:name w:val="Hyperlink"/>
    <w:basedOn w:val="DefaultParagraphFont"/>
    <w:uiPriority w:val="99"/>
    <w:unhideWhenUsed/>
    <w:rsid w:val="00A1444F"/>
    <w:rPr>
      <w:color w:val="467886" w:themeColor="hyperlink"/>
      <w:u w:val="single"/>
    </w:rPr>
  </w:style>
  <w:style w:type="character" w:styleId="UnresolvedMention">
    <w:name w:val="Unresolved Mention"/>
    <w:basedOn w:val="DefaultParagraphFont"/>
    <w:uiPriority w:val="99"/>
    <w:semiHidden/>
    <w:unhideWhenUsed/>
    <w:rsid w:val="00A14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papers.ssrn.com/sol3/papers.cfm?abstract_id=5110124" TargetMode="External"/><Relationship Id="rId5" Type="http://schemas.openxmlformats.org/officeDocument/2006/relationships/comments" Target="comments.xml"/><Relationship Id="rId10" Type="http://schemas.openxmlformats.org/officeDocument/2006/relationships/hyperlink" Target="https://www.richmondfed.org/publications/research/economic_brief/2025/eb_25-29"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390</Words>
  <Characters>2272</Characters>
  <Application>Microsoft Office Word</Application>
  <DocSecurity>0</DocSecurity>
  <Lines>126</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Iselin, John</dc:creator>
  <cp:keywords/>
  <dc:description/>
  <cp:lastModifiedBy>Iselin, John</cp:lastModifiedBy>
  <cp:revision>2</cp:revision>
  <dcterms:created xsi:type="dcterms:W3CDTF">2026-04-06T19:48:00Z</dcterms:created>
  <dcterms:modified xsi:type="dcterms:W3CDTF">2026-04-06T20:41:00Z</dcterms:modified>
</cp:coreProperties>
</file>