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24.png" ContentType="image/png"/>
  <Override PartName="/word/media/rId84.png" ContentType="image/png"/>
  <Override PartName="/word/media/rId90.png" ContentType="image/png"/>
  <Override PartName="/word/media/rId39.png" ContentType="image/png"/>
  <Override PartName="/word/media/rId55.png" ContentType="image/png"/>
  <Override PartName="/word/media/rId76.png" ContentType="image/png"/>
  <Override PartName="/word/media/rId68.png" ContentType="image/png"/>
  <Override PartName="/word/media/rId46.png" ContentType="image/png"/>
  <Override PartName="/word/media/rId43.png" ContentType="image/png"/>
  <Override PartName="/word/media/rId36.png" ContentType="image/png"/>
  <Override PartName="/word/media/rId87.png" ContentType="image/png"/>
  <Override PartName="/word/media/rId31.png" ContentType="image/png"/>
  <Override PartName="/word/media/rId61.png" ContentType="image/png"/>
  <Override PartName="/word/media/rId64.png" ContentType="image/png"/>
  <Override PartName="/word/media/rId27.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26,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Thursday, March 26th, 2026. For the most part, given data lags, the findings reflect the conditions prior to the SCOTUS decision repealing IEEPA Tariffs on February 20th, 2026.</w:t>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0.2% and 0.1% respectively during 2025 through January, both well above prior-year comparisons. Implied passthrough of tariffs to imported consumer goods prices ranges from roughly 6–86% for core goods and 5–115%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3"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February 21st</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One year after the initial wave of new tariffs, this report updates a</w:t>
      </w:r>
      <w:r>
        <w:t xml:space="preserve"> </w:t>
      </w:r>
      <w:hyperlink r:id="rId22">
        <w:r>
          <w:rPr>
            <w:rStyle w:val="Hyperlink"/>
          </w:rPr>
          <w:t xml:space="preserve">September 2025</w:t>
        </w:r>
      </w:hyperlink>
      <w:r>
        <w:t xml:space="preserve"> </w:t>
      </w:r>
      <w:r>
        <w:t xml:space="preserve">assessment of how actual economic indicators have responded to tariff changes. This provides a check on the assumptions made by economic models, as well as a real-time assessment of how tariffs are impacting the US economy. Most of these indicators are updated monthly, and going forward this report will be released on that same schedule.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Thursday, March 26th,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2.3% during 2025 through January).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3"/>
    <w:bookmarkStart w:id="34" w:name="tariff-rates-and-revenue"/>
    <w:p>
      <w:pPr>
        <w:pStyle w:val="Heading2"/>
      </w:pPr>
      <w:r>
        <w:t xml:space="preserve">Tariff Rates and Revenue</w:t>
      </w:r>
    </w:p>
    <w:p>
      <w:pPr>
        <w:pStyle w:val="FirstParagraph"/>
      </w:pPr>
      <w:r>
        <w:t xml:space="preserve">Tariffs are a tax on imports, therefore higher tariffs will increase revenues if their effect on imports is not sufficiently prohibitive. TBL’s Tariff Rate Tracker follows the full schedule of statutory tariff rates as encoded in the Harmonized Tariff Schedule (HTS), weighted by 2024 import values. As of March 26, 2026, the import-weighted average statutory tariff rate stood at 11.4% (see Figure A1 in the</w:t>
      </w:r>
      <w:r>
        <w:t xml:space="preserve"> </w:t>
      </w:r>
      <w:hyperlink w:anchor="appendix">
        <w:r>
          <w:rPr>
            <w:rStyle w:val="Hyperlink"/>
          </w:rPr>
          <w:t xml:space="preserve">Appendix below</w:t>
        </w:r>
      </w:hyperlink>
      <w:r>
        <w:t xml:space="preserve"> </w:t>
      </w:r>
      <w:r>
        <w:t xml:space="preserve">for a decomposition by tariff authority).</w:t>
      </w:r>
    </w:p>
    <w:p>
      <w:pPr>
        <w:pStyle w:val="BodyText"/>
      </w:pPr>
      <w:r>
        <w:drawing>
          <wp:inline>
            <wp:extent cx="5334000" cy="2667000"/>
            <wp:effectExtent b="0" l="0" r="0" t="0"/>
            <wp:docPr descr="" title="" id="25" name="Picture"/>
            <a:graphic>
              <a:graphicData uri="http://schemas.openxmlformats.org/drawingml/2006/picture">
                <pic:pic>
                  <pic:nvPicPr>
                    <pic:cNvPr descr="C:/Users/ji252/Documents/GitHub/tariff-impact-tracker/output/tariff_impacts_report_files/figure-docx/fig-daily-etr-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While statutory rates provide a measure of tariff policy, the effective tariff rate—customs duties actually collected as a share of import value—has been notably lower. This gap reflects trade diversion, exemptions, exclusion processes, collection lags, and the fact that not all statutory provisions have fully phased in. Before the 2025 tariff announcements, the average effective US tariff rate was 2.7% (2022–2024 average). The new 2025 tariffs have pushed the average effective US rate to 10.6%.</w:t>
      </w:r>
    </w:p>
    <w:p>
      <w:pPr>
        <w:pStyle w:val="BodyText"/>
      </w:pPr>
      <w:r>
        <w:drawing>
          <wp:inline>
            <wp:extent cx="5334000" cy="3200400"/>
            <wp:effectExtent b="0" l="0" r="0" t="0"/>
            <wp:docPr descr="" title="" id="28" name="Picture"/>
            <a:graphic>
              <a:graphicData uri="http://schemas.openxmlformats.org/drawingml/2006/picture">
                <pic:pic>
                  <pic:nvPicPr>
                    <pic:cNvPr descr="C:/Users/ji252/Documents/GitHub/tariff-impact-tracker/output/tariff_impacts_report_files/figure-docx/fig-tariff-rate-1.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However, the revenue landscape has shifted significantly. On February 20th, 2026, the Supreme Court ruled 6–3 in</w:t>
      </w:r>
      <w:r>
        <w:t xml:space="preserve"> </w:t>
      </w:r>
      <w:r>
        <w:rPr>
          <w:i/>
          <w:iCs/>
        </w:rPr>
        <w:t xml:space="preserve">Learning Resources, Inc. v. Trump</w:t>
      </w:r>
      <w:r>
        <w:t xml:space="preserve"> </w:t>
      </w:r>
      <w:r>
        <w:t xml:space="preserve">that the use of IEEPA to impose tariffs exceeded presidential authority, striking down all IEEPA-based tariffs—including the reciprocal, fentanyl, and universal baseline tariff regimes. Tariffs imposed using other authorities remain in effect, and the questions of legality and implementation of IEEPA refunds remains uncertain. This means that some or all of the IEEPA revenue collected to date may ultimately be returned to importers. Our back-of-the-envelope estimate, projecting forward using the average of observed FY 2026 CBP collections as of December 14th (the same methodology behind our earlier $142 billion figure), puts total IEEPA revenue at roughly $168 billion through February 19th, 2026. The customs revenue data presented in this report do not yet cover the post-SCOTUS period, and substantial uncertainty remains: the ultimate fiscal impact will depend on the resolution of refund litigation, the duration and scope of the replacement Section 122 tariffs, and any further legislative or executive action.</w:t>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30">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t xml:space="preserve">Higher effective tariff rates have translated directly into additional customs revenue. Before 2025, the US collected $7.6 billion a month in net customs duty revenues. Since then, tariffs have raised roughly $214.7 billion in revenues above the 2022–2024 average, with $175.5 billion collected over the course of 2025 and about $19.0 billion of that new tariff revenue posted in February 2026 alone.</w:t>
      </w:r>
    </w:p>
    <w:p>
      <w:pPr>
        <w:pStyle w:val="BodyText"/>
      </w:pPr>
      <w:r>
        <w:drawing>
          <wp:inline>
            <wp:extent cx="5334000" cy="3200400"/>
            <wp:effectExtent b="0" l="0" r="0" t="0"/>
            <wp:docPr descr="" title="" id="32" name="Picture"/>
            <a:graphic>
              <a:graphicData uri="http://schemas.openxmlformats.org/drawingml/2006/picture">
                <pic:pic>
                  <pic:nvPicPr>
                    <pic:cNvPr descr="C:/Users/ji252/Documents/GitHub/tariff-impact-tracker/output/tariff_impacts_report_files/figure-docx/fig-revenue-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bookmarkEnd w:id="34"/>
    <w:bookmarkStart w:id="60"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2"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5">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0.5% over the same 13-month period starting in 2023. The difference is even starker with PCE durable goods prices, which rose 2.5%, versus 0.3% over the same period starting in 2023. Core goods and durable goods were 3.4% and 4.1% above TBL’s estimate of pre-2025 trend in January.</w:t>
      </w:r>
    </w:p>
    <w:p>
      <w:pPr>
        <w:pStyle w:val="BodyText"/>
      </w:pPr>
      <w:r>
        <w:t xml:space="preserve">Versions of Figures 4 and 5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pce-goods-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deviation-trend-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bookmarkEnd w:id="42"/>
    <w:bookmarkStart w:id="49"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5">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prices-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deviation-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bookmarkEnd w:id="49"/>
    <w:bookmarkStart w:id="54"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This is partially an assumption of convenience, but it is also rooted in studies of the 2018 tariffs, such as</w:t>
      </w:r>
      <w:r>
        <w:t xml:space="preserve"> </w:t>
      </w:r>
      <w:hyperlink r:id="rId50">
        <w:r>
          <w:rPr>
            <w:rStyle w:val="Hyperlink"/>
          </w:rPr>
          <w:t xml:space="preserve">Flaaen, Hortacsu &amp; Tintelnot (2020)</w:t>
        </w:r>
      </w:hyperlink>
      <w:r>
        <w:t xml:space="preserve"> </w:t>
      </w:r>
      <w:r>
        <w:t xml:space="preserve">and</w:t>
      </w:r>
      <w:r>
        <w:t xml:space="preserve"> </w:t>
      </w:r>
      <w:hyperlink r:id="rId51">
        <w:r>
          <w:rPr>
            <w:rStyle w:val="Hyperlink"/>
          </w:rPr>
          <w:t xml:space="preserve">USITC (2023)</w:t>
        </w:r>
      </w:hyperlink>
      <w:r>
        <w:t xml:space="preserve">. However, both of these studies primarily focus on much narrower tariff increases, rather than the broader and more aggressive increases over the last year. The 2025 tariffs also come after a period of inflation, which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 of actual tariffs to consumer prices as of January 2026.</w:t>
      </w:r>
    </w:p>
    <w:p>
      <w:pPr>
        <w:pStyle w:val="BodyText"/>
      </w:pPr>
      <w:r>
        <w:t xml:space="preserve">In</w:t>
      </w:r>
      <w:r>
        <w:t xml:space="preserve"> </w:t>
      </w:r>
      <w:hyperlink r:id="rId52">
        <w:r>
          <w:rPr>
            <w:rStyle w:val="Hyperlink"/>
          </w:rPr>
          <w:t xml:space="preserve">November 2025</w:t>
        </w:r>
      </w:hyperlink>
      <w:r>
        <w:t xml:space="preserve"> </w:t>
      </w:r>
      <w:r>
        <w:t xml:space="preserve">(the month of the latest detailed Census trade data), the statutory fully-phased-in average tariff policy rate was 16.8%, but as mentioned earlier, there are several reasons why it takes time for tariff policy to fully flow through into realized revenues. We therefore use as our basis the actual average effective tariff rate, which was 11.8% that month.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5">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6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very similar passthrough estimates of 64% for core goods and 128% for durables. The most conservative method—raw price changes during 2025 through January with no trend adjustment—gives 6% and 5% for core goods and durables, respectively. All in all, the story is fairly consistent for imported core goods, with somewhere between 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-17%–79% in June 2025. These estimates of passthrough are larger than those found by other researchers, but not unreasonably so. For example,</w:t>
      </w:r>
      <w:r>
        <w:t xml:space="preserve"> </w:t>
      </w:r>
      <w:hyperlink r:id="rId53">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5">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4"/>
    <w:bookmarkStart w:id="59"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6" name="Picture"/>
            <a:graphic>
              <a:graphicData uri="http://schemas.openxmlformats.org/drawingml/2006/picture">
                <pic:pic>
                  <pic:nvPicPr>
                    <pic:cNvPr descr="C:/Users/ji252/Documents/GitHub/tariff-impact-tracker/output/tariff_impacts_report_files/figure-docx/fig-import-prices-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8">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9"/>
    <w:bookmarkEnd w:id="60"/>
    <w:bookmarkStart w:id="67"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less than the growth rate in 2024 over the same period. When we just look at tariff-sensitive manufacturing employment, the manufacturing index changed by -0.9%, versus the trend’s -0.7%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2" name="Picture"/>
            <a:graphic>
              <a:graphicData uri="http://schemas.openxmlformats.org/drawingml/2006/picture">
                <pic:pic>
                  <pic:nvPicPr>
                    <pic:cNvPr descr="C:/Users/ji252/Documents/GitHub/tariff-impact-tracker/output/tariff_impacts_report_files/figure-docx/fig-tariff-emp-combined-1.png" id="63" name="Picture"/>
                    <pic:cNvPicPr>
                      <a:picLocks noChangeArrowheads="1" noChangeAspect="1"/>
                    </pic:cNvPicPr>
                  </pic:nvPicPr>
                  <pic:blipFill>
                    <a:blip r:embed="rId61"/>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5" name="Picture"/>
            <a:graphic>
              <a:graphicData uri="http://schemas.openxmlformats.org/drawingml/2006/picture">
                <pic:pic>
                  <pic:nvPicPr>
                    <pic:cNvPr descr="C:/Users/ji252/Documents/GitHub/tariff-impact-tracker/output/tariff_impacts_report_files/figure-docx/fig-tariff-emp-mfg-combined-1.png" id="66" name="Picture"/>
                    <pic:cNvPicPr>
                      <a:picLocks noChangeArrowheads="1" noChangeAspect="1"/>
                    </pic:cNvPicPr>
                  </pic:nvPicPr>
                  <pic:blipFill>
                    <a:blip r:embed="rId64"/>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7"/>
    <w:bookmarkStart w:id="71"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9" name="Picture"/>
            <a:graphic>
              <a:graphicData uri="http://schemas.openxmlformats.org/drawingml/2006/picture">
                <pic:pic>
                  <pic:nvPicPr>
                    <pic:cNvPr descr="C:/Users/ji252/Documents/GitHub/tariff-impact-tracker/output/tariff_impacts_report_files/figure-docx/fig-industrial-prod-1.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1"/>
    <w:bookmarkStart w:id="75"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2">
        <w:r>
          <w:rPr>
            <w:rStyle w:val="Hyperlink"/>
          </w:rPr>
          <w:t xml:space="preserve">Budget Lab’s tariff modeling</w:t>
        </w:r>
      </w:hyperlink>
      <w:r>
        <w:t xml:space="preserve"> </w:t>
      </w:r>
      <w:r>
        <w:t xml:space="preserve">has assumed that currency adjustments offset roughly one-third of the cost of US tariffs to US consumers &amp; businesses without foreign retaliation.</w:t>
      </w:r>
    </w:p>
    <w:p>
      <w:pPr>
        <w:pStyle w:val="BodyText"/>
      </w:pPr>
      <w:r>
        <w:t xml:space="preserve">The reality, however, has been different so far. As of February 2026, the US dollar is 7.4% weaker than its December 2024 average. There’s also been inconsistent depreciation among the targets of US tariffs. China’s yuan is 0.1% stronger than its December 2024 average, while Canada’s dollar is 0.9% stronger over the same period. Mexico’s peso is 14.0%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3" name="Picture"/>
            <a:graphic>
              <a:graphicData uri="http://schemas.openxmlformats.org/drawingml/2006/picture">
                <pic:pic>
                  <pic:nvPicPr>
                    <pic:cNvPr descr="C:/Users/ji252/Documents/GitHub/tariff-impact-tracker/output/tariff_impacts_report_files/figure-docx/fig-currencies-1.png" id="74" name="Picture"/>
                    <pic:cNvPicPr>
                      <a:picLocks noChangeArrowheads="1" noChangeAspect="1"/>
                    </pic:cNvPicPr>
                  </pic:nvPicPr>
                  <pic:blipFill>
                    <a:blip r:embed="rId72"/>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5"/>
    <w:bookmarkStart w:id="82"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cumulative imports are still down by $16.4 billion (real 2025 USD) from December 2024 relative to trend. This has implications for the discussion of stockpiling: this very rough measure of imports implies that the ability of firms to rely on pre-tariff stocks of goods will degrade shortly.</w:t>
      </w:r>
    </w:p>
    <w:p>
      <w:pPr>
        <w:pStyle w:val="BodyText"/>
      </w:pPr>
      <w:r>
        <w:drawing>
          <wp:inline>
            <wp:extent cx="5334000" cy="3200400"/>
            <wp:effectExtent b="0" l="0" r="0" t="0"/>
            <wp:docPr descr="" title="" id="77" name="Picture"/>
            <a:graphic>
              <a:graphicData uri="http://schemas.openxmlformats.org/drawingml/2006/picture">
                <pic:pic>
                  <pic:nvPicPr>
                    <pic:cNvPr descr="C:/Users/ji252/Documents/GitHub/tariff-impact-tracker/output/tariff_impacts_report_files/figure-docx/fig-imports-exports-1.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80" name="Picture"/>
            <a:graphic>
              <a:graphicData uri="http://schemas.openxmlformats.org/drawingml/2006/picture">
                <pic:pic>
                  <pic:nvPicPr>
                    <pic:cNvPr descr="C:/Users/ji252/Documents/GitHub/tariff-impact-tracker/output/tariff_impacts_report_files/figure-docx/fig-trade-deviation-1.pn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2"/>
    <w:bookmarkStart w:id="83"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3"/>
    <w:bookmarkStart w:id="93" w:name="appendix"/>
    <w:p>
      <w:pPr>
        <w:pStyle w:val="Heading2"/>
      </w:pPr>
      <w:r>
        <w:t xml:space="preserve">Appendix</w:t>
      </w:r>
    </w:p>
    <w:p>
      <w:pPr>
        <w:pStyle w:val="FirstParagraph"/>
      </w:pPr>
      <w:r>
        <w:drawing>
          <wp:inline>
            <wp:extent cx="5334000" cy="3200400"/>
            <wp:effectExtent b="0" l="0" r="0" t="0"/>
            <wp:docPr descr="" title="" id="85" name="Picture"/>
            <a:graphic>
              <a:graphicData uri="http://schemas.openxmlformats.org/drawingml/2006/picture">
                <pic:pic>
                  <pic:nvPicPr>
                    <pic:cNvPr descr="C:/Users/ji252/Documents/GitHub/tariff-impact-tracker/output/tariff_impacts_report_files/figure-docx/fig-daily-etr-authority-1.png" id="86" name="Picture"/>
                    <pic:cNvPicPr>
                      <a:picLocks noChangeArrowheads="1" noChangeAspect="1"/>
                    </pic:cNvPicPr>
                  </pic:nvPicPr>
                  <pic:blipFill>
                    <a:blip r:embed="rId84"/>
                    <a:stretch>
                      <a:fillRect/>
                    </a:stretch>
                  </pic:blipFill>
                  <pic:spPr bwMode="auto">
                    <a:xfrm>
                      <a:off x="0" y="0"/>
                      <a:ext cx="5334000" cy="3200400"/>
                    </a:xfrm>
                    <a:prstGeom prst="rect">
                      <a:avLst/>
                    </a:prstGeom>
                    <a:noFill/>
                    <a:ln w="9525">
                      <a:noFill/>
                      <a:headEnd/>
                      <a:tailEnd/>
                    </a:ln>
                  </pic:spPr>
                </pic:pic>
              </a:graphicData>
            </a:graphic>
          </wp:inline>
        </w:drawing>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BodyText"/>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8" name="Picture"/>
            <a:graphic>
              <a:graphicData uri="http://schemas.openxmlformats.org/drawingml/2006/picture">
                <pic:pic>
                  <pic:nvPicPr>
                    <pic:cNvPr descr="C:/Users/ji252/Documents/GitHub/tariff-impact-tracker/output/tariff_impacts_report_files/figure-docx/fig-pce-goods-ll-1.png" id="89" name="Picture"/>
                    <pic:cNvPicPr>
                      <a:picLocks noChangeArrowheads="1" noChangeAspect="1"/>
                    </pic:cNvPicPr>
                  </pic:nvPicPr>
                  <pic:blipFill>
                    <a:blip r:embed="rId8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1" name="Picture"/>
            <a:graphic>
              <a:graphicData uri="http://schemas.openxmlformats.org/drawingml/2006/picture">
                <pic:pic>
                  <pic:nvPicPr>
                    <pic:cNvPr descr="C:/Users/ji252/Documents/GitHub/tariff-impact-tracker/output/tariff_impacts_report_files/figure-docx/fig-deviation-ll-1.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p>
      <w:pPr>
        <w:pStyle w:val="FirstParagraph"/>
      </w:pPr>
      <w:r>
        <w:rPr>
          <w:i/>
          <w:iCs/>
        </w:rPr>
        <w:t xml:space="preserve">Report generated on 2026-03-26 14:44:32.600604 using R R version 4.5.2 (2025-10-31 ucrt)</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 Target="media/rId72.png" /><Relationship Type="http://schemas.openxmlformats.org/officeDocument/2006/relationships/image" Id="rId24" Target="media/rId24.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39" Target="media/rId39.png" /><Relationship Type="http://schemas.openxmlformats.org/officeDocument/2006/relationships/image" Id="rId55" Target="media/rId55.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27" Target="media/rId27.png" /><Relationship Type="http://schemas.openxmlformats.org/officeDocument/2006/relationships/image" Id="rId79" Target="media/rId79.png" /><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5"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2" Target="https://budgetlab.yale.edu/research/state-us-tariffs-november-17-2025" TargetMode="External" /><Relationship Type="http://schemas.openxmlformats.org/officeDocument/2006/relationships/hyperlink" Id="rId50" Target="https://www.aeaweb.org/articles?id=10.1257/aer.20190611" TargetMode="External" /><Relationship Type="http://schemas.openxmlformats.org/officeDocument/2006/relationships/hyperlink" Id="rId58" Target="https://www.bls.gov/mxp/notices/2026/availability-of-oct-2025-mxpi-in-bls-database.htm" TargetMode="External" /><Relationship Type="http://schemas.openxmlformats.org/officeDocument/2006/relationships/hyperlink" Id="rId30" Target="https://www.cbo.gov/publication/58549" TargetMode="External" /><Relationship Type="http://schemas.openxmlformats.org/officeDocument/2006/relationships/hyperlink" Id="rId53" Target="https://www.pricinglab.org/files/TrackingTariffs_Cavallo_Llamas_Vazquez.pdf" TargetMode="External" /><Relationship Type="http://schemas.openxmlformats.org/officeDocument/2006/relationships/hyperlink" Id="rId51"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2026-03-26T18:44:32Z</dcterms:created>
  <dcterms:modified xsi:type="dcterms:W3CDTF">2026-03-26T18:44:32Z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26, 2026</vt:lpwstr>
  </property>
  <property fmtid="{D5CDD505-2E9C-101B-9397-08002B2CF9AE}" pid="3" name="output">
    <vt:lpwstr/>
  </property>
</Properties>
</file>