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84.png" ContentType="image/png"/>
  <Override PartName="/word/media/rId36.png" ContentType="image/png"/>
  <Override PartName="/word/media/rId52.png" ContentType="image/png"/>
  <Override PartName="/word/media/rId73.png" ContentType="image/png"/>
  <Override PartName="/word/media/rId65.png" ContentType="image/png"/>
  <Override PartName="/word/media/rId43.png" ContentType="image/png"/>
  <Override PartName="/word/media/rId40.png" ContentType="image/png"/>
  <Override PartName="/word/media/rId33.png" ContentType="image/png"/>
  <Override PartName="/word/media/rId81.png" ContentType="image/png"/>
  <Override PartName="/word/media/rId25.png" ContentType="image/png"/>
  <Override PartName="/word/media/rId58.png" ContentType="image/png"/>
  <Override PartName="/word/media/rId61.png" ContentType="image/png"/>
  <Override PartName="/word/media/rId2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February 19, 2026</w:t>
      </w:r>
    </w:p>
    <w:bookmarkStart w:id="20" w:name="key-takeaways"/>
    <w:p>
      <w:pPr>
        <w:pStyle w:val="Heading2"/>
      </w:pPr>
      <w:r>
        <w:t xml:space="preserve">Key Takeaways</w:t>
      </w:r>
    </w:p>
    <w:p>
      <w:pPr>
        <w:pStyle w:val="Compact"/>
        <w:numPr>
          <w:ilvl w:val="0"/>
          <w:numId w:val="1001"/>
        </w:numPr>
      </w:pPr>
      <w:r>
        <w:rPr>
          <w:b/>
          <w:bCs/>
        </w:rPr>
        <w:t xml:space="preserve">Tariff revenue:</w:t>
      </w:r>
      <w:r>
        <w:t xml:space="preserve"> </w:t>
      </w:r>
      <w:r>
        <w:t xml:space="preserve">The 2025 tariffs have raised an estimated $194.8 billion in inflation-adjusted customs revenue above the 2022–2024 average as of January 20261, with the effective tariff rate reaching 9.9% in December 2025.</w:t>
      </w:r>
    </w:p>
    <w:p>
      <w:pPr>
        <w:pStyle w:val="Compact"/>
        <w:numPr>
          <w:ilvl w:val="0"/>
          <w:numId w:val="1001"/>
        </w:numPr>
      </w:pPr>
      <w:r>
        <w:rPr>
          <w:b/>
          <w:bCs/>
        </w:rPr>
        <w:t xml:space="preserve">Pass-through to consumer prices:</w:t>
      </w:r>
      <w:r>
        <w:t xml:space="preserve"> </w:t>
      </w:r>
      <w:r>
        <w:t xml:space="preserve">Imported PCE core goods and durable goods prices have risen 1.0% and 1.3% respectively during 2025 through November, both well above prior-year comparisons. Implied passthrough of tariffs to imported consumer goods prices ranges from roughly 31–63% for core goods and 42–96%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3"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January 19th</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One year after the initial wave of new tariffs, this report updates a</w:t>
      </w:r>
      <w:r>
        <w:t xml:space="preserve"> </w:t>
      </w:r>
      <w:hyperlink r:id="rId22">
        <w:r>
          <w:rPr>
            <w:rStyle w:val="Hyperlink"/>
          </w:rPr>
          <w:t xml:space="preserve">September 2025</w:t>
        </w:r>
      </w:hyperlink>
      <w:r>
        <w:t xml:space="preserve"> </w:t>
      </w:r>
      <w:r>
        <w:t xml:space="preserve">assessment of how actual economic indicators have responded to tariff changes. This provides a check on the assumptions made by economic models, as well as a real-time assessment of how tariffs are impacting the US economy. Most of these indicators are updated monthly, and going forward this report will be released on that same schedule. In particular, we consider the impact of tariffs on economic data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Thursday, February 19th, 2026.</w:t>
      </w:r>
    </w:p>
    <w:p>
      <w:pPr>
        <w:pStyle w:val="BodyText"/>
      </w:pPr>
      <w:r>
        <w:t xml:space="preserve">Overall, there is evidence, consistent with economic theory, that tariffs have raised both additional revenue ($194.8 Billion above the 2022–2024 average) and led to higher prices (Personal Consumption Expenditure (PCE) core goods up 1.5% during 2025 through November).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w:t>
      </w:r>
    </w:p>
    <w:bookmarkEnd w:id="23"/>
    <w:bookmarkStart w:id="31" w:name="revenues-effective-tariff-rates"/>
    <w:p>
      <w:pPr>
        <w:pStyle w:val="Heading2"/>
      </w:pPr>
      <w:r>
        <w:t xml:space="preserve">Revenues &amp; Effective Tariff Rates</w:t>
      </w:r>
    </w:p>
    <w:p>
      <w:pPr>
        <w:pStyle w:val="FirstParagraph"/>
      </w:pPr>
      <w:r>
        <w:t xml:space="preserve">Tariffs are a tax on imports, therefore higher tariffs will increase revenues if their effect on imports is not sufficiently prohibitive. Before the 2025 tariff announcements, the average effective US tariff rate was 2.7% (2022–2024 average), raising $7.6 billion a month in net customs duty revenues. The new 2025 tariffs have raised roughly $194.8 billion in revenues so far (after accounting for the 2022–2024 average), with $174.7 billion collected over the course of 2025 and about $20.1 billion of that new tariff revenue posted in January 2026 alone.</w:t>
      </w:r>
    </w:p>
    <w:p>
      <w:pPr>
        <w:pStyle w:val="BodyText"/>
      </w:pPr>
      <w:r>
        <w:t xml:space="preserve">In our modeling of the general revenue effects of tariffs, we at TBL estimate that tariffs will raise $246 billion in annual revenue for fiscal year (FY) 2026 (conventionally), which is lower than the annualized revenue we would expect if monthly tariff revenue remained at its current level (2-month average of December and January projected forward) for the rest of the fiscal year ($334 billion). However, our simulated revenue accounts for decreases in other revenue sources, like federal payroll and corporate income taxes, following the methodology of the</w:t>
      </w:r>
      <w:r>
        <w:t xml:space="preserve"> </w:t>
      </w:r>
      <w:hyperlink r:id="rId24">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drawing>
          <wp:inline>
            <wp:extent cx="5334000" cy="3200400"/>
            <wp:effectExtent b="0" l="0" r="0" t="0"/>
            <wp:docPr descr="" title="" id="26" name="Picture"/>
            <a:graphic>
              <a:graphicData uri="http://schemas.openxmlformats.org/drawingml/2006/picture">
                <pic:pic>
                  <pic:nvPicPr>
                    <pic:cNvPr descr="C:/Users/ji252/Documents/GitHub/tariff-impacts/output/tariff_impacts_report_files/figure-docx/fig-revenue-1.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29" name="Picture"/>
            <a:graphic>
              <a:graphicData uri="http://schemas.openxmlformats.org/drawingml/2006/picture">
                <pic:pic>
                  <pic:nvPicPr>
                    <pic:cNvPr descr="C:/Users/ji252/Documents/GitHub/tariff-impacts/output/tariff_impacts_report_files/figure-docx/fig-tariff-rate-1.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bookmarkEnd w:id="31"/>
    <w:bookmarkStart w:id="57"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otherwise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39"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2">
        <w:r>
          <w:rPr>
            <w:rStyle w:val="Hyperlink"/>
          </w:rPr>
          <w:t xml:space="preserve">accompanying Methodology document</w:t>
        </w:r>
      </w:hyperlink>
      <w:r>
        <w:t xml:space="preserve"> </w:t>
      </w:r>
      <w:r>
        <w:t xml:space="preserve">for full details. We find similar differences when the trend is calculated using a simple log-linear approach. During 2025 through November, PCE core goods prices (goods excluding volatile food &amp; energy components) rose 1.5%, versus 0.2% over the same 11-month period starting in 2023. The difference is even starker with PCE durable goods prices, which rose 1.6%, versus -1.8% over the same period starting in 2023. Core goods and durable goods were 2.5% and 3.1% above TBL’s estimate of pre-2025 trend in November.</w:t>
      </w:r>
    </w:p>
    <w:p>
      <w:pPr>
        <w:pStyle w:val="BodyText"/>
      </w:pPr>
      <w:r>
        <w:t xml:space="preserve">Versions of Figures 3 and 4 using the log-linear trend approach are included in the</w:t>
      </w:r>
      <w:r>
        <w:t xml:space="preserve"> </w:t>
      </w:r>
      <w:hyperlink w:anchor="appendix">
        <w:r>
          <w:rPr>
            <w:rStyle w:val="Hyperlink"/>
          </w:rPr>
          <w:t xml:space="preserve">Appendix</w:t>
        </w:r>
      </w:hyperlink>
      <w:r>
        <w:t xml:space="preserve">.</w:t>
      </w:r>
    </w:p>
    <w:p>
      <w:pPr>
        <w:pStyle w:val="BodyText"/>
      </w:pPr>
      <w:r>
        <w:drawing>
          <wp:inline>
            <wp:extent cx="5334000" cy="3200400"/>
            <wp:effectExtent b="0" l="0" r="0" t="0"/>
            <wp:docPr descr="" title="" id="34" name="Picture"/>
            <a:graphic>
              <a:graphicData uri="http://schemas.openxmlformats.org/drawingml/2006/picture">
                <pic:pic>
                  <pic:nvPicPr>
                    <pic:cNvPr descr="C:/Users/ji252/Documents/GitHub/tariff-impacts/output/tariff_impacts_report_files/figure-docx/fig-pce-goods-1.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s/output/tariff_impacts_report_files/figure-docx/fig-deviation-trend-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bookmarkEnd w:id="39"/>
    <w:bookmarkStart w:id="46"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November, the imported core goods index is 2.1% above trend and the imported durables index is 2.9% above trend, compared to 2.5% and 3.1% for the standard PCE indices. See the</w:t>
      </w:r>
      <w:r>
        <w:t xml:space="preserve"> </w:t>
      </w:r>
      <w:hyperlink r:id="rId32">
        <w:r>
          <w:rPr>
            <w:rStyle w:val="Hyperlink"/>
          </w:rPr>
          <w:t xml:space="preserve">accompanying Methodology document</w:t>
        </w:r>
      </w:hyperlink>
      <w:r>
        <w:t xml:space="preserve"> </w:t>
      </w:r>
      <w:r>
        <w:t xml:space="preserve">for details on index construction.</w:t>
      </w:r>
    </w:p>
    <w:p>
      <w:pPr>
        <w:pStyle w:val="BodyText"/>
      </w:pPr>
      <w:r>
        <w:drawing>
          <wp:inline>
            <wp:extent cx="5334000" cy="3200400"/>
            <wp:effectExtent b="0" l="0" r="0" t="0"/>
            <wp:docPr descr="" title="" id="41" name="Picture"/>
            <a:graphic>
              <a:graphicData uri="http://schemas.openxmlformats.org/drawingml/2006/picture">
                <pic:pic>
                  <pic:nvPicPr>
                    <pic:cNvPr descr="C:/Users/ji252/Documents/GitHub/tariff-impacts/output/tariff_impacts_report_files/figure-docx/fig-ipi-prices-1.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s/output/tariff_impacts_report_files/figure-docx/fig-ipi-deviation-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bookmarkEnd w:id="46"/>
    <w:bookmarkStart w:id="51"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This is partially an assumption of convenience but it is also rooted in studies of the 2018 tariffs, such as</w:t>
      </w:r>
      <w:r>
        <w:t xml:space="preserve"> </w:t>
      </w:r>
      <w:hyperlink r:id="rId47">
        <w:r>
          <w:rPr>
            <w:rStyle w:val="Hyperlink"/>
          </w:rPr>
          <w:t xml:space="preserve">Flaaen, Hortacsu &amp; Tintelnot (2020)</w:t>
        </w:r>
      </w:hyperlink>
      <w:r>
        <w:t xml:space="preserve"> </w:t>
      </w:r>
      <w:r>
        <w:t xml:space="preserve">and</w:t>
      </w:r>
      <w:r>
        <w:t xml:space="preserve"> </w:t>
      </w:r>
      <w:hyperlink r:id="rId48">
        <w:r>
          <w:rPr>
            <w:rStyle w:val="Hyperlink"/>
          </w:rPr>
          <w:t xml:space="preserve">USITC (2023)</w:t>
        </w:r>
      </w:hyperlink>
      <w:r>
        <w:t xml:space="preserve">. However, both of these studies primarily focus on much narrower tariff increases, rather than the broader and more aggressive increases over the last year. The 2025 tariffs also come after a period of inflation, which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 of actual tariffs to consumer prices as of November 2025.</w:t>
      </w:r>
    </w:p>
    <w:p>
      <w:pPr>
        <w:pStyle w:val="BodyText"/>
      </w:pPr>
      <w:r>
        <w:t xml:space="preserve">In</w:t>
      </w:r>
      <w:r>
        <w:t xml:space="preserve"> </w:t>
      </w:r>
      <w:hyperlink r:id="rId49">
        <w:r>
          <w:rPr>
            <w:rStyle w:val="Hyperlink"/>
          </w:rPr>
          <w:t xml:space="preserve">November 2025</w:t>
        </w:r>
      </w:hyperlink>
      <w:r>
        <w:t xml:space="preserve"> </w:t>
      </w:r>
      <w:r>
        <w:t xml:space="preserve">(the month of the latest detailed Census trade data), the statutory fully-phased-in average tariff policy rate was 16.8%, but as mentioned earlier, there are several reasons why it takes time for tariff policy to fully flow through into realized revenues. We therefore use as our basis the actual average effective tariff rate, which was 11.8% that month. But this rate, calculated based on all revenues and imports, includes products and content that will not be ultimately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32.3% of core goods spending; see</w:t>
      </w:r>
      <w:r>
        <w:t xml:space="preserve"> </w:t>
      </w:r>
      <w:hyperlink r:id="rId32">
        <w:r>
          <w:rPr>
            <w:rStyle w:val="Hyperlink"/>
          </w:rPr>
          <w:t xml:space="preserve">accompanying Methodology document</w:t>
        </w:r>
      </w:hyperlink>
      <w:r>
        <w:t xml:space="preserve">), we would expect full passthrough price effects from the actual tariff increases in 2025 so far to add 3.4 and 3.0 percentage points through November 2025 for core goods and durables prices, respectively.</w:t>
      </w:r>
    </w:p>
    <w:p>
      <w:pPr>
        <w:pStyle w:val="BodyText"/>
      </w:pPr>
      <w:r>
        <w:t xml:space="preserve">We estimate the rise in imported core good and durable prices in three ways. The first, and our preferred approach, uses the trend estimates reported in Figure 5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November.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November 2025.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w:t>
        </w:r>
      </w:hyperlink>
      <w:r>
        <w:t xml:space="preserve">.</w:t>
      </w:r>
    </w:p>
    <w:p>
      <w:pPr>
        <w:pStyle w:val="BodyText"/>
      </w:pPr>
      <w:r>
        <w:t xml:space="preserve">Using our preferred LP trend method, the implied passthrough of tariffs to imported core goods prices through November 2025 is 63%, and the implied passthrough to imported durables prices is 96%. The larger durable passthrough rate is due both to a lower import share and a more aggressive pre-2025 downward trend in prices. The simpler log-linear trend yields very similar passthrough estimates of 46% for core goods and 106% for durables. The most conservative method—raw price changes during 2025 through November with no trend adjustment—gives 31% and 42% for core goods and durables, respectively. All in all, the story is fairly consistent for imported core goods, with somewhere between 31% and 63%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has remained relatively constant over time, but implied passthrough of durable goods has now reached over 100 percent, versus 37%–78% in June 2025. These estimates of passthrough are larger than those found by other researchers, but not unreasonably so. For example,</w:t>
      </w:r>
      <w:r>
        <w:t xml:space="preserve"> </w:t>
      </w:r>
      <w:hyperlink r:id="rId50">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(November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2">
        <w:r>
          <w:rPr>
            <w:rStyle w:val="Hyperlink"/>
          </w:rPr>
          <w:t xml:space="preserve">accompanying Methodology document</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November with no trend adjustment.</w:t>
      </w:r>
    </w:p>
    <w:p>
      <w:pPr>
        <w:pStyle w:val="Compact"/>
        <w:numPr>
          <w:ilvl w:val="0"/>
          <w:numId w:val="1002"/>
        </w:numPr>
      </w:pPr>
      <w:r>
        <w:t xml:space="preserve">Tariff rates are category-specific effective rates from USITC trade data: core goods 13.1%, durables 13.3% (vs 2.7% baseline). Economy-wide effective rate as of November 2025: 9.9%.</w:t>
      </w:r>
    </w:p>
    <w:p>
      <w:r>
        <w:pict>
          <v:rect style="width:0;height:1.5pt" o:hralign="center" o:hrstd="t" o:hr="t"/>
        </w:pict>
      </w:r>
    </w:p>
    <w:bookmarkEnd w:id="51"/>
    <w:bookmarkStart w:id="56"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imports,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3" name="Picture"/>
            <a:graphic>
              <a:graphicData uri="http://schemas.openxmlformats.org/drawingml/2006/picture">
                <pic:pic>
                  <pic:nvPicPr>
                    <pic:cNvPr descr="C:/Users/ji252/Documents/GitHub/tariff-impacts/output/tariff_impacts_report_files/figure-docx/fig-import-prices-1.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5">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6"/>
    <w:bookmarkEnd w:id="57"/>
    <w:bookmarkStart w:id="64"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January 2026 changed by +0.4M jobs relative to the level of employment one year earlier. This is lower than that same statistic from one year prior (+1.2M).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-0.5% during 2025 through January, which is 0.8% less than the pre-2025 trend would have predicted, and 0.4% less than the growth rate in 2024 over the same period. When we just look at tariff-sensitive manufacturing employment, the manufacturing index changed by -0.8%, versus the trend’s -0.6% predicted change.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59" name="Picture"/>
            <a:graphic>
              <a:graphicData uri="http://schemas.openxmlformats.org/drawingml/2006/picture">
                <pic:pic>
                  <pic:nvPicPr>
                    <pic:cNvPr descr="C:/Users/ji252/Documents/GitHub/tariff-impacts/output/tariff_impacts_report_files/figure-docx/fig-tariff-emp-combined-1.png" id="60" name="Picture"/>
                    <pic:cNvPicPr>
                      <a:picLocks noChangeArrowheads="1" noChangeAspect="1"/>
                    </pic:cNvPicPr>
                  </pic:nvPicPr>
                  <pic:blipFill>
                    <a:blip r:embed="rId58"/>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2" name="Picture"/>
            <a:graphic>
              <a:graphicData uri="http://schemas.openxmlformats.org/drawingml/2006/picture">
                <pic:pic>
                  <pic:nvPicPr>
                    <pic:cNvPr descr="C:/Users/ji252/Documents/GitHub/tariff-impacts/output/tariff_impacts_report_files/figure-docx/fig-tariff-emp-mfg-combined-1.png" id="63" name="Picture"/>
                    <pic:cNvPicPr>
                      <a:picLocks noChangeArrowheads="1" noChangeAspect="1"/>
                    </pic:cNvPicPr>
                  </pic:nvPicPr>
                  <pic:blipFill>
                    <a:blip r:embed="rId61"/>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64"/>
    <w:bookmarkStart w:id="68"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January, the index has changed by +0.6%,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6" name="Picture"/>
            <a:graphic>
              <a:graphicData uri="http://schemas.openxmlformats.org/drawingml/2006/picture">
                <pic:pic>
                  <pic:nvPicPr>
                    <pic:cNvPr descr="C:/Users/ji252/Documents/GitHub/tariff-impacts/output/tariff_impacts_report_files/figure-docx/fig-industrial-prod-1.png" id="67" name="Picture"/>
                    <pic:cNvPicPr>
                      <a:picLocks noChangeArrowheads="1" noChangeAspect="1"/>
                    </pic:cNvPicPr>
                  </pic:nvPicPr>
                  <pic:blipFill>
                    <a:blip r:embed="rId65"/>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68"/>
    <w:bookmarkStart w:id="72"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2">
        <w:r>
          <w:rPr>
            <w:rStyle w:val="Hyperlink"/>
          </w:rPr>
          <w:t xml:space="preserve">Budget Lab’s tariff modeling</w:t>
        </w:r>
      </w:hyperlink>
      <w:r>
        <w:t xml:space="preserve"> </w:t>
      </w:r>
      <w:r>
        <w:t xml:space="preserve">has assumed that currency adjustments offset roughly one-third of the cost of US tariffs to US consumers &amp; businesses without foreign retaliation.</w:t>
      </w:r>
    </w:p>
    <w:p>
      <w:pPr>
        <w:pStyle w:val="BodyText"/>
      </w:pPr>
      <w:r>
        <w:t xml:space="preserve">The reality, however, has been different so far. As of January 2026, the US dollar is 6.3% weaker than its December 2024 average. There’s also been inconsistent depreciation among the targets of US tariffs. China’s yuan is 0.0% weaker than its December 2024 average, while Canada’s dollar is 0.5% stronger over the same period. Mexico’s peso is 11.6%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0" name="Picture"/>
            <a:graphic>
              <a:graphicData uri="http://schemas.openxmlformats.org/drawingml/2006/picture">
                <pic:pic>
                  <pic:nvPicPr>
                    <pic:cNvPr descr="C:/Users/ji252/Documents/GitHub/tariff-impacts/output/tariff_impacts_report_files/figure-docx/fig-currencies-1.png" id="71" name="Picture"/>
                    <pic:cNvPicPr>
                      <a:picLocks noChangeArrowheads="1" noChangeAspect="1"/>
                    </pic:cNvPicPr>
                  </pic:nvPicPr>
                  <pic:blipFill>
                    <a:blip r:embed="rId69"/>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2"/>
    <w:bookmarkStart w:id="79" w:name="imports-exports"/>
    <w:p>
      <w:pPr>
        <w:pStyle w:val="Heading2"/>
      </w:pPr>
      <w:r>
        <w:t xml:space="preserve">Imports &amp; Exports</w:t>
      </w:r>
    </w:p>
    <w:p>
      <w:pPr>
        <w:pStyle w:val="FirstParagraph"/>
      </w:pPr>
      <w:r>
        <w:t xml:space="preserve">A country’s trade deficit, or the amount their imports from other countries exceeds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real imports grew 17.8% over the pre-2025 trend between December 2024 and March 2025, equal to $50.4 billion in real 2025 dollars, as consumers and businesses sought to make purchases ahead of tariffs taking effect. Starting in April, imports declined, and as of December 2025 imports have been on average -6.2% below the pre-2025 trend. Real exports fell more modestly (in absolute terms) than imports, and are 2.1% below trend as of December 2025.</w:t>
      </w:r>
    </w:p>
    <w:p>
      <w:pPr>
        <w:pStyle w:val="BodyText"/>
      </w:pPr>
      <w:r>
        <w:t xml:space="preserve">Cumulatively, as of December 2025, cumulative imports are still up by $2.3 billion (real 2025 USD) from November 2024 relative to trend. This has implications for the discussion of stockpiling: this very rough measure of imports implies the ability of firms to rely on pre-tariff stocks of goods will degrade shortly.</w:t>
      </w:r>
    </w:p>
    <w:p>
      <w:pPr>
        <w:pStyle w:val="BodyText"/>
      </w:pPr>
      <w:r>
        <w:drawing>
          <wp:inline>
            <wp:extent cx="5334000" cy="3200400"/>
            <wp:effectExtent b="0" l="0" r="0" t="0"/>
            <wp:docPr descr="" title="" id="74" name="Picture"/>
            <a:graphic>
              <a:graphicData uri="http://schemas.openxmlformats.org/drawingml/2006/picture">
                <pic:pic>
                  <pic:nvPicPr>
                    <pic:cNvPr descr="C:/Users/ji252/Documents/GitHub/tariff-impacts/output/tariff_impacts_report_files/figure-docx/fig-imports-exports-1.png" id="75" name="Picture"/>
                    <pic:cNvPicPr>
                      <a:picLocks noChangeArrowheads="1" noChangeAspect="1"/>
                    </pic:cNvPicPr>
                  </pic:nvPicPr>
                  <pic:blipFill>
                    <a:blip r:embed="rId7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7" name="Picture"/>
            <a:graphic>
              <a:graphicData uri="http://schemas.openxmlformats.org/drawingml/2006/picture">
                <pic:pic>
                  <pic:nvPicPr>
                    <pic:cNvPr descr="C:/Users/ji252/Documents/GitHub/tariff-impacts/output/tariff_impacts_report_files/figure-docx/fig-trade-deviation-1.pn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79"/>
    <w:bookmarkStart w:id="80"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0"/>
    <w:bookmarkStart w:id="87" w:name="appendix"/>
    <w:p>
      <w:pPr>
        <w:pStyle w:val="Heading2"/>
      </w:pPr>
      <w:r>
        <w:t xml:space="preserve">Appendix</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(November 2025).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179%</w:t>
            </w:r>
          </w:p>
        </w:tc>
      </w:tr>
    </w:tbl>
    <w:p>
      <w:pPr>
        <w:pStyle w:val="FirstParagraph"/>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2" name="Picture"/>
            <a:graphic>
              <a:graphicData uri="http://schemas.openxmlformats.org/drawingml/2006/picture">
                <pic:pic>
                  <pic:nvPicPr>
                    <pic:cNvPr descr="C:/Users/ji252/Documents/GitHub/tariff-impacts/output/tariff_impacts_report_files/figure-docx/fig-pce-goods-ll-1.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85" name="Picture"/>
            <a:graphic>
              <a:graphicData uri="http://schemas.openxmlformats.org/drawingml/2006/picture">
                <pic:pic>
                  <pic:nvPicPr>
                    <pic:cNvPr descr="C:/Users/ji252/Documents/GitHub/tariff-impacts/output/tariff_impacts_report_files/figure-docx/fig-deviation-ll-1.png" id="86" name="Picture"/>
                    <pic:cNvPicPr>
                      <a:picLocks noChangeArrowheads="1" noChangeAspect="1"/>
                    </pic:cNvPicPr>
                  </pic:nvPicPr>
                  <pic:blipFill>
                    <a:blip r:embed="rId84"/>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87"/>
    <w:bookmarkStart w:id="88" w:name="export-data-to-excel"/>
    <w:p>
      <w:pPr>
        <w:pStyle w:val="Heading2"/>
      </w:pPr>
      <w:r>
        <w:t xml:space="preserve">Export Data to Excel</w:t>
      </w:r>
    </w:p>
    <w:p>
      <w:pPr>
        <w:pStyle w:val="FirstParagraph"/>
      </w:pPr>
      <w:r>
        <w:t xml:space="preserve">The raw data underlying all figures and tables has been exported to:</w:t>
      </w:r>
      <w:r>
        <w:t xml:space="preserve"> </w:t>
      </w:r>
      <w:r>
        <w:rPr>
          <w:b/>
          <w:bCs/>
        </w:rPr>
        <w:t xml:space="preserve">tariff_impacts_results_20260219.xlsx</w:t>
      </w:r>
    </w:p>
    <w:p>
      <w:pPr>
        <w:pStyle w:val="BodyText"/>
      </w:pPr>
      <w:r>
        <w:t xml:space="preserve">This Excel file contains 21 sheets:</w:t>
      </w:r>
    </w:p>
    <w:p>
      <w:pPr>
        <w:pStyle w:val="Compact"/>
        <w:numPr>
          <w:ilvl w:val="0"/>
          <w:numId w:val="1004"/>
        </w:numPr>
      </w:pPr>
      <w:r>
        <w:rPr>
          <w:b/>
          <w:bCs/>
        </w:rPr>
        <w:t xml:space="preserve">Data TOC</w:t>
      </w:r>
      <w:r>
        <w:t xml:space="preserve">: Table of contents with hyperlinks to each data sheet</w:t>
      </w:r>
    </w:p>
    <w:p>
      <w:pPr>
        <w:pStyle w:val="Compact"/>
        <w:numPr>
          <w:ilvl w:val="0"/>
          <w:numId w:val="1004"/>
        </w:numPr>
      </w:pPr>
      <w:r>
        <w:rPr>
          <w:b/>
          <w:bCs/>
        </w:rPr>
        <w:t xml:space="preserve">Fig1-Fig13</w:t>
      </w:r>
      <w:r>
        <w:t xml:space="preserve">: Raw data for each figure (indexed values, trends, confidence intervals)</w:t>
      </w:r>
    </w:p>
    <w:p>
      <w:pPr>
        <w:pStyle w:val="Compact"/>
        <w:numPr>
          <w:ilvl w:val="0"/>
          <w:numId w:val="1004"/>
        </w:numPr>
      </w:pPr>
      <w:r>
        <w:rPr>
          <w:b/>
          <w:bCs/>
        </w:rPr>
        <w:t xml:space="preserve">Tables</w:t>
      </w:r>
      <w:r>
        <w:t xml:space="preserve">: Passthrough calculations and employment index summaries</w:t>
      </w:r>
    </w:p>
    <w:p>
      <w:r>
        <w:pict>
          <v:rect style="width:0;height:1.5pt" o:hralign="center" o:hrstd="t" o:hr="t"/>
        </w:pict>
      </w:r>
    </w:p>
    <w:p>
      <w:pPr>
        <w:pStyle w:val="FirstParagraph"/>
      </w:pPr>
      <w:r>
        <w:rPr>
          <w:i/>
          <w:iCs/>
        </w:rPr>
        <w:t xml:space="preserve">Report generated on 2026-02-19 09:45:23.043074 using R R version 4.5.2 (2025-10-31 ucrt)</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84" Target="media/rId84.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hyperlink" Id="rId32"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us-tariffs-january-19-2026" TargetMode="External" /><Relationship Type="http://schemas.openxmlformats.org/officeDocument/2006/relationships/hyperlink" Id="rId49" Target="https://budgetlab.yale.edu/research/state-us-tariffs-november-17-2025" TargetMode="External" /><Relationship Type="http://schemas.openxmlformats.org/officeDocument/2006/relationships/hyperlink" Id="rId47" Target="https://www.aeaweb.org/articles?id=10.1257/aer.20190611" TargetMode="External" /><Relationship Type="http://schemas.openxmlformats.org/officeDocument/2006/relationships/hyperlink" Id="rId55" Target="https://www.bls.gov/mxp/notices/2026/availability-of-oct-2025-mxpi-in-bls-database.htm" TargetMode="External" /><Relationship Type="http://schemas.openxmlformats.org/officeDocument/2006/relationships/hyperlink" Id="rId24" Target="https://www.cbo.gov/publication/58549" TargetMode="External" /><Relationship Type="http://schemas.openxmlformats.org/officeDocument/2006/relationships/hyperlink" Id="rId50" Target="https://www.pricinglab.org/files/TrackingTariffs_Cavallo_Llamas_Vazquez.pdf" TargetMode="External" /><Relationship Type="http://schemas.openxmlformats.org/officeDocument/2006/relationships/hyperlink" Id="rId48"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2"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us-tariffs-january-19-2026" TargetMode="External" /><Relationship Type="http://schemas.openxmlformats.org/officeDocument/2006/relationships/hyperlink" Id="rId49" Target="https://budgetlab.yale.edu/research/state-us-tariffs-november-17-2025" TargetMode="External" /><Relationship Type="http://schemas.openxmlformats.org/officeDocument/2006/relationships/hyperlink" Id="rId47" Target="https://www.aeaweb.org/articles?id=10.1257/aer.20190611" TargetMode="External" /><Relationship Type="http://schemas.openxmlformats.org/officeDocument/2006/relationships/hyperlink" Id="rId55" Target="https://www.bls.gov/mxp/notices/2026/availability-of-oct-2025-mxpi-in-bls-database.htm" TargetMode="External" /><Relationship Type="http://schemas.openxmlformats.org/officeDocument/2006/relationships/hyperlink" Id="rId24" Target="https://www.cbo.gov/publication/58549" TargetMode="External" /><Relationship Type="http://schemas.openxmlformats.org/officeDocument/2006/relationships/hyperlink" Id="rId50" Target="https://www.pricinglab.org/files/TrackingTariffs_Cavallo_Llamas_Vazquez.pdf" TargetMode="External" /><Relationship Type="http://schemas.openxmlformats.org/officeDocument/2006/relationships/hyperlink" Id="rId48"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2026-02-19T14:45:23Z</dcterms:created>
  <dcterms:modified xsi:type="dcterms:W3CDTF">2026-02-19T14:45:23Z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February 19, 2026</vt:lpwstr>
  </property>
  <property fmtid="{D5CDD505-2E9C-101B-9397-08002B2CF9AE}" pid="3" name="output">
    <vt:lpwstr/>
  </property>
</Properties>
</file>