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4.png" ContentType="image/png"/>
  <Override PartName="/word/media/rId83.png" ContentType="image/png"/>
  <Override PartName="/word/media/rId89.png" ContentType="image/png"/>
  <Override PartName="/word/media/rId39.png" ContentType="image/png"/>
  <Override PartName="/word/media/rId54.png" ContentType="image/png"/>
  <Override PartName="/word/media/rId75.png" ContentType="image/png"/>
  <Override PartName="/word/media/rId67.png" ContentType="image/png"/>
  <Override PartName="/word/media/rId46.png" ContentType="image/png"/>
  <Override PartName="/word/media/rId43.png" ContentType="image/png"/>
  <Override PartName="/word/media/rId36.png" ContentType="image/png"/>
  <Override PartName="/word/media/rId86.png" ContentType="image/png"/>
  <Override PartName="/word/media/rId31.png" ContentType="image/png"/>
  <Override PartName="/word/media/rId60.png" ContentType="image/png"/>
  <Override PartName="/word/media/rId63.png" ContentType="image/png"/>
  <Override PartName="/word/media/rId27.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March 31,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Tuesday, March 31st, 2026. For the most part, given data lags, the findings reflect the conditions prior to the SCOTUS decision repealing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1.5% and 1.5% respectively during 2025 through January, both well above prior-year comparisons. Implied passthrough of tariffs to imported consumer goods prices ranges from roughly 46–86% for core goods and 51–115%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2"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March 9th</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This analysis provides monthly updates on how actual economic indicators are responding to tariff changes, which serves as both a check on the assumptions made by economic models and as well as a real-time assessment of how tariffs are impacting the US economy.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Tuesday, March 31st,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1.9% year-over-year as of January 2026). However, after the SCOTUS decision on the IEEPA tariffs, approximately $165 billion dollars in unlawfully collected duties may be refunded to importers. This implies that tariffs so far have raised $49.7 billion of revenue through January 2026.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2"/>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w:t>
      </w:r>
      <w:r>
        <w:t xml:space="preserve"> </w:t>
      </w:r>
      <w:hyperlink r:id="rId23">
        <w:r>
          <w:rPr>
            <w:rStyle w:val="Hyperlink"/>
          </w:rPr>
          <w:t xml:space="preserve">Tariff Rate Tracker</w:t>
        </w:r>
      </w:hyperlink>
      <w:r>
        <w:t xml:space="preserve"> </w:t>
      </w:r>
      <w:r>
        <w:t xml:space="preserve">follows the full schedule of statutory tariff rates as encoded in the Harmonized Tariff Schedule (HTS), weighted by 2024 import values. As of March 31, 2026, the import-weighted average statutory tariff rate stood at 10.6% (see Figure A1 in the</w:t>
      </w:r>
      <w:r>
        <w:t xml:space="preserve"> </w:t>
      </w:r>
      <w:hyperlink w:anchor="appendix">
        <w:r>
          <w:rPr>
            <w:rStyle w:val="Hyperlink"/>
          </w:rPr>
          <w:t xml:space="preserve">Appendix below</w:t>
        </w:r>
      </w:hyperlink>
      <w:r>
        <w:t xml:space="preserve"> </w:t>
      </w:r>
      <w:r>
        <w:t xml:space="preserve">for a decomposition by tariff authority). This rate incorporates the changes to the tariff regime after the Supreme Court held 6–3 in</w:t>
      </w:r>
      <w:r>
        <w:t xml:space="preserve"> </w:t>
      </w:r>
      <w:r>
        <w:rPr>
          <w:i/>
          <w:iCs/>
        </w:rPr>
        <w:t xml:space="preserve">Learning Resources, Inc. v. Trump</w:t>
      </w:r>
      <w:r>
        <w:t xml:space="preserve"> </w:t>
      </w:r>
      <w:r>
        <w:t xml:space="preserve">that the use of IEEPA to impose tariffs exceeded presidential authority. This includes both the removal of all IEEPA-based tariffs and the implementation of Section 122 tariffs for a 150 day period. Tariffs imposed using other authorities remain in effect. We anticipate that refunds will be issued for revenue collected via IEEPA-based tariffs. The customs revenue data presented in this report do not yet cover the post-SCOTUS period, and substantial uncertainty remains, both about the timing of refunds and the eventual structure of the post-IEEPA tariff regime.</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 though again, approximately $165 billion may be returned to importers and consumers via refunds of IEEPA tariffs.</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59"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0.5% over the same 13-month period starting in 2023. The difference is even starker with PCE durable goods prices, which rose 2.5%, versus 0.3%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3"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Studies of the 2018 tariffs find near-complete passthrough to import prices at the border (</w:t>
      </w:r>
      <w:hyperlink r:id="rId50">
        <w:r>
          <w:rPr>
            <w:rStyle w:val="Hyperlink"/>
          </w:rPr>
          <w:t xml:space="preserve">Flaaen, Hortacsu &amp; Tintelnot 2020</w:t>
        </w:r>
      </w:hyperlink>
      <w:r>
        <w:t xml:space="preserve">;</w:t>
      </w:r>
      <w:r>
        <w:t xml:space="preserve"> </w:t>
      </w:r>
      <w:hyperlink r:id="rId51">
        <w:r>
          <w:rPr>
            <w:rStyle w:val="Hyperlink"/>
          </w:rPr>
          <w:t xml:space="preserve">USITC 2023</w:t>
        </w:r>
      </w:hyperlink>
      <w:r>
        <w:t xml:space="preserve">). However, passthrough from the border to consumer shelves was substantially incomplete in the short run, with importers absorbing tariff costs through compressed margins (USITC 2023, Ch. 6). Our assumption of eventual 100% passthrough reflects the expectation that margin compression is unsustainable—importers will eventually pass costs forward or exit. Both of these studies also focus on much narrower tariff increases than the broader and more aggressive increases over the last year, and the 2025 tariffs come after a period of inflation that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passthrough—measuring where we are on the journey from border to consumer prices—as of January 2026.</w:t>
      </w:r>
    </w:p>
    <w:p>
      <w:pPr>
        <w:pStyle w:val="BodyText"/>
      </w:pPr>
      <w:r>
        <w:t xml:space="preserve">In January 2026 (the month of the latest detailed Census trade data), the actual average effective tariff rate was 10.6%. But as mentioned earlier, there are several reasons why it takes time for tariff policy to fully flow through into realized revenues.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passthrough estimates of 64% for core goods and 128% for durables, lower than the LP estimate for core goods and higher than the LP estimate for durables. The most conservative method—raw price changes during 2025 through January with no trend adjustment—gives 46% and 51% for core goods and durables, respectively. All in all, the story is fairly consistent for imported core goods, with somewhere between 46%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37%–79% in June 2025. These estimates of passthrough are larger than those found by other researchers, but not unreasonably so. For example,</w:t>
      </w:r>
      <w:r>
        <w:t xml:space="preserve"> </w:t>
      </w:r>
      <w:hyperlink r:id="rId52">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3"/>
    <w:bookmarkStart w:id="58"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5" name="Picture"/>
            <a:graphic>
              <a:graphicData uri="http://schemas.openxmlformats.org/drawingml/2006/picture">
                <pic:pic>
                  <pic:nvPicPr>
                    <pic:cNvPr descr="C:/Users/ji252/Documents/GitHub/tariff-impact-tracker/output/tariff_impacts_report_files/figure-docx/fig-import-prices-1.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7">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8"/>
    <w:bookmarkEnd w:id="59"/>
    <w:bookmarkStart w:id="66"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-0.6% during 2025 through February, which is 0.9% less than the pre-2025 trend would have predicted, and 0.5% less than the growth rate in 2024 over the same period. When we just look at tariff-sensitive manufacturing employment, the manufacturing index changed by -0.9%, versus the trend’s -0.7%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61" name="Picture"/>
            <a:graphic>
              <a:graphicData uri="http://schemas.openxmlformats.org/drawingml/2006/picture">
                <pic:pic>
                  <pic:nvPicPr>
                    <pic:cNvPr descr="C:/Users/ji252/Documents/GitHub/tariff-impact-tracker/output/tariff_impacts_report_files/figure-docx/fig-tariff-emp-combined-1.png" id="62" name="Picture"/>
                    <pic:cNvPicPr>
                      <a:picLocks noChangeArrowheads="1" noChangeAspect="1"/>
                    </pic:cNvPicPr>
                  </pic:nvPicPr>
                  <pic:blipFill>
                    <a:blip r:embed="rId60"/>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4" name="Picture"/>
            <a:graphic>
              <a:graphicData uri="http://schemas.openxmlformats.org/drawingml/2006/picture">
                <pic:pic>
                  <pic:nvPicPr>
                    <pic:cNvPr descr="C:/Users/ji252/Documents/GitHub/tariff-impact-tracker/output/tariff_impacts_report_files/figure-docx/fig-tariff-emp-mfg-combined-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6"/>
    <w:bookmarkStart w:id="70"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8" name="Picture"/>
            <a:graphic>
              <a:graphicData uri="http://schemas.openxmlformats.org/drawingml/2006/picture">
                <pic:pic>
                  <pic:nvPicPr>
                    <pic:cNvPr descr="C:/Users/ji252/Documents/GitHub/tariff-impact-tracker/output/tariff_impacts_report_files/figure-docx/fig-industrial-prod-1.png" id="69" name="Picture"/>
                    <pic:cNvPicPr>
                      <a:picLocks noChangeArrowheads="1" noChangeAspect="1"/>
                    </pic:cNvPicPr>
                  </pic:nvPicPr>
                  <pic:blipFill>
                    <a:blip r:embed="rId67"/>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0"/>
    <w:bookmarkStart w:id="74"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1">
        <w:r>
          <w:rPr>
            <w:rStyle w:val="Hyperlink"/>
          </w:rPr>
          <w:t xml:space="preserve">Budget Lab’s tariff modeling</w:t>
        </w:r>
      </w:hyperlink>
      <w:r>
        <w:t xml:space="preserve"> </w:t>
      </w:r>
      <w:r>
        <w:t xml:space="preserve">has assumed that currency adjustments offset just under one-fifth of the cost of US tariffs to US consumers &amp; businesses without foreign retaliation.</w:t>
      </w:r>
    </w:p>
    <w:p>
      <w:pPr>
        <w:pStyle w:val="BodyText"/>
      </w:pPr>
      <w:r>
        <w:t xml:space="preserve">The reality, however, has been different so far. As of February 2026, the US dollar is 7.6% weaker than its December 2024 average. There’s also been inconsistent depreciation among the targets of US tariffs. China’s yuan is 0.5% weaker than its December 2024 average, while Canada’s dollar is 0.7% stronger over the same period. Mexico’s peso is 13.4%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2" name="Picture"/>
            <a:graphic>
              <a:graphicData uri="http://schemas.openxmlformats.org/drawingml/2006/picture">
                <pic:pic>
                  <pic:nvPicPr>
                    <pic:cNvPr descr="C:/Users/ji252/Documents/GitHub/tariff-impact-tracker/output/tariff_impacts_report_files/figure-docx/fig-currencies-1.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4"/>
    <w:bookmarkStart w:id="81"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imports are down $16.4 billion (real 2025 USD) from December 2024 relative to trend. This rough measure of stockpiling implies that firms have worked their way through stocks of imports built up during the first quarter of 2025 (prior to the new tariff regime), and therefore that we could see larger price effects in the coming months.</w:t>
      </w:r>
    </w:p>
    <w:p>
      <w:pPr>
        <w:pStyle w:val="BodyText"/>
      </w:pPr>
      <w:r>
        <w:drawing>
          <wp:inline>
            <wp:extent cx="5334000" cy="3200400"/>
            <wp:effectExtent b="0" l="0" r="0" t="0"/>
            <wp:docPr descr="" title="" id="76" name="Picture"/>
            <a:graphic>
              <a:graphicData uri="http://schemas.openxmlformats.org/drawingml/2006/picture">
                <pic:pic>
                  <pic:nvPicPr>
                    <pic:cNvPr descr="C:/Users/ji252/Documents/GitHub/tariff-impact-tracker/output/tariff_impacts_report_files/figure-docx/fig-imports-exports-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9" name="Picture"/>
            <a:graphic>
              <a:graphicData uri="http://schemas.openxmlformats.org/drawingml/2006/picture">
                <pic:pic>
                  <pic:nvPicPr>
                    <pic:cNvPr descr="C:/Users/ji252/Documents/GitHub/tariff-impact-tracker/output/tariff_impacts_report_files/figure-docx/fig-trade-deviation-1.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81"/>
    <w:bookmarkStart w:id="82"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2"/>
    <w:bookmarkStart w:id="92" w:name="appendix"/>
    <w:p>
      <w:pPr>
        <w:pStyle w:val="Heading2"/>
      </w:pPr>
      <w:r>
        <w:t xml:space="preserve">Appendix</w:t>
      </w:r>
    </w:p>
    <w:p>
      <w:pPr>
        <w:pStyle w:val="FirstParagraph"/>
      </w:pPr>
      <w:r>
        <w:drawing>
          <wp:inline>
            <wp:extent cx="5334000" cy="3200400"/>
            <wp:effectExtent b="0" l="0" r="0" t="0"/>
            <wp:docPr descr="" title="" id="84" name="Picture"/>
            <a:graphic>
              <a:graphicData uri="http://schemas.openxmlformats.org/drawingml/2006/picture">
                <pic:pic>
                  <pic:nvPicPr>
                    <pic:cNvPr descr="C:/Users/ji252/Documents/GitHub/tariff-impact-tracker/output/tariff_impacts_report_files/figure-docx/fig-daily-etr-authority-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7" name="Picture"/>
            <a:graphic>
              <a:graphicData uri="http://schemas.openxmlformats.org/drawingml/2006/picture">
                <pic:pic>
                  <pic:nvPicPr>
                    <pic:cNvPr descr="C:/Users/ji252/Documents/GitHub/tariff-impact-tracker/output/tariff_impacts_report_files/figure-docx/fig-pce-goods-ll-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90" name="Picture"/>
            <a:graphic>
              <a:graphicData uri="http://schemas.openxmlformats.org/drawingml/2006/picture">
                <pic:pic>
                  <pic:nvPicPr>
                    <pic:cNvPr descr="C:/Users/ji252/Documents/GitHub/tariff-impact-tracker/output/tariff_impacts_report_files/figure-docx/fig-deviation-ll-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2026-03-31 13:08:13.54119 using R R version 4.5.2 (2025-10-31 ucrt)</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6" Target="media/rId86.png" /><Relationship Type="http://schemas.openxmlformats.org/officeDocument/2006/relationships/image" Id="rId31" Target="media/rId31.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78" Target="media/rId78.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2026-03-31T17:08:13Z</dcterms:created>
  <dcterms:modified xsi:type="dcterms:W3CDTF">2026-03-31T17:08:13Z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31, 2026</vt:lpwstr>
  </property>
  <property fmtid="{D5CDD505-2E9C-101B-9397-08002B2CF9AE}" pid="3" name="output">
    <vt:lpwstr/>
  </property>
</Properties>
</file>