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24.png" ContentType="image/png"/>
  <Override PartName="/word/media/rId78.png" ContentType="image/png"/>
  <Override PartName="/word/media/rId84.png" ContentType="image/png"/>
  <Override PartName="/word/media/rId39.png" ContentType="image/png"/>
  <Override PartName="/word/media/rId55.png" ContentType="image/png"/>
  <Override PartName="/word/media/rId70.png" ContentType="image/png"/>
  <Override PartName="/word/media/rId62.png" ContentType="image/png"/>
  <Override PartName="/word/media/rId46.png" ContentType="image/png"/>
  <Override PartName="/word/media/rId43.png" ContentType="image/png"/>
  <Override PartName="/word/media/rId36.png" ContentType="image/png"/>
  <Override PartName="/word/media/rId81.png" ContentType="image/png"/>
  <Override PartName="/word/media/rId31.png" ContentType="image/png"/>
  <Override PartName="/word/media/rId27.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21,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Saturday, March 21st,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0.2% and 0.1% respectively during 2025 through January, both well above prior-year comparisons. Implied passthrough of tariffs to imported consumer goods prices ranges from roughly 6–86% for core goods and 5–115%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Saturday, March 21st,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2.3% during 2025 through January).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 Tariff Rate Tracker follows the full schedule of statutory tariff rates as encoded in the Harmonized Tariff Schedule (HTS), weighted by 2024 import values. As of March 21, 2026, the import-weighted average statutory tariff rate stood at 10.1% (see Figure A1 in the</w:t>
      </w:r>
      <w:r>
        <w:t xml:space="preserve"> </w:t>
      </w:r>
      <w:hyperlink w:anchor="appendix">
        <w:r>
          <w:rPr>
            <w:rStyle w:val="Hyperlink"/>
          </w:rPr>
          <w:t xml:space="preserve">Appendix below</w:t>
        </w:r>
      </w:hyperlink>
      <w:r>
        <w:t xml:space="preserve"> </w:t>
      </w:r>
      <w:r>
        <w:t xml:space="preserve">for a decomposition by tariff authority).</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60"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4"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50">
        <w:r>
          <w:rPr>
            <w:rStyle w:val="Hyperlink"/>
          </w:rPr>
          <w:t xml:space="preserve">Flaaen, Hortacsu &amp; Tintelnot (2020)</w:t>
        </w:r>
      </w:hyperlink>
      <w:r>
        <w:t xml:space="preserve"> </w:t>
      </w:r>
      <w:r>
        <w:t xml:space="preserve">and</w:t>
      </w:r>
      <w:r>
        <w:t xml:space="preserve"> </w:t>
      </w:r>
      <w:hyperlink r:id="rId51">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January 2026.</w:t>
      </w:r>
    </w:p>
    <w:p>
      <w:pPr>
        <w:pStyle w:val="BodyText"/>
      </w:pPr>
      <w:r>
        <w:t xml:space="preserve">In</w:t>
      </w:r>
      <w:r>
        <w:t xml:space="preserve"> </w:t>
      </w:r>
      <w:hyperlink r:id="rId52">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very similar passthrough estimates of 64% for core goods and 128% for durables. The most conservative method—raw price changes during 2025 through January with no trend adjustment—gives 6% and 5% for core goods and durables, respectively. All in all, the story is fairly consistent for imported core goods, with somewhere between 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-17%–79% in June 2025. These estimates of passthrough are larger than those found by other researchers, but not unreasonably so. For example,</w:t>
      </w:r>
      <w:r>
        <w:t xml:space="preserve"> </w:t>
      </w:r>
      <w:hyperlink r:id="rId53">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4"/>
    <w:bookmarkStart w:id="59"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6" name="Picture"/>
            <a:graphic>
              <a:graphicData uri="http://schemas.openxmlformats.org/drawingml/2006/picture">
                <pic:pic>
                  <pic:nvPicPr>
                    <pic:cNvPr descr="C:/Users/ji252/Documents/GitHub/tariff-impact-tracker/output/tariff_impacts_report_files/figure-docx/fig-import-prices-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8">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9"/>
    <w:bookmarkEnd w:id="60"/>
    <w:bookmarkStart w:id="61"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N/A% during 2025 through N/A, which is N/A% less than the pre-2025 trend would have predicted, and N/A% less than the growth rate in 2024 over the same period. When we just look at tariff-sensitive manufacturing employment, the manufacturing index changed by N/A%, versus the trend’s N/A%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rPr>
          <w:i/>
          <w:iCs/>
        </w:rPr>
        <w:t xml:space="preserve">Tariff-exposed employment index not available. Run employment_index.R with input files to generate.</w:t>
      </w:r>
    </w:p>
    <w:p>
      <w:pPr>
        <w:pStyle w:val="BodyText"/>
      </w:pPr>
      <w:r>
        <w:rPr>
          <w:i/>
          <w:iCs/>
        </w:rPr>
        <w:t xml:space="preserve">Manufacturing employment index not available. Run employment_index.R with input files to generate.</w:t>
      </w:r>
    </w:p>
    <w:p>
      <w:r>
        <w:pict>
          <v:rect style="width:0;height:1.5pt" o:hralign="center" o:hrstd="t" o:hr="t"/>
        </w:pict>
      </w:r>
    </w:p>
    <w:bookmarkEnd w:id="61"/>
    <w:bookmarkStart w:id="65"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3" name="Picture"/>
            <a:graphic>
              <a:graphicData uri="http://schemas.openxmlformats.org/drawingml/2006/picture">
                <pic:pic>
                  <pic:nvPicPr>
                    <pic:cNvPr descr="C:/Users/ji252/Documents/GitHub/tariff-impact-tracker/output/tariff_impacts_report_files/figure-docx/fig-industrial-prod-1.png" id="64" name="Picture"/>
                    <pic:cNvPicPr>
                      <a:picLocks noChangeArrowheads="1" noChangeAspect="1"/>
                    </pic:cNvPicPr>
                  </pic:nvPicPr>
                  <pic:blipFill>
                    <a:blip r:embed="rId62"/>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5"/>
    <w:bookmarkStart w:id="69"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67" name="Picture"/>
            <a:graphic>
              <a:graphicData uri="http://schemas.openxmlformats.org/drawingml/2006/picture">
                <pic:pic>
                  <pic:nvPicPr>
                    <pic:cNvPr descr="C:/Users/ji252/Documents/GitHub/tariff-impact-tracker/output/tariff_impacts_report_files/figure-docx/fig-currencies-1.png" id="68" name="Picture"/>
                    <pic:cNvPicPr>
                      <a:picLocks noChangeArrowheads="1" noChangeAspect="1"/>
                    </pic:cNvPicPr>
                  </pic:nvPicPr>
                  <pic:blipFill>
                    <a:blip r:embed="rId66"/>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9"/>
    <w:bookmarkStart w:id="76"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cumulative imports are still down by $16.4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71" name="Picture"/>
            <a:graphic>
              <a:graphicData uri="http://schemas.openxmlformats.org/drawingml/2006/picture">
                <pic:pic>
                  <pic:nvPicPr>
                    <pic:cNvPr descr="C:/Users/ji252/Documents/GitHub/tariff-impact-tracker/output/tariff_impacts_report_files/figure-docx/fig-imports-exports-1.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4" name="Picture"/>
            <a:graphic>
              <a:graphicData uri="http://schemas.openxmlformats.org/drawingml/2006/picture">
                <pic:pic>
                  <pic:nvPicPr>
                    <pic:cNvPr descr="C:/Users/ji252/Documents/GitHub/tariff-impact-tracker/output/tariff_impacts_report_files/figure-docx/fig-trade-deviation-1.pn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76"/>
    <w:bookmarkStart w:id="77"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77"/>
    <w:bookmarkStart w:id="87" w:name="appendix"/>
    <w:p>
      <w:pPr>
        <w:pStyle w:val="Heading2"/>
      </w:pPr>
      <w:r>
        <w:t xml:space="preserve">Appendix</w:t>
      </w:r>
    </w:p>
    <w:p>
      <w:pPr>
        <w:pStyle w:val="FirstParagraph"/>
      </w:pPr>
      <w:r>
        <w:drawing>
          <wp:inline>
            <wp:extent cx="5334000" cy="3200400"/>
            <wp:effectExtent b="0" l="0" r="0" t="0"/>
            <wp:docPr descr="" title="" id="79" name="Picture"/>
            <a:graphic>
              <a:graphicData uri="http://schemas.openxmlformats.org/drawingml/2006/picture">
                <pic:pic>
                  <pic:nvPicPr>
                    <pic:cNvPr descr="C:/Users/ji252/Documents/GitHub/tariff-impact-tracker/output/tariff_impacts_report_files/figure-docx/fig-daily-etr-authority-1.png" id="80" name="Picture"/>
                    <pic:cNvPicPr>
                      <a:picLocks noChangeArrowheads="1" noChangeAspect="1"/>
                    </pic:cNvPicPr>
                  </pic:nvPicPr>
                  <pic:blipFill>
                    <a:blip r:embed="rId78"/>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2" name="Picture"/>
            <a:graphic>
              <a:graphicData uri="http://schemas.openxmlformats.org/drawingml/2006/picture">
                <pic:pic>
                  <pic:nvPicPr>
                    <pic:cNvPr descr="C:/Users/ji252/Documents/GitHub/tariff-impact-tracker/output/tariff_impacts_report_files/figure-docx/fig-pce-goods-ll-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85" name="Picture"/>
            <a:graphic>
              <a:graphicData uri="http://schemas.openxmlformats.org/drawingml/2006/picture">
                <pic:pic>
                  <pic:nvPicPr>
                    <pic:cNvPr descr="C:/Users/ji252/Documents/GitHub/tariff-impact-tracker/output/tariff_impacts_report_files/figure-docx/fig-deviation-ll-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2026-03-21 11:34:22.059219 using R R version 4.5.2 (2025-10-31 ucrt)</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24" Target="media/rId24.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2026-03-21T15:34:24Z</dcterms:created>
  <dcterms:modified xsi:type="dcterms:W3CDTF">2026-03-21T15:34:24Z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output">
    <vt:lpwstr/>
  </property>
</Properties>
</file>