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84.png" ContentType="image/png"/>
  <Override PartName="/word/media/rId36.png" ContentType="image/png"/>
  <Override PartName="/word/media/rId52.png" ContentType="image/png"/>
  <Override PartName="/word/media/rId73.png" ContentType="image/png"/>
  <Override PartName="/word/media/rId65.png" ContentType="image/png"/>
  <Override PartName="/word/media/rId43.png" ContentType="image/png"/>
  <Override PartName="/word/media/rId40.png" ContentType="image/png"/>
  <Override PartName="/word/media/rId33.png" ContentType="image/png"/>
  <Override PartName="/word/media/rId81.png" ContentType="image/png"/>
  <Override PartName="/word/media/rId25.png" ContentType="image/png"/>
  <Override PartName="/word/media/rId58.png" ContentType="image/png"/>
  <Override PartName="/word/media/rId61.png" ContentType="image/png"/>
  <Override PartName="/word/media/rId2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02,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Monday, March 2nd, 2026. For the most part, given data lags, the findings reflect the conditions prior to the SCOTUS decision repealing IEEPA Tariffs on February 20th, 2026.</w:t>
      </w:r>
      <w:r>
        <w:br/>
      </w:r>
    </w:p>
    <w:p>
      <w:pPr>
        <w:pStyle w:val="Compact"/>
        <w:numPr>
          <w:ilvl w:val="0"/>
          <w:numId w:val="1001"/>
        </w:numPr>
      </w:pPr>
      <w:r>
        <w:rPr>
          <w:b/>
          <w:bCs/>
        </w:rPr>
        <w:t xml:space="preserve">Tariff revenue:</w:t>
      </w:r>
      <w:r>
        <w:t xml:space="preserve"> </w:t>
      </w:r>
      <w:r>
        <w:t xml:space="preserve">The 2025 tariffs have raised an estimated $194.8 billion in inflation-adjusted customs revenue above the 2022–2024 average as of January 2026, with the effective tariff rate reaching 9.9% in December 2025.</w:t>
      </w:r>
    </w:p>
    <w:p>
      <w:pPr>
        <w:pStyle w:val="Compact"/>
        <w:numPr>
          <w:ilvl w:val="0"/>
          <w:numId w:val="1001"/>
        </w:numPr>
      </w:pPr>
      <w:r>
        <w:rPr>
          <w:b/>
          <w:bCs/>
        </w:rPr>
        <w:t xml:space="preserve">Pass-through to consumer prices:</w:t>
      </w:r>
      <w:r>
        <w:t xml:space="preserve"> </w:t>
      </w:r>
      <w:r>
        <w:t xml:space="preserve">Imported PCE core goods and durable goods prices have risen 1.3% and 1.4% respectively during 2025 through December, both well above prior-year comparisons. Implied passthrough of tariffs to imported consumer goods prices ranges from roughly 40–76% for core goods and 47–106%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February 21st</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Monday, March 2nd, 2026.</w:t>
      </w:r>
    </w:p>
    <w:p>
      <w:pPr>
        <w:pStyle w:val="BodyText"/>
      </w:pPr>
      <w:r>
        <w:t xml:space="preserve">Overall, there is evidence, consistent with economic theory, that tariffs have raised both additional revenue ($194.8 Billion above the 2022–2024 average) and led to higher prices (Personal Consumption Expenditure (PCE) core goods up 2.0% during 2025 through December).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3"/>
    <w:bookmarkStart w:id="31" w:name="revenues-effective-tariff-rates"/>
    <w:p>
      <w:pPr>
        <w:pStyle w:val="Heading2"/>
      </w:pPr>
      <w:r>
        <w:t xml:space="preserve">Revenues &amp; Effective Tariff Rates</w:t>
      </w:r>
    </w:p>
    <w:p>
      <w:pPr>
        <w:pStyle w:val="FirstParagraph"/>
      </w:pPr>
      <w:r>
        <w:t xml:space="preserve">Tariffs are a tax on imports, therefore higher tariffs will increase revenues if their effect on imports is not sufficiently prohibitive. Before the 2025 tariff announcements, the average effective US tariff rate was 2.7% (2022–2024 average), raising $7.6 billion a month in net customs duty revenues. The new 2025 tariffs have pushed the average effective US rate to 9.9%, and have raised roughly $194.8 billion in revenues so far (after accounting for the 2022–2024 average), with $174.7 billion collected over the course of 2025 and about $20.1 billion of that new tariff revenue posted in January 2026 alone.</w:t>
      </w:r>
    </w:p>
    <w:p>
      <w:pPr>
        <w:pStyle w:val="BodyText"/>
      </w:pPr>
      <w:r>
        <w:t xml:space="preserve">However, the revenue landscape has shifted significantly. On February 20th, 2026, the Supreme Court ruled 6–3 in</w:t>
      </w:r>
      <w:r>
        <w:t xml:space="preserve"> </w:t>
      </w:r>
      <w:r>
        <w:rPr>
          <w:i/>
          <w:iCs/>
        </w:rPr>
        <w:t xml:space="preserve">Learning Resources, Inc. v. Trump</w:t>
      </w:r>
      <w:r>
        <w:t xml:space="preserve"> </w:t>
      </w:r>
      <w:r>
        <w:t xml:space="preserve">that the use of IEEPA to impose tariffs exceeded presidential authority, striking down all IEEPA-based tariffs—including the reciprocal, fentanyl, and universal baseline tariff regimes. Tariffs imposed using other authorities remain in effect, and the questions of legality and implementation of IEEPA refunds remains uncertain. This means that some or all of the IEEPA revenue collected to date may ultimately be returned to importers. Our back-of-the-envelope estimate, projecting forward using the average of observed FY 2026 CBP collections as of December 14th (the same methodology behind our earlier $142 billion figure), puts total IEEPA revenue at roughly $168 billion through February 19th, 2026. The customs revenue data presented in this report do not yet cover the post-SCOTUS period, and substantial uncertainty remains: the ultimate fiscal impact will depend on the resolution of refund litigation, the duration and scope of the replacement Section 122 tariffs, and any further legislative or executive action.</w:t>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December and January projected forward) for the rest of the fiscal year ($334 billion). However, the revenue estimates in the State of Tariff Report account for decreases in other revenue sources, like federal payroll and corporate income taxes, following the methodology of the</w:t>
      </w:r>
      <w:r>
        <w:t xml:space="preserve"> </w:t>
      </w:r>
      <w:hyperlink r:id="rId24">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drawing>
          <wp:inline>
            <wp:extent cx="5334000" cy="3200400"/>
            <wp:effectExtent b="0" l="0" r="0" t="0"/>
            <wp:docPr descr="" title="" id="26" name="Picture"/>
            <a:graphic>
              <a:graphicData uri="http://schemas.openxmlformats.org/drawingml/2006/picture">
                <pic:pic>
                  <pic:nvPicPr>
                    <pic:cNvPr descr="C:/Users/ji252/Documents/GitHub/tariff-impact-tracker/output/tariff_impacts_report_files/figure-docx/fig-revenue-1.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29" name="Picture"/>
            <a:graphic>
              <a:graphicData uri="http://schemas.openxmlformats.org/drawingml/2006/picture">
                <pic:pic>
                  <pic:nvPicPr>
                    <pic:cNvPr descr="C:/Users/ji252/Documents/GitHub/tariff-impact-tracker/output/tariff_impacts_report_files/figure-docx/fig-tariff-rate-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bookmarkEnd w:id="31"/>
    <w:bookmarkStart w:id="57"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39"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2">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December, PCE core goods prices (goods excluding volatile food &amp; energy components) rose 2.0%, versus -0.0% over the same 12-month period starting in 2023. The difference is even starker with PCE durable goods prices, which rose 2.1%, versus -2.2% over the same period starting in 2023. Core goods and durable goods were 3.0% and 3.5% above TBL’s estimate of pre-2025 trend in December.</w:t>
      </w:r>
    </w:p>
    <w:p>
      <w:pPr>
        <w:pStyle w:val="BodyText"/>
      </w:pPr>
      <w:r>
        <w:t xml:space="preserve">Versions of Figures 3 and 4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34" name="Picture"/>
            <a:graphic>
              <a:graphicData uri="http://schemas.openxmlformats.org/drawingml/2006/picture">
                <pic:pic>
                  <pic:nvPicPr>
                    <pic:cNvPr descr="C:/Users/ji252/Documents/GitHub/tariff-impact-tracker/output/tariff_impacts_report_files/figure-docx/fig-pce-goods-1.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37" name="Picture"/>
            <a:graphic>
              <a:graphicData uri="http://schemas.openxmlformats.org/drawingml/2006/picture">
                <pic:pic>
                  <pic:nvPicPr>
                    <pic:cNvPr descr="C:/Users/ji252/Documents/GitHub/tariff-impact-tracker/output/tariff_impacts_report_files/figure-docx/fig-deviation-trend-1.png" id="38" name="Picture"/>
                    <pic:cNvPicPr>
                      <a:picLocks noChangeArrowheads="1" noChangeAspect="1"/>
                    </pic:cNvPicPr>
                  </pic:nvPicPr>
                  <pic:blipFill>
                    <a:blip r:embed="rId36"/>
                    <a:stretch>
                      <a:fillRect/>
                    </a:stretch>
                  </pic:blipFill>
                  <pic:spPr bwMode="auto">
                    <a:xfrm>
                      <a:off x="0" y="0"/>
                      <a:ext cx="5334000" cy="3200400"/>
                    </a:xfrm>
                    <a:prstGeom prst="rect">
                      <a:avLst/>
                    </a:prstGeom>
                    <a:noFill/>
                    <a:ln w="9525">
                      <a:noFill/>
                      <a:headEnd/>
                      <a:tailEnd/>
                    </a:ln>
                  </pic:spPr>
                </pic:pic>
              </a:graphicData>
            </a:graphic>
          </wp:inline>
        </w:drawing>
      </w:r>
    </w:p>
    <w:bookmarkEnd w:id="39"/>
    <w:bookmarkStart w:id="46"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December, the imported core goods index is 2.6% above trend and the imported durables index is 3.2% above trend, compared to 3.0% and 3.5% for the standard PCE indices. See the</w:t>
      </w:r>
      <w:r>
        <w:t xml:space="preserve"> </w:t>
      </w:r>
      <w:hyperlink r:id="rId32">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1" name="Picture"/>
            <a:graphic>
              <a:graphicData uri="http://schemas.openxmlformats.org/drawingml/2006/picture">
                <pic:pic>
                  <pic:nvPicPr>
                    <pic:cNvPr descr="C:/Users/ji252/Documents/GitHub/tariff-impact-tracker/output/tariff_impacts_report_files/figure-docx/fig-ipi-prices-1.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4" name="Picture"/>
            <a:graphic>
              <a:graphicData uri="http://schemas.openxmlformats.org/drawingml/2006/picture">
                <pic:pic>
                  <pic:nvPicPr>
                    <pic:cNvPr descr="C:/Users/ji252/Documents/GitHub/tariff-impact-tracker/output/tariff_impacts_report_files/figure-docx/fig-ipi-deviation-1.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bookmarkEnd w:id="46"/>
    <w:bookmarkStart w:id="51"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47">
        <w:r>
          <w:rPr>
            <w:rStyle w:val="Hyperlink"/>
          </w:rPr>
          <w:t xml:space="preserve">Flaaen, Hortacsu &amp; Tintelnot (2020)</w:t>
        </w:r>
      </w:hyperlink>
      <w:r>
        <w:t xml:space="preserve"> </w:t>
      </w:r>
      <w:r>
        <w:t xml:space="preserve">and</w:t>
      </w:r>
      <w:r>
        <w:t xml:space="preserve"> </w:t>
      </w:r>
      <w:hyperlink r:id="rId48">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December 2025.</w:t>
      </w:r>
    </w:p>
    <w:p>
      <w:pPr>
        <w:pStyle w:val="BodyText"/>
      </w:pPr>
      <w:r>
        <w:t xml:space="preserve">In</w:t>
      </w:r>
      <w:r>
        <w:t xml:space="preserve"> </w:t>
      </w:r>
      <w:hyperlink r:id="rId49">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32.2% of core goods spending; see</w:t>
      </w:r>
      <w:r>
        <w:t xml:space="preserve"> </w:t>
      </w:r>
      <w:hyperlink r:id="rId32">
        <w:r>
          <w:rPr>
            <w:rStyle w:val="Hyperlink"/>
          </w:rPr>
          <w:t xml:space="preserve">accompanying Methodology page</w:t>
        </w:r>
      </w:hyperlink>
      <w:r>
        <w:t xml:space="preserve">), we would expect full passthrough price effects from the actual tariff increases in 2025 so far to add 3.4 and 3.0 percentage points through December 2025 for core goods and durables prices, respectively.</w:t>
      </w:r>
    </w:p>
    <w:p>
      <w:pPr>
        <w:pStyle w:val="BodyText"/>
      </w:pPr>
      <w:r>
        <w:t xml:space="preserve">We estimate the rise in imported core goods and durable prices in three ways. The first, and our preferred approach, uses the trend estimates reported in Figure 5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December.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December 2025.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December 2025 is 76%, and the implied passthrough to imported durables prices is 106%. The larger durable passthrough rate is due both to a lower import share and a more aggressive pre-2025 downward trend in prices. The simpler log-linear trend yields very similar passthrough estimates of 56% for core goods and 117% for durables. The most conservative method—raw price changes during 2025 through December with no trend adjustment—gives 40% and 47% for core goods and durables, respectively. All in all, the story is fairly consistent for imported core goods, with somewhere between 40% and 76%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37%–78% in June 2025. These estimates of passthrough are larger than those found by other researchers, but not unreasonably so. For example,</w:t>
      </w:r>
      <w:r>
        <w:t xml:space="preserve"> </w:t>
      </w:r>
      <w:hyperlink r:id="rId50">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(December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2">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December with no trend adjustment.</w:t>
      </w:r>
    </w:p>
    <w:p>
      <w:pPr>
        <w:pStyle w:val="Compact"/>
        <w:numPr>
          <w:ilvl w:val="0"/>
          <w:numId w:val="1002"/>
        </w:numPr>
      </w:pPr>
      <w:r>
        <w:t xml:space="preserve">Tariff rates are category-specific effective rates from USITC trade data: core goods 13.1%, durables 13.3% (vs 2.7% baseline). Economy-wide effective rate as of December 2025: 9.9%.</w:t>
      </w:r>
    </w:p>
    <w:p>
      <w:r>
        <w:pict>
          <v:rect style="width:0;height:1.5pt" o:hralign="center" o:hrstd="t" o:hr="t"/>
        </w:pict>
      </w:r>
    </w:p>
    <w:bookmarkEnd w:id="51"/>
    <w:bookmarkStart w:id="56"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3" name="Picture"/>
            <a:graphic>
              <a:graphicData uri="http://schemas.openxmlformats.org/drawingml/2006/picture">
                <pic:pic>
                  <pic:nvPicPr>
                    <pic:cNvPr descr="C:/Users/ji252/Documents/GitHub/tariff-impact-tracker/output/tariff_impacts_report_files/figure-docx/fig-import-prices-1.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55">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56"/>
    <w:bookmarkEnd w:id="57"/>
    <w:bookmarkStart w:id="64"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January 2026 changed by +0.4M jobs relative to the level of employment one year earlier. This is lower than that same statistic from one year prior (+1.2M).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-0.5% during 2025 through January, which is 0.8% less than the pre-2025 trend would have predicted, and 0.4% less than the growth rate in 2024 over the same period. When we just look at tariff-sensitive manufacturing employment, the manufacturing index changed by -0.8%, versus the trend’s -0.6%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59" name="Picture"/>
            <a:graphic>
              <a:graphicData uri="http://schemas.openxmlformats.org/drawingml/2006/picture">
                <pic:pic>
                  <pic:nvPicPr>
                    <pic:cNvPr descr="C:/Users/ji252/Documents/GitHub/tariff-impact-tracker/output/tariff_impacts_report_files/figure-docx/fig-tariff-emp-combined-1.png" id="60" name="Picture"/>
                    <pic:cNvPicPr>
                      <a:picLocks noChangeArrowheads="1" noChangeAspect="1"/>
                    </pic:cNvPicPr>
                  </pic:nvPicPr>
                  <pic:blipFill>
                    <a:blip r:embed="rId58"/>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2" name="Picture"/>
            <a:graphic>
              <a:graphicData uri="http://schemas.openxmlformats.org/drawingml/2006/picture">
                <pic:pic>
                  <pic:nvPicPr>
                    <pic:cNvPr descr="C:/Users/ji252/Documents/GitHub/tariff-impact-tracker/output/tariff_impacts_report_files/figure-docx/fig-tariff-emp-mfg-combined-1.png" id="63" name="Picture"/>
                    <pic:cNvPicPr>
                      <a:picLocks noChangeArrowheads="1" noChangeAspect="1"/>
                    </pic:cNvPicPr>
                  </pic:nvPicPr>
                  <pic:blipFill>
                    <a:blip r:embed="rId61"/>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64"/>
    <w:bookmarkStart w:id="68"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January, the index has changed by +2.1%,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66" name="Picture"/>
            <a:graphic>
              <a:graphicData uri="http://schemas.openxmlformats.org/drawingml/2006/picture">
                <pic:pic>
                  <pic:nvPicPr>
                    <pic:cNvPr descr="C:/Users/ji252/Documents/GitHub/tariff-impact-tracker/output/tariff_impacts_report_files/figure-docx/fig-industrial-prod-1.png" id="67" name="Picture"/>
                    <pic:cNvPicPr>
                      <a:picLocks noChangeArrowheads="1" noChangeAspect="1"/>
                    </pic:cNvPicPr>
                  </pic:nvPicPr>
                  <pic:blipFill>
                    <a:blip r:embed="rId65"/>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68"/>
    <w:bookmarkStart w:id="72"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January 2026, the US dollar is 6.3% weaker than its December 2024 average. There’s also been inconsistent depreciation among the targets of US tariffs. China’s yuan is 0.0% weaker than its December 2024 average, while Canada’s dollar is 0.5% stronger over the same period. Mexico’s peso is 11.6%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0" name="Picture"/>
            <a:graphic>
              <a:graphicData uri="http://schemas.openxmlformats.org/drawingml/2006/picture">
                <pic:pic>
                  <pic:nvPicPr>
                    <pic:cNvPr descr="C:/Users/ji252/Documents/GitHub/tariff-impact-tracker/output/tariff_impacts_report_files/figure-docx/fig-currencies-1.png" id="71" name="Picture"/>
                    <pic:cNvPicPr>
                      <a:picLocks noChangeArrowheads="1" noChangeAspect="1"/>
                    </pic:cNvPicPr>
                  </pic:nvPicPr>
                  <pic:blipFill>
                    <a:blip r:embed="rId69"/>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2"/>
    <w:bookmarkStart w:id="79"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December 2025 imports have been on average -6.2% below the pre-2025 trend. Real exports fell more modestly (in absolute terms) than imports, and are 2.1% below trend as of December 2025.</w:t>
      </w:r>
    </w:p>
    <w:p>
      <w:pPr>
        <w:pStyle w:val="BodyText"/>
      </w:pPr>
      <w:r>
        <w:t xml:space="preserve">Cumulatively, as of December 2025, cumulative imports are still up by $2.3 billion (real 2025 USD) from December 2024 relative to trend. This has implications for the discussion of stockpiling: this very rough measure of imports implies that the ability of firms to rely on pre-tariff stocks of goods will degrade shortly.</w:t>
      </w:r>
    </w:p>
    <w:p>
      <w:pPr>
        <w:pStyle w:val="BodyText"/>
      </w:pPr>
      <w:r>
        <w:drawing>
          <wp:inline>
            <wp:extent cx="5334000" cy="3200400"/>
            <wp:effectExtent b="0" l="0" r="0" t="0"/>
            <wp:docPr descr="" title="" id="74" name="Picture"/>
            <a:graphic>
              <a:graphicData uri="http://schemas.openxmlformats.org/drawingml/2006/picture">
                <pic:pic>
                  <pic:nvPicPr>
                    <pic:cNvPr descr="C:/Users/ji252/Documents/GitHub/tariff-impact-tracker/output/tariff_impacts_report_files/figure-docx/fig-imports-exports-1.png" id="75" name="Picture"/>
                    <pic:cNvPicPr>
                      <a:picLocks noChangeArrowheads="1" noChangeAspect="1"/>
                    </pic:cNvPicPr>
                  </pic:nvPicPr>
                  <pic:blipFill>
                    <a:blip r:embed="rId7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77" name="Picture"/>
            <a:graphic>
              <a:graphicData uri="http://schemas.openxmlformats.org/drawingml/2006/picture">
                <pic:pic>
                  <pic:nvPicPr>
                    <pic:cNvPr descr="C:/Users/ji252/Documents/GitHub/tariff-impact-tracker/output/tariff_impacts_report_files/figure-docx/fig-trade-deviation-1.pn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79"/>
    <w:bookmarkStart w:id="80"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0"/>
    <w:bookmarkStart w:id="87" w:name="appendix"/>
    <w:p>
      <w:pPr>
        <w:pStyle w:val="Heading2"/>
      </w:pPr>
      <w:r>
        <w:t xml:space="preserve">Appendix</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(December 2025).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209%</w:t>
            </w:r>
          </w:p>
        </w:tc>
      </w:tr>
    </w:tbl>
    <w:p>
      <w:pPr>
        <w:pStyle w:val="FirstParagraph"/>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2" name="Picture"/>
            <a:graphic>
              <a:graphicData uri="http://schemas.openxmlformats.org/drawingml/2006/picture">
                <pic:pic>
                  <pic:nvPicPr>
                    <pic:cNvPr descr="C:/Users/ji252/Documents/GitHub/tariff-impact-tracker/output/tariff_impacts_report_files/figure-docx/fig-pce-goods-ll-1.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85" name="Picture"/>
            <a:graphic>
              <a:graphicData uri="http://schemas.openxmlformats.org/drawingml/2006/picture">
                <pic:pic>
                  <pic:nvPicPr>
                    <pic:cNvPr descr="C:/Users/ji252/Documents/GitHub/tariff-impact-tracker/output/tariff_impacts_report_files/figure-docx/fig-deviation-ll-1.png" id="86" name="Picture"/>
                    <pic:cNvPicPr>
                      <a:picLocks noChangeArrowheads="1" noChangeAspect="1"/>
                    </pic:cNvPicPr>
                  </pic:nvPicPr>
                  <pic:blipFill>
                    <a:blip r:embed="rId84"/>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87"/>
    <w:bookmarkStart w:id="88" w:name="export-data-to-excel"/>
    <w:p>
      <w:pPr>
        <w:pStyle w:val="Heading2"/>
      </w:pPr>
      <w:r>
        <w:t xml:space="preserve">Export Data to Excel</w:t>
      </w:r>
    </w:p>
    <w:p>
      <w:pPr>
        <w:pStyle w:val="FirstParagraph"/>
      </w:pPr>
      <w:r>
        <w:t xml:space="preserve">The raw data underlying all figures and tables has been exported to:</w:t>
      </w:r>
      <w:r>
        <w:t xml:space="preserve"> </w:t>
      </w:r>
      <w:r>
        <w:rPr>
          <w:b/>
          <w:bCs/>
        </w:rPr>
        <w:t xml:space="preserve">tariff_impacts_results_20260302.xlsx</w:t>
      </w:r>
    </w:p>
    <w:p>
      <w:pPr>
        <w:pStyle w:val="BodyText"/>
      </w:pPr>
      <w:r>
        <w:t xml:space="preserve">This Excel file contains 21 sheets:</w:t>
      </w:r>
    </w:p>
    <w:p>
      <w:pPr>
        <w:pStyle w:val="Compact"/>
        <w:numPr>
          <w:ilvl w:val="0"/>
          <w:numId w:val="1004"/>
        </w:numPr>
      </w:pPr>
      <w:r>
        <w:rPr>
          <w:b/>
          <w:bCs/>
        </w:rPr>
        <w:t xml:space="preserve">Data TOC</w:t>
      </w:r>
      <w:r>
        <w:t xml:space="preserve">: Table of contents with hyperlinks to each data sheet</w:t>
      </w:r>
    </w:p>
    <w:p>
      <w:pPr>
        <w:pStyle w:val="Compact"/>
        <w:numPr>
          <w:ilvl w:val="0"/>
          <w:numId w:val="1004"/>
        </w:numPr>
      </w:pPr>
      <w:r>
        <w:rPr>
          <w:b/>
          <w:bCs/>
        </w:rPr>
        <w:t xml:space="preserve">Fig1-Fig13</w:t>
      </w:r>
      <w:r>
        <w:t xml:space="preserve">: Raw data for each figure (indexed values, trends, confidence intervals)</w:t>
      </w:r>
    </w:p>
    <w:p>
      <w:pPr>
        <w:pStyle w:val="Compact"/>
        <w:numPr>
          <w:ilvl w:val="0"/>
          <w:numId w:val="1004"/>
        </w:numPr>
      </w:pPr>
      <w:r>
        <w:rPr>
          <w:b/>
          <w:bCs/>
        </w:rPr>
        <w:t xml:space="preserve">Tables</w:t>
      </w:r>
      <w:r>
        <w:t xml:space="preserve">: Passthrough calculations and employment index summaries</w:t>
      </w:r>
    </w:p>
    <w:p>
      <w:r>
        <w:pict>
          <v:rect style="width:0;height:1.5pt" o:hralign="center" o:hrstd="t" o:hr="t"/>
        </w:pict>
      </w:r>
    </w:p>
    <w:p>
      <w:pPr>
        <w:pStyle w:val="FirstParagraph"/>
      </w:pPr>
      <w:r>
        <w:rPr>
          <w:i/>
          <w:iCs/>
        </w:rPr>
        <w:t xml:space="preserve">Report generated on 2026-03-02 14:37:39.827762 using R R version 4.5.2 (2025-10-31 ucrt)</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hyperlink" Id="rId32"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49" Target="https://budgetlab.yale.edu/research/state-us-tariffs-november-17-2025" TargetMode="External" /><Relationship Type="http://schemas.openxmlformats.org/officeDocument/2006/relationships/hyperlink" Id="rId47" Target="https://www.aeaweb.org/articles?id=10.1257/aer.20190611" TargetMode="External" /><Relationship Type="http://schemas.openxmlformats.org/officeDocument/2006/relationships/hyperlink" Id="rId55" Target="https://www.bls.gov/mxp/notices/2026/availability-of-oct-2025-mxpi-in-bls-database.htm" TargetMode="External" /><Relationship Type="http://schemas.openxmlformats.org/officeDocument/2006/relationships/hyperlink" Id="rId24" Target="https://www.cbo.gov/publication/58549" TargetMode="External" /><Relationship Type="http://schemas.openxmlformats.org/officeDocument/2006/relationships/hyperlink" Id="rId50" Target="https://www.pricinglab.org/files/TrackingTariffs_Cavallo_Llamas_Vazquez.pdf" TargetMode="External" /><Relationship Type="http://schemas.openxmlformats.org/officeDocument/2006/relationships/hyperlink" Id="rId48"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2"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49" Target="https://budgetlab.yale.edu/research/state-us-tariffs-november-17-2025" TargetMode="External" /><Relationship Type="http://schemas.openxmlformats.org/officeDocument/2006/relationships/hyperlink" Id="rId47" Target="https://www.aeaweb.org/articles?id=10.1257/aer.20190611" TargetMode="External" /><Relationship Type="http://schemas.openxmlformats.org/officeDocument/2006/relationships/hyperlink" Id="rId55" Target="https://www.bls.gov/mxp/notices/2026/availability-of-oct-2025-mxpi-in-bls-database.htm" TargetMode="External" /><Relationship Type="http://schemas.openxmlformats.org/officeDocument/2006/relationships/hyperlink" Id="rId24" Target="https://www.cbo.gov/publication/58549" TargetMode="External" /><Relationship Type="http://schemas.openxmlformats.org/officeDocument/2006/relationships/hyperlink" Id="rId50" Target="https://www.pricinglab.org/files/TrackingTariffs_Cavallo_Llamas_Vazquez.pdf" TargetMode="External" /><Relationship Type="http://schemas.openxmlformats.org/officeDocument/2006/relationships/hyperlink" Id="rId48"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2026-03-02T19:37:40Z</dcterms:created>
  <dcterms:modified xsi:type="dcterms:W3CDTF">2026-03-02T19:37:40Z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02, 2026</vt:lpwstr>
  </property>
  <property fmtid="{D5CDD505-2E9C-101B-9397-08002B2CF9AE}" pid="3" name="output">
    <vt:lpwstr/>
  </property>
</Properties>
</file>