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Beany Product Rationale and Scope</w:t>
      </w:r>
    </w:p>
    <w:p>
      <w:pPr>
        <w:pStyle w:val="Subtitle"/>
      </w:pPr>
      <w:r>
        <w:t>Codebase review and specification for the final project</w:t>
      </w:r>
    </w:p>
    <w:p>
      <w:r>
        <w:t>27 October 2026  |  CS3249  |  Baseline 13e124f</w:t>
      </w:r>
    </w:p>
    <w:p>
      <w:r>
        <w:t>Beany already has an editable brief, a synthetic shopping catalogue and deterministic merchant-risk controls. The next changes should make purchase intent and source evidence visible and understandable, while preserving user control. This document defines the product scope, implementation changes, acceptance criteria, demonstration and study plan. The appendix records the critical code findings and verification results.</w:t>
      </w:r>
    </w:p>
    <w:p>
      <w:pPr>
        <w:pStyle w:val="Heading1"/>
      </w:pPr>
      <w:r>
        <w:t>1 Product rationale</w:t>
      </w:r>
    </w:p>
    <w:p>
      <w:r>
        <w:t>Consumer shopping agents can reduce the work of searching several websites and synthesising product information, but they also make decisions that users cannot easily inspect. A recommendation is difficult to trust when the user cannot verify what the agent understood, which sources it considered or why one merchant deserves more caution than another.</w:t>
      </w:r>
    </w:p>
    <w:p>
      <w:r>
        <w:t>Beany addresses this gap through two connected capabilities: clarifying purchase intent and surfacing source trust signals and merchant risk indicators. Users should be able to see their needs represented accurately, correct that representation, inspect evidence and decide whether a recommendation is appropriate. Success means informed and calibrated reliance: accepting useful assistance while recognising uncertainty and rejecting unsuitable offers. Simply increasing trust, acceptance or purchase intent would be an inadequate goal.</w:t>
      </w:r>
    </w:p>
    <w:p>
      <w:r>
        <w:t>The intended user is a consumer who wants research assistance for a considered purchase, particularly when unfamiliar with products or sellers. Purchases above $200 motivated the discussion because errors may matter more at that level; the threshold is a motivating example, not an eligibility rule. For the Singapore demonstration, all selected task prices and budgets must explicitly use SGD. Any claim about an above-$200 population requires its original currency and source to be established separately.</w:t>
      </w:r>
    </w:p>
    <w:p>
      <w:r>
        <w:t>A conventional comparison site illustrates the design opportunity: a person can inspect sellers, prices and reviews, but must still determine which option fits their needs and how to interpret unfamiliar merchants. The meeting's kakaku.com example provides this design analogy. Beany should preserve access to the underlying information while helping users interpret its relevance.</w:t>
      </w:r>
    </w:p>
    <w:p>
      <w:r>
        <w:t>The final scope is consumer product discovery, evaluation and human decision support. Earlier agent-to-agent purchasing and delegated transaction framing should be retired from the product story. The user remains in control at the decision and checkout boundary. Real payments and real orders are outside this build; existing checkout and receipts are explicitly simulated.</w:t>
      </w:r>
    </w:p>
    <w:p>
      <w:pPr>
        <w:pStyle w:val="Heading1"/>
      </w:pPr>
      <w:r>
        <w:t>2 Scope and decisions</w:t>
      </w:r>
    </w:p>
    <w:p>
      <w:pPr>
        <w:pStyle w:val="Heading2"/>
      </w:pPr>
      <w:r>
        <w:t>Required final build</w:t>
      </w:r>
    </w:p>
    <w:p>
      <w:pPr>
        <w:pStyle w:val="ListBullet"/>
      </w:pPr>
      <w:r>
        <w:t>Purchase intent clarification for meaningful ambiguities, with an explicit option to browse when the user is unsure.</w:t>
      </w:r>
    </w:p>
    <w:p>
      <w:pPr>
        <w:pStyle w:val="ListBullet"/>
      </w:pPr>
      <w:r>
        <w:t>A visible, editable purchase brief containing category, budget, currency, use case and preferences, with provenance and hard versus soft distinctions.</w:t>
      </w:r>
    </w:p>
    <w:p>
      <w:pPr>
        <w:pStyle w:val="ListBullet"/>
      </w:pPr>
      <w:r>
        <w:t>A result-side recap of the current brief and a clear explanation of important matches, mismatches and tradeoffs.</w:t>
      </w:r>
    </w:p>
    <w:p>
      <w:pPr>
        <w:pStyle w:val="ListBullet"/>
      </w:pPr>
      <w:r>
        <w:t>Raw source signals per offer: product and seller ratings with counts, merchant identity indicators, returns and a comparable price reference when available.</w:t>
      </w:r>
    </w:p>
    <w:p>
      <w:pPr>
        <w:pStyle w:val="ListBullet"/>
      </w:pPr>
      <w:r>
        <w:t>Evidence-backed merchant risk communication that distinguishes observed signals, missing information and uncertainty.</w:t>
      </w:r>
    </w:p>
    <w:p>
      <w:pPr>
        <w:pStyle w:val="ListBullet"/>
      </w:pPr>
      <w:r>
        <w:t>A visible activity explanation of actual searches, inspections and assessments, presented before the result recommendation.</w:t>
      </w:r>
    </w:p>
    <w:p>
      <w:pPr>
        <w:pStyle w:val="ListBullet"/>
      </w:pPr>
      <w:r>
        <w:t>A controlled synthetic catalogue with trustworthy, unfamiliar, suspicious and ambiguous merchants, plus headphones and one existing second category for the demo.</w:t>
      </w:r>
    </w:p>
    <w:p>
      <w:pPr>
        <w:pStyle w:val="ListBullet"/>
      </w:pPr>
      <w:r>
        <w:t>A specified comparison baseline and full-system condition, with study metadata requirements and a proposed survey and interview plan. Implementation of the baseline is required before recruitment, not to present the final study plan.</w:t>
      </w:r>
    </w:p>
    <w:p>
      <w:pPr>
        <w:pStyle w:val="ListBullet"/>
      </w:pPr>
      <w:r>
        <w:t>A working submitted system and a 15-minute presentation covering rationale, changes, demo and study design. Study results are not required.</w:t>
      </w:r>
    </w:p>
    <w:p>
      <w:pPr>
        <w:pStyle w:val="Heading2"/>
      </w:pPr>
      <w:r>
        <w:t>Proposed enhancements</w:t>
      </w:r>
    </w:p>
    <w:p>
      <w:r>
        <w:t>A user-priority ranking, a Most recommended for you banner and richer side-by-side merchant offers are proposed design improvements. The meeting did not confirm the banner as mandatory. The minimum build must still explain fit and tradeoffs; a banner should be added only when its ranking rule and evidence are defensible. Real-time activity streaming is preferred if feasible; a truthful completed activity record with a clearly labelled advance search plan is the smaller fallback.</w:t>
      </w:r>
    </w:p>
    <w:p>
      <w:pPr>
        <w:pStyle w:val="Heading2"/>
      </w:pPr>
      <w:r>
        <w:t>Exclusions</w:t>
      </w:r>
    </w:p>
    <w:p>
      <w:r>
        <w:t>Real payments, automatic purchasing, shipping, agent-to-agent commerce, general scam or phishing detection, website-security infrastructure, large-scale live crawling, production authentication and additional product categories are outside the final-build critical path. A retailer allowlist can illustrate familiarity but must not imply that every marketplace seller is trustworthy. Small merchants must not be rejected solely because they are unfamiliar.</w:t>
      </w:r>
    </w:p>
    <w:p>
      <w:pPr>
        <w:pStyle w:val="Heading1"/>
      </w:pPr>
      <w:r>
        <w:t>3 Existing foundation and capability map</w:t>
      </w:r>
    </w:p>
    <w:p>
      <w:r>
        <w:t xml:space="preserve">The integrated runtime is </w:t>
      </w:r>
      <w:r>
        <w:rPr>
          <w:rFonts w:ascii="Consolas" w:hAnsi="Consolas"/>
          <w:sz w:val="18"/>
        </w:rPr>
        <w:t>backend/app/main.py</w:t>
      </w:r>
      <w:r>
        <w:t xml:space="preserve"> and </w:t>
      </w:r>
      <w:r>
        <w:rPr>
          <w:rFonts w:ascii="Consolas" w:hAnsi="Consolas"/>
          <w:sz w:val="18"/>
        </w:rPr>
        <w:t>backend/app/runtime/</w:t>
      </w:r>
      <w:r>
        <w:t xml:space="preserve">; older top-level backend modules are retained exercises. The active frontend uses </w:t>
      </w:r>
      <w:r>
        <w:rPr>
          <w:rFonts w:ascii="Consolas" w:hAnsi="Consolas"/>
          <w:sz w:val="18"/>
        </w:rPr>
        <w:t>frontend/src/lib/beany.ts</w:t>
      </w:r>
      <w:r>
        <w:t xml:space="preserve">, not the older </w:t>
      </w:r>
      <w:r>
        <w:rPr>
          <w:rFonts w:ascii="Consolas" w:hAnsi="Consolas"/>
          <w:sz w:val="18"/>
        </w:rPr>
        <w:t>contracts.ts</w:t>
      </w:r>
      <w:r>
        <w:t xml:space="preserve"> and </w:t>
      </w:r>
      <w:r>
        <w:rPr>
          <w:rFonts w:ascii="Consolas" w:hAnsi="Consolas"/>
          <w:sz w:val="18"/>
        </w:rPr>
        <w:t>api.ts</w:t>
      </w:r>
      <w:r>
        <w:t xml:space="preserve"> contracts. Current storage is SQLite snapshots under a single-worker mutation lock. The current stack is FastAPI, Pydantic, Python, Next.js, React and TypeScript.</w:t>
      </w:r>
    </w:p>
    <w:tbl>
      <w:tblPr>
        <w:tblStyle w:val="LightShading-Accent1"/>
        <w:tblW w:type="auto" w:w="0"/>
        <w:jc w:val="center"/>
        <w:tblLayout w:type="fixed"/>
        <w:tblLook w:firstColumn="1" w:firstRow="1" w:lastColumn="0" w:lastRow="0" w:noHBand="0" w:noVBand="1" w:val="04A0"/>
      </w:tblPr>
      <w:tblGrid>
        <w:gridCol w:w="2473"/>
        <w:gridCol w:w="2473"/>
        <w:gridCol w:w="2473"/>
        <w:gridCol w:w="2473"/>
      </w:tblGrid>
      <w:tr>
        <w:trPr>
          <w:cantSplit/>
          <w:tblHeader/>
        </w:trPr>
        <w:tc>
          <w:tcPr>
            <w:tcW w:type="dxa" w:w="1728"/>
            <w:vAlign w:val="top"/>
            <w:shd w:fill="EAEDEF"/>
          </w:tcPr>
          <w:p>
            <w:pPr>
              <w:spacing w:after="80" w:before="60" w:line="240" w:lineRule="auto"/>
            </w:pPr>
            <w:r>
              <w:rPr>
                <w:b/>
                <w:color w:val="000000"/>
                <w:sz w:val="19"/>
              </w:rPr>
              <w:t>Module</w:t>
            </w:r>
          </w:p>
        </w:tc>
        <w:tc>
          <w:tcPr>
            <w:tcW w:type="dxa" w:w="2736"/>
            <w:vAlign w:val="top"/>
            <w:shd w:fill="EAEDEF"/>
          </w:tcPr>
          <w:p>
            <w:pPr>
              <w:spacing w:after="80" w:before="60" w:line="240" w:lineRule="auto"/>
            </w:pPr>
            <w:r>
              <w:rPr>
                <w:b/>
                <w:color w:val="000000"/>
                <w:sz w:val="19"/>
              </w:rPr>
              <w:t>Current foundation</w:t>
            </w:r>
          </w:p>
        </w:tc>
        <w:tc>
          <w:tcPr>
            <w:tcW w:type="dxa" w:w="3096"/>
            <w:vAlign w:val="top"/>
            <w:shd w:fill="EAEDEF"/>
          </w:tcPr>
          <w:p>
            <w:pPr>
              <w:spacing w:after="80" w:before="60" w:line="240" w:lineRule="auto"/>
            </w:pPr>
            <w:r>
              <w:rPr>
                <w:b/>
                <w:color w:val="000000"/>
                <w:sz w:val="19"/>
              </w:rPr>
              <w:t>Change responsibility</w:t>
            </w:r>
          </w:p>
        </w:tc>
        <w:tc>
          <w:tcPr>
            <w:tcW w:type="dxa" w:w="2304"/>
            <w:vAlign w:val="top"/>
            <w:shd w:fill="EAEDEF"/>
          </w:tcPr>
          <w:p>
            <w:pPr>
              <w:spacing w:after="80" w:before="60" w:line="240" w:lineRule="auto"/>
            </w:pPr>
            <w:r>
              <w:rPr>
                <w:b/>
                <w:color w:val="000000"/>
                <w:sz w:val="19"/>
              </w:rPr>
              <w:t>Depends on</w:t>
            </w:r>
          </w:p>
        </w:tc>
      </w:tr>
      <w:tr>
        <w:trPr>
          <w:cantSplit/>
        </w:trPr>
        <w:tc>
          <w:tcPr>
            <w:tcW w:type="dxa" w:w="1728"/>
            <w:vAlign w:val="top"/>
            <w:shd w:fill="FFFFFF"/>
          </w:tcPr>
          <w:p>
            <w:pPr>
              <w:spacing w:after="80" w:before="60" w:line="240" w:lineRule="auto"/>
            </w:pPr>
            <w:r>
              <w:rPr>
                <w:color w:val="000000"/>
                <w:sz w:val="19"/>
              </w:rPr>
              <w:t>purchase-intent</w:t>
            </w:r>
          </w:p>
        </w:tc>
        <w:tc>
          <w:tcPr>
            <w:tcW w:type="dxa" w:w="2736"/>
            <w:vAlign w:val="top"/>
            <w:shd w:fill="FFFFFF"/>
          </w:tcPr>
          <w:p>
            <w:pPr>
              <w:spacing w:after="80" w:before="60" w:line="240" w:lineRule="auto"/>
            </w:pPr>
            <w:r>
              <w:rPr>
                <w:color w:val="000000"/>
                <w:sz w:val="19"/>
              </w:rPr>
              <w:t>Fact extraction and editable Brief</w:t>
            </w:r>
          </w:p>
        </w:tc>
        <w:tc>
          <w:tcPr>
            <w:tcW w:type="dxa" w:w="3096"/>
            <w:vAlign w:val="top"/>
            <w:shd w:fill="FFFFFF"/>
          </w:tcPr>
          <w:p>
            <w:pPr>
              <w:spacing w:after="80" w:before="60" w:line="240" w:lineRule="auto"/>
            </w:pPr>
            <w:r>
              <w:rPr>
                <w:color w:val="000000"/>
                <w:sz w:val="19"/>
              </w:rPr>
              <w:t>Readiness, correction, priorities and tradeoff confirmation</w:t>
            </w:r>
          </w:p>
        </w:tc>
        <w:tc>
          <w:tcPr>
            <w:tcW w:type="dxa" w:w="2304"/>
            <w:vAlign w:val="top"/>
            <w:shd w:fill="FFFFFF"/>
          </w:tcPr>
          <w:p>
            <w:pPr>
              <w:spacing w:after="80" w:before="60" w:line="240" w:lineRule="auto"/>
            </w:pPr>
            <w:r>
              <w:rPr>
                <w:color w:val="000000"/>
                <w:sz w:val="19"/>
              </w:rPr>
              <w:t>None</w:t>
            </w:r>
          </w:p>
        </w:tc>
      </w:tr>
      <w:tr>
        <w:trPr>
          <w:cantSplit/>
        </w:trPr>
        <w:tc>
          <w:tcPr>
            <w:tcW w:type="dxa" w:w="1728"/>
            <w:vAlign w:val="top"/>
            <w:shd w:fill="FFFFFF"/>
          </w:tcPr>
          <w:p>
            <w:pPr>
              <w:spacing w:after="80" w:before="60" w:line="240" w:lineRule="auto"/>
            </w:pPr>
            <w:r>
              <w:rPr>
                <w:color w:val="000000"/>
                <w:sz w:val="19"/>
              </w:rPr>
              <w:t>source-evidence</w:t>
            </w:r>
          </w:p>
        </w:tc>
        <w:tc>
          <w:tcPr>
            <w:tcW w:type="dxa" w:w="2736"/>
            <w:vAlign w:val="top"/>
            <w:shd w:fill="FFFFFF"/>
          </w:tcPr>
          <w:p>
            <w:pPr>
              <w:spacing w:after="80" w:before="60" w:line="240" w:lineRule="auto"/>
            </w:pPr>
            <w:r>
              <w:rPr>
                <w:color w:val="000000"/>
                <w:sz w:val="19"/>
              </w:rPr>
              <w:t>Product, Merchant and synthetic records</w:t>
            </w:r>
          </w:p>
        </w:tc>
        <w:tc>
          <w:tcPr>
            <w:tcW w:type="dxa" w:w="3096"/>
            <w:vAlign w:val="top"/>
            <w:shd w:fill="FFFFFF"/>
          </w:tcPr>
          <w:p>
            <w:pPr>
              <w:spacing w:after="80" w:before="60" w:line="240" w:lineRule="auto"/>
            </w:pPr>
            <w:r>
              <w:rPr>
                <w:color w:val="000000"/>
                <w:sz w:val="19"/>
              </w:rPr>
              <w:t>Exact product identity, evidence references and visible review data</w:t>
            </w:r>
          </w:p>
        </w:tc>
        <w:tc>
          <w:tcPr>
            <w:tcW w:type="dxa" w:w="2304"/>
            <w:vAlign w:val="top"/>
            <w:shd w:fill="FFFFFF"/>
          </w:tcPr>
          <w:p>
            <w:pPr>
              <w:spacing w:after="80" w:before="60" w:line="240" w:lineRule="auto"/>
            </w:pPr>
            <w:r>
              <w:rPr>
                <w:color w:val="000000"/>
                <w:sz w:val="19"/>
              </w:rPr>
              <w:t>None</w:t>
            </w:r>
          </w:p>
        </w:tc>
      </w:tr>
      <w:tr>
        <w:trPr>
          <w:cantSplit/>
        </w:trPr>
        <w:tc>
          <w:tcPr>
            <w:tcW w:type="dxa" w:w="1728"/>
            <w:vAlign w:val="top"/>
            <w:shd w:fill="FFFFFF"/>
          </w:tcPr>
          <w:p>
            <w:pPr>
              <w:spacing w:after="80" w:before="60" w:line="240" w:lineRule="auto"/>
            </w:pPr>
            <w:r>
              <w:rPr>
                <w:color w:val="000000"/>
                <w:sz w:val="19"/>
              </w:rPr>
              <w:t>offer-evaluation</w:t>
            </w:r>
          </w:p>
        </w:tc>
        <w:tc>
          <w:tcPr>
            <w:tcW w:type="dxa" w:w="2736"/>
            <w:vAlign w:val="top"/>
            <w:shd w:fill="FFFFFF"/>
          </w:tcPr>
          <w:p>
            <w:pPr>
              <w:spacing w:after="80" w:before="60" w:line="240" w:lineRule="auto"/>
            </w:pPr>
            <w:r>
              <w:rPr>
                <w:color w:val="000000"/>
                <w:sz w:val="19"/>
              </w:rPr>
              <w:t>Search ranking and merchant risk rules</w:t>
            </w:r>
          </w:p>
        </w:tc>
        <w:tc>
          <w:tcPr>
            <w:tcW w:type="dxa" w:w="3096"/>
            <w:vAlign w:val="top"/>
            <w:shd w:fill="FFFFFF"/>
          </w:tcPr>
          <w:p>
            <w:pPr>
              <w:spacing w:after="80" w:before="60" w:line="240" w:lineRule="auto"/>
            </w:pPr>
            <w:r>
              <w:rPr>
                <w:color w:val="000000"/>
                <w:sz w:val="19"/>
              </w:rPr>
              <w:t>Match reasons, comparable prices and scoped alternatives</w:t>
            </w:r>
          </w:p>
        </w:tc>
        <w:tc>
          <w:tcPr>
            <w:tcW w:type="dxa" w:w="2304"/>
            <w:vAlign w:val="top"/>
            <w:shd w:fill="FFFFFF"/>
          </w:tcPr>
          <w:p>
            <w:pPr>
              <w:spacing w:after="80" w:before="60" w:line="240" w:lineRule="auto"/>
            </w:pPr>
            <w:r>
              <w:rPr>
                <w:color w:val="000000"/>
                <w:sz w:val="19"/>
              </w:rPr>
              <w:t>purchase-intent, source-evidence</w:t>
            </w:r>
          </w:p>
        </w:tc>
      </w:tr>
      <w:tr>
        <w:trPr>
          <w:cantSplit/>
        </w:trPr>
        <w:tc>
          <w:tcPr>
            <w:tcW w:type="dxa" w:w="1728"/>
            <w:vAlign w:val="top"/>
            <w:shd w:fill="FFFFFF"/>
          </w:tcPr>
          <w:p>
            <w:pPr>
              <w:spacing w:after="80" w:before="60" w:line="240" w:lineRule="auto"/>
            </w:pPr>
            <w:r>
              <w:rPr>
                <w:color w:val="000000"/>
                <w:sz w:val="19"/>
              </w:rPr>
              <w:t>shopping-activity</w:t>
            </w:r>
          </w:p>
        </w:tc>
        <w:tc>
          <w:tcPr>
            <w:tcW w:type="dxa" w:w="2736"/>
            <w:vAlign w:val="top"/>
            <w:shd w:fill="FFFFFF"/>
          </w:tcPr>
          <w:p>
            <w:pPr>
              <w:spacing w:after="80" w:before="60" w:line="240" w:lineRule="auto"/>
            </w:pPr>
            <w:r>
              <w:rPr>
                <w:color w:val="000000"/>
                <w:sz w:val="19"/>
              </w:rPr>
              <w:t>Tool and policy audit events</w:t>
            </w:r>
          </w:p>
        </w:tc>
        <w:tc>
          <w:tcPr>
            <w:tcW w:type="dxa" w:w="3096"/>
            <w:vAlign w:val="top"/>
            <w:shd w:fill="FFFFFF"/>
          </w:tcPr>
          <w:p>
            <w:pPr>
              <w:spacing w:after="80" w:before="60" w:line="240" w:lineRule="auto"/>
            </w:pPr>
            <w:r>
              <w:rPr>
                <w:color w:val="000000"/>
                <w:sz w:val="19"/>
              </w:rPr>
              <w:t>Safe activity projection and optional live progress</w:t>
            </w:r>
          </w:p>
        </w:tc>
        <w:tc>
          <w:tcPr>
            <w:tcW w:type="dxa" w:w="2304"/>
            <w:vAlign w:val="top"/>
            <w:shd w:fill="FFFFFF"/>
          </w:tcPr>
          <w:p>
            <w:pPr>
              <w:spacing w:after="80" w:before="60" w:line="240" w:lineRule="auto"/>
            </w:pPr>
            <w:r>
              <w:rPr>
                <w:color w:val="000000"/>
                <w:sz w:val="19"/>
              </w:rPr>
              <w:t>offer-evaluation</w:t>
            </w:r>
          </w:p>
        </w:tc>
      </w:tr>
      <w:tr>
        <w:trPr>
          <w:cantSplit/>
        </w:trPr>
        <w:tc>
          <w:tcPr>
            <w:tcW w:type="dxa" w:w="1728"/>
            <w:vAlign w:val="top"/>
            <w:shd w:fill="FFFFFF"/>
          </w:tcPr>
          <w:p>
            <w:pPr>
              <w:spacing w:after="80" w:before="60" w:line="240" w:lineRule="auto"/>
            </w:pPr>
            <w:r>
              <w:rPr>
                <w:color w:val="000000"/>
                <w:sz w:val="19"/>
              </w:rPr>
              <w:t>study-conditions</w:t>
            </w:r>
          </w:p>
        </w:tc>
        <w:tc>
          <w:tcPr>
            <w:tcW w:type="dxa" w:w="2736"/>
            <w:vAlign w:val="top"/>
            <w:shd w:fill="FFFFFF"/>
          </w:tcPr>
          <w:p>
            <w:pPr>
              <w:spacing w:after="80" w:before="60" w:line="240" w:lineRule="auto"/>
            </w:pPr>
            <w:r>
              <w:rPr>
                <w:color w:val="000000"/>
                <w:sz w:val="19"/>
              </w:rPr>
              <w:t>Research endpoints, profiles and CSV</w:t>
            </w:r>
          </w:p>
        </w:tc>
        <w:tc>
          <w:tcPr>
            <w:tcW w:type="dxa" w:w="3096"/>
            <w:vAlign w:val="top"/>
            <w:shd w:fill="FFFFFF"/>
          </w:tcPr>
          <w:p>
            <w:pPr>
              <w:spacing w:after="80" w:before="60" w:line="240" w:lineRule="auto"/>
            </w:pPr>
            <w:r>
              <w:rPr>
                <w:color w:val="000000"/>
                <w:sz w:val="19"/>
              </w:rPr>
              <w:t>Baseline, full-system condition, assignments and task outcomes</w:t>
            </w:r>
          </w:p>
        </w:tc>
        <w:tc>
          <w:tcPr>
            <w:tcW w:type="dxa" w:w="2304"/>
            <w:vAlign w:val="top"/>
            <w:shd w:fill="FFFFFF"/>
          </w:tcPr>
          <w:p>
            <w:pPr>
              <w:spacing w:after="80" w:before="60" w:line="240" w:lineRule="auto"/>
            </w:pPr>
            <w:r>
              <w:rPr>
                <w:color w:val="000000"/>
                <w:sz w:val="19"/>
              </w:rPr>
              <w:t>purchase-intent, source-evidence, offer-evaluation, shopping-activity</w:t>
            </w:r>
          </w:p>
        </w:tc>
      </w:tr>
      <w:tr>
        <w:trPr>
          <w:cantSplit/>
        </w:trPr>
        <w:tc>
          <w:tcPr>
            <w:tcW w:type="dxa" w:w="1728"/>
            <w:vAlign w:val="top"/>
            <w:shd w:fill="FFFFFF"/>
          </w:tcPr>
          <w:p>
            <w:pPr>
              <w:spacing w:after="80" w:before="60" w:line="240" w:lineRule="auto"/>
            </w:pPr>
            <w:r>
              <w:rPr>
                <w:color w:val="000000"/>
                <w:sz w:val="19"/>
              </w:rPr>
              <w:t>final-demonstration</w:t>
            </w:r>
          </w:p>
        </w:tc>
        <w:tc>
          <w:tcPr>
            <w:tcW w:type="dxa" w:w="2736"/>
            <w:vAlign w:val="top"/>
            <w:shd w:fill="FFFFFF"/>
          </w:tcPr>
          <w:p>
            <w:pPr>
              <w:spacing w:after="80" w:before="60" w:line="240" w:lineRule="auto"/>
            </w:pPr>
            <w:r>
              <w:rPr>
                <w:color w:val="000000"/>
                <w:sz w:val="19"/>
              </w:rPr>
              <w:t>Current UI and documentation</w:t>
            </w:r>
          </w:p>
        </w:tc>
        <w:tc>
          <w:tcPr>
            <w:tcW w:type="dxa" w:w="3096"/>
            <w:vAlign w:val="top"/>
            <w:shd w:fill="FFFFFF"/>
          </w:tcPr>
          <w:p>
            <w:pPr>
              <w:spacing w:after="80" w:before="60" w:line="240" w:lineRule="auto"/>
            </w:pPr>
            <w:r>
              <w:rPr>
                <w:color w:val="000000"/>
                <w:sz w:val="19"/>
              </w:rPr>
              <w:t>Curated tasks, recording and presentation narrative</w:t>
            </w:r>
          </w:p>
        </w:tc>
        <w:tc>
          <w:tcPr>
            <w:tcW w:type="dxa" w:w="2304"/>
            <w:vAlign w:val="top"/>
            <w:shd w:fill="FFFFFF"/>
          </w:tcPr>
          <w:p>
            <w:pPr>
              <w:spacing w:after="80" w:before="60" w:line="240" w:lineRule="auto"/>
            </w:pPr>
            <w:r>
              <w:rPr>
                <w:color w:val="000000"/>
                <w:sz w:val="19"/>
              </w:rPr>
              <w:t>purchase-intent, offer-evaluation, shopping-activity</w:t>
            </w:r>
          </w:p>
        </w:tc>
      </w:tr>
    </w:tbl>
    <w:p>
      <w:pPr>
        <w:spacing w:after="20"/>
      </w:pPr>
    </w:p>
    <w:p>
      <w:r>
        <w:t>Build order for the final demo: repair existing controls; establish intent and evidence contracts; integrate evaluation and activity; freeze scenarios and presentation. Implement study conditions before participant recruitment. Modules describe responsibilities, not a requirement to create six services or packages.</w:t>
      </w:r>
    </w:p>
    <w:p>
      <w:pPr>
        <w:pStyle w:val="Heading1"/>
      </w:pPr>
      <w:r>
        <w:t>4 Purchase intent requirements</w:t>
      </w:r>
    </w:p>
    <w:p>
      <w:pPr>
        <w:pStyle w:val="Heading2"/>
      </w:pPr>
      <w:r>
        <w:t>PI01 Clarify only decision-changing ambiguity</w:t>
      </w:r>
    </w:p>
    <w:p>
      <w:r>
        <w:t>For headphones, ask about intended use and a spending range when these are missing and affect recommendations. Once those are known, ask about a decisive preference only if it would distinguish suitable options. Ask one question at a time; explain its purpose briefly. Accept I do not know, Any is fine and Show options as legitimate answers, recording an explicit flexible state rather than looping.</w:t>
      </w:r>
    </w:p>
    <w:p>
      <w:r>
        <w:t>Replace the current unconditional category-plus-budget shortcut with a deterministic readiness decision that considers unresolved required fields and the user's explicit request to browse. Specific inputs such as Wireless noise-cancelling headphones for commuting, under SGD300, comfort first should search directly. If the user declines a budget, show prices for comparison and avoid claiming they are affordable.</w:t>
      </w:r>
    </w:p>
    <w:p>
      <w:r>
        <w:t>Acceptance: a fresh bare headphones request asks a relevant question before calling search. A fully specified request searches without redundant questioning. A skipped question is not converted into a confirmed preference. Existing confirmed limits survive follow-up questions and corrections.</w:t>
      </w:r>
    </w:p>
    <w:p>
      <w:pPr>
        <w:pStyle w:val="Heading2"/>
      </w:pPr>
      <w:r>
        <w:t>PI02 Make the brief reliable and editable</w:t>
      </w:r>
    </w:p>
    <w:p>
      <w:r>
        <w:t>Retain confirmed, suggested and unspecified provenance. Add an explicit flexibility or declined marker where needed rather than overloading unspecified. Store purchase priorities as an ordered list of preference identifiers; a hard flag records eligibility, while priority records relative importance among preferences. Currency must be visible; bare $ may suggest SGD but must not be represented as an explicit currency confirmation.</w:t>
      </w:r>
    </w:p>
    <w:p>
      <w:r>
        <w:t>Fix the field selector so value and hard state change together. A saved edit increments the brief revision, supersedes pending recommendations and clearly marks the need to compare again. Reuse the existing quote-based extraction guard, while acknowledging that a matching quote does not prove correct interpretation.</w:t>
      </w:r>
    </w:p>
    <w:p>
      <w:r>
        <w:t>Acceptance: changing from a hard budget to a soft feature preserves each field's own setting. Changing a preference cannot leave an old result labelled current. The user can correct or remove a stored value and see the updated brief after refresh. For simplicity, brief edits need not occur while a comparison request is running, but must become available again after completion or cancellation.</w:t>
      </w:r>
    </w:p>
    <w:p>
      <w:pPr>
        <w:pStyle w:val="Heading2"/>
      </w:pPr>
      <w:r>
        <w:t>PI03 Negotiate tradeoffs explicitly</w:t>
      </w:r>
    </w:p>
    <w:p>
      <w:r>
        <w:t>When no item satisfies all hard constraints, show the conflict and ask which constraint the user wants to revise. Never relax it automatically. When several eligible products satisfy different soft preferences, show the tradeoff and ask which matters most. A hard constraint and an important preference must not be treated as the same concept.</w:t>
      </w:r>
    </w:p>
    <w:p>
      <w:r>
        <w:t>Use the selected product categories in examples: These headphones prioritise noise cancellation but the other pair is lighter. Which matters more for your commute? Avoid adding laptop support merely to reproduce the meeting anecdote.</w:t>
      </w:r>
    </w:p>
    <w:p>
      <w:r>
        <w:t>Acceptance: impossible budgets produce a no-match explanation; options above that limit are clearly labelled exploratory and cannot become eligible until the user changes the limit. Priority changes alter the fit explanation and, if enabled, ranking. Unknown or unstructured requirements remain visibly unverified.</w:t>
      </w:r>
    </w:p>
    <w:p>
      <w:pPr>
        <w:pStyle w:val="Heading2"/>
      </w:pPr>
      <w:r>
        <w:t>PI04 Close the understanding loop</w:t>
      </w:r>
    </w:p>
    <w:p>
      <w:r>
        <w:t>Before the recommendation, render a concise deterministic recap: You wanted headphones for commuting, up to SGD300, prioritising comfort. Suggested values must be identified as assumptions. Show which criteria the proposal meets and which it does not. Generated prose may improve readability but must not supply facts absent from structured results.</w:t>
      </w:r>
    </w:p>
    <w:p>
      <w:r>
        <w:t>Acceptance: manual edits immediately affect the next recap; missing criteria are not described as satisfied; users can navigate from the recap to edit the brief.</w:t>
      </w:r>
    </w:p>
    <w:p>
      <w:pPr>
        <w:pStyle w:val="Heading1"/>
      </w:pPr>
      <w:r>
        <w:t>5 Source evidence and offer evaluation requirements</w:t>
      </w:r>
    </w:p>
    <w:p>
      <w:pPr>
        <w:pStyle w:val="Heading2"/>
      </w:pPr>
      <w:r>
        <w:t>SE01 Separate product identity from merchant offers</w:t>
      </w:r>
    </w:p>
    <w:p>
      <w:r>
        <w:t xml:space="preserve">Add </w:t>
      </w:r>
      <w:r>
        <w:rPr>
          <w:rFonts w:ascii="Consolas" w:hAnsi="Consolas"/>
          <w:sz w:val="18"/>
        </w:rPr>
        <w:t>product_group_id</w:t>
      </w:r>
      <w:r>
        <w:t xml:space="preserve"> and </w:t>
      </w:r>
      <w:r>
        <w:rPr>
          <w:rFonts w:ascii="Consolas" w:hAnsi="Consolas"/>
          <w:sz w:val="18"/>
        </w:rPr>
        <w:t>variant_key</w:t>
      </w:r>
      <w:r>
        <w:t xml:space="preserve"> to each offer. Existing IDs remain offer identifiers. Product model, configuration, condition and included accessories determine comparability; do not group by brand alone. Migrate existing fixtures and replay mappings deliberately, retaining compatibility defaults for old saved sessions or requiring an explicit fresh session.</w:t>
      </w:r>
    </w:p>
    <w:p>
      <w:r>
        <w:t>A same-product merchant change filters by both new keys. If no eligible seller remains, say so and offer a separately named Find a different product action. Display at least two comparable offers in the selected demo case.</w:t>
      </w:r>
    </w:p>
    <w:p>
      <w:r>
        <w:t>Acceptance: changing merchants preserves the product variant and current brief. Comparisons never mix different models, currencies or conditions. A fresh proposal is required after any material offer change.</w:t>
      </w:r>
    </w:p>
    <w:p>
      <w:pPr>
        <w:pStyle w:val="Heading2"/>
      </w:pPr>
      <w:r>
        <w:t>SE02 Show observable information before conclusions</w:t>
      </w:r>
    </w:p>
    <w:p>
      <w:r>
        <w:t>Extend the active frontend types with product rating, rating count and reviews, plus merchant reviews and checkout note. Each result should show price and currency, seller name, product rating and count, and seller rating and count. Keep product satisfaction distinct from seller reputation. Expandable details contain specifications, review excerpts, returns, merchant contact and source evidence.</w:t>
      </w:r>
    </w:p>
    <w:p>
      <w:r>
        <w:t xml:space="preserve">Each signal has an origin: simulated catalogue record, replayed snapshot or live snapshot. Fictional </w:t>
      </w:r>
      <w:r>
        <w:rPr>
          <w:rFonts w:ascii="Consolas" w:hAnsi="Consolas"/>
          <w:sz w:val="18"/>
        </w:rPr>
        <w:t>.test</w:t>
      </w:r>
      <w:r>
        <w:t xml:space="preserve"> merchant websites are displayed as fixture identifiers, not opened as working stores. Live sources retain captured time and actual source links. Badge copy must say what was checked, such as Listed in the demo retailer registry; it must not imply independent certification.</w:t>
      </w:r>
    </w:p>
    <w:p>
      <w:r>
        <w:t>Acceptance: the user can locate the evidence for every displayed warning. Missing ratings display Unknown rather than zero. Review excerpts and specifications already present in the backend are visible in the full interface and raw baseline details. Unfamiliar merchants remain selectable when there is no policy violation.</w:t>
      </w:r>
    </w:p>
    <w:p>
      <w:pPr>
        <w:pStyle w:val="Heading2"/>
      </w:pPr>
      <w:r>
        <w:t>OE01 Explain merchant risk with traceable evidence</w:t>
      </w:r>
    </w:p>
    <w:p>
      <w:r>
        <w:t>Preserve the existing deterministic rules and separation of researcher labels from participant data. For simulated rules, connect each signal to authored visible text or structured source fields. Move diagnostic annotation booleans out of planner and participant projections. Do not describe fixture flags as evidence of automated discovery on arbitrary websites.</w:t>
      </w:r>
    </w:p>
    <w:p>
      <w:r>
        <w:t>Use three layers: observation, implication and limitation. Example: Seller record lists 12 reviews; this offers less reputation evidence than 2,000 reviews; review quantity alone does not establish trustworthiness. A suspicious signal is not proof of fraud, and no configured signal is not a safety guarantee. Do not invent a third-party certification, SSL check or external reputation check.</w:t>
      </w:r>
    </w:p>
    <w:p>
      <w:r>
        <w:t>Acceptance: benign discounts and clean unfamiliar merchants remain in the task pool. Hidden malicious labels never appear in participant APIs, UI or model payloads. Concealed-risk fixtures demonstrate an observability limit; they must not be used to claim that users should have detected information unavailable to them.</w:t>
      </w:r>
    </w:p>
    <w:p>
      <w:pPr>
        <w:pStyle w:val="Heading2"/>
      </w:pPr>
      <w:r>
        <w:t>OE02 Use a defensible price reference</w:t>
      </w:r>
    </w:p>
    <w:p>
      <w:r>
        <w:t>Compute a median only from other offers with the same product group, variant and currency. Return reference count, merchant identities, included offer IDs, median and percentage difference. Deduplicate duplicated offers and exclude incompatible bundles or conditions. If the reference set is insufficient, show Insufficient comparable prices. Do not silently compare against an entire brand.</w:t>
      </w:r>
    </w:p>
    <w:p>
      <w:r>
        <w:t>For the demonstration, freeze a reference set containing at least two other independent sellers. Example: SGD210 versus a median of SGD300 across two comparable offers; 30 percent lower. A low price alone should prompt inspection, not establish fraud or force a high-risk classification.</w:t>
      </w:r>
    </w:p>
    <w:p>
      <w:pPr>
        <w:pStyle w:val="Heading2"/>
      </w:pPr>
      <w:r>
        <w:t>OE03 Keep fit and merchant caution distinct</w:t>
      </w:r>
    </w:p>
    <w:p>
      <w:r>
        <w:t>Compute deterministic match reasons and mismatch reasons for eligible products. Use hard constraints for eligibility, confirmed preference priorities for fit, and price as a disclosed tie-breaker. Keep merchant caution visible as a separate dimension. A cheap risky merchant must not become an unexplained best recommendation.</w:t>
      </w:r>
    </w:p>
    <w:p>
      <w:r>
        <w:t>If the optional banner is implemented, select it with a documented rule: exclude blocked offers, prefer offers with fewer observed merchant concerns, then compare fit and price. State the scope, such as Best fit among these six offers, and disclose the caution tradeoff. The planner's selected offer and banner must agree. No percentage match score should appear without a defined calculation.</w:t>
      </w:r>
    </w:p>
    <w:p>
      <w:r>
        <w:t>Acceptance: identical inputs produce stable fit reasons in catalogue mode; hard-budget violations cannot be top eligible recommendations; priority changes are reflected; the banner never implies that all websites or all products were checked.</w:t>
      </w:r>
    </w:p>
    <w:p>
      <w:pPr>
        <w:pStyle w:val="Heading1"/>
      </w:pPr>
      <w:r>
        <w:t>6 Visible shopping activity</w:t>
      </w:r>
    </w:p>
    <w:p>
      <w:r>
        <w:t>Call this feature Shopping activity or What Beany checked. It is an explanation of observable actions, not a model's private chain of thought. Never ask the model to invent a narrative of checks or expose raw interpretations, hidden prompts, credentials or researcher annotations.</w:t>
      </w:r>
    </w:p>
    <w:p>
      <w:r>
        <w:t>Before results, show the planned checks as planned: matching the confirmed brief, inspecting selected offers, reviewing available seller evidence and comparing prices. When checks finish, replace these with event-backed statements using separate counts: Found six eligible offers, Inspected three offers, Assessed one proposed merchant. Show Not checked, Unavailable or Failed when appropriate. A catalogue search must not be described as visiting multiple websites.</w:t>
      </w:r>
    </w:p>
    <w:p>
      <w:r>
        <w:t>For the smaller implementation, retain the synchronous endpoint, show a clearly labelled plan while pending, then render the completed activity record above the recommendation from the returned safe events. It must not animate fabricated completions. This satisfies truthful process disclosure but does not provide live progress.</w:t>
      </w:r>
    </w:p>
    <w:p>
      <w:r>
        <w:t>For live progress, add a run ID and an additive run endpoint returning an accepted run, plus a read-only status or event endpoint. Emit safe events into a per-run thread-safe buffer while the existing worker performs the search; event reads must not acquire the long-running session mutation lock. Persist the authoritative session only on successful completion. Bound event retention and include sequence numbers for reconnection. Keep brief edits disabled during the run unless revision-aware cancellation and stale-result rejection are implemented. A disconnected viewer must never duplicate a run or create a proposal twice.</w:t>
      </w:r>
    </w:p>
    <w:p>
      <w:r>
        <w:t>Acceptance: results appear after their relevant activity explanation; every completed claim has a tool or rule event; search, inspection and assessment counts differ when appropriate; provider errors remain visible; refreshing shows completed activity; no raw diagnostic JSON is shown to participants. Choose the synchronous fallback before adding a job queue or replacing storage solely for the demonstration.</w:t>
      </w:r>
    </w:p>
    <w:p>
      <w:pPr>
        <w:pStyle w:val="Heading1"/>
      </w:pPr>
      <w:r>
        <w:t>7 Data and API changes</w:t>
      </w:r>
    </w:p>
    <w:p>
      <w:r>
        <w:t>Extend existing Pydantic models and mirror the active TypeScript contracts. Proposed additions are contracts to implement, not current fields.</w:t>
      </w:r>
    </w:p>
    <w:tbl>
      <w:tblPr>
        <w:tblStyle w:val="LightShading-Accent1"/>
        <w:tblW w:type="auto" w:w="0"/>
        <w:jc w:val="center"/>
        <w:tblLayout w:type="fixed"/>
        <w:tblLook w:firstColumn="1" w:firstRow="1" w:lastColumn="0" w:lastRow="0" w:noHBand="0" w:noVBand="1" w:val="04A0"/>
      </w:tblPr>
      <w:tblGrid>
        <w:gridCol w:w="4946"/>
        <w:gridCol w:w="4946"/>
      </w:tblGrid>
      <w:tr>
        <w:trPr>
          <w:cantSplit/>
          <w:tblHeader/>
        </w:trPr>
        <w:tc>
          <w:tcPr>
            <w:tcW w:type="dxa" w:w="2376"/>
            <w:vAlign w:val="top"/>
            <w:shd w:fill="EAEDEF"/>
          </w:tcPr>
          <w:p>
            <w:pPr>
              <w:spacing w:after="80" w:before="60" w:line="240" w:lineRule="auto"/>
            </w:pPr>
            <w:r>
              <w:rPr>
                <w:b/>
                <w:color w:val="000000"/>
                <w:sz w:val="19"/>
              </w:rPr>
              <w:t>Contract</w:t>
            </w:r>
          </w:p>
        </w:tc>
        <w:tc>
          <w:tcPr>
            <w:tcW w:type="dxa" w:w="7488"/>
            <w:vAlign w:val="top"/>
            <w:shd w:fill="EAEDEF"/>
          </w:tcPr>
          <w:p>
            <w:pPr>
              <w:spacing w:after="80" w:before="60" w:line="240" w:lineRule="auto"/>
            </w:pPr>
            <w:r>
              <w:rPr>
                <w:b/>
                <w:color w:val="000000"/>
                <w:sz w:val="19"/>
              </w:rPr>
              <w:t>Required fields or behaviour</w:t>
            </w:r>
          </w:p>
        </w:tc>
      </w:tr>
      <w:tr>
        <w:trPr>
          <w:cantSplit/>
        </w:trPr>
        <w:tc>
          <w:tcPr>
            <w:tcW w:type="dxa" w:w="2376"/>
            <w:vAlign w:val="top"/>
            <w:shd w:fill="FFFFFF"/>
          </w:tcPr>
          <w:p>
            <w:pPr>
              <w:spacing w:after="80" w:before="60" w:line="240" w:lineRule="auto"/>
            </w:pPr>
            <w:r>
              <w:rPr>
                <w:color w:val="000000"/>
                <w:sz w:val="19"/>
              </w:rPr>
              <w:t>Purchase brief</w:t>
            </w:r>
          </w:p>
        </w:tc>
        <w:tc>
          <w:tcPr>
            <w:tcW w:type="dxa" w:w="7488"/>
            <w:vAlign w:val="top"/>
            <w:shd w:fill="FFFFFF"/>
          </w:tcPr>
          <w:p>
            <w:pPr>
              <w:spacing w:after="80" w:before="60" w:line="240" w:lineRule="auto"/>
            </w:pPr>
            <w:r>
              <w:rPr>
                <w:color w:val="000000"/>
                <w:sz w:val="19"/>
              </w:rPr>
              <w:t>Existing facts, explicit flexible status, ordered priorities and revision</w:t>
            </w:r>
          </w:p>
        </w:tc>
      </w:tr>
      <w:tr>
        <w:trPr>
          <w:cantSplit/>
        </w:trPr>
        <w:tc>
          <w:tcPr>
            <w:tcW w:type="dxa" w:w="2376"/>
            <w:vAlign w:val="top"/>
            <w:shd w:fill="FFFFFF"/>
          </w:tcPr>
          <w:p>
            <w:pPr>
              <w:spacing w:after="80" w:before="60" w:line="240" w:lineRule="auto"/>
            </w:pPr>
            <w:r>
              <w:rPr>
                <w:color w:val="000000"/>
                <w:sz w:val="19"/>
              </w:rPr>
              <w:t>Offer identity</w:t>
            </w:r>
          </w:p>
        </w:tc>
        <w:tc>
          <w:tcPr>
            <w:tcW w:type="dxa" w:w="7488"/>
            <w:vAlign w:val="top"/>
            <w:shd w:fill="FFFFFF"/>
          </w:tcPr>
          <w:p>
            <w:pPr>
              <w:spacing w:after="80" w:before="60" w:line="240" w:lineRule="auto"/>
            </w:pPr>
            <w:r>
              <w:rPr>
                <w:color w:val="000000"/>
                <w:sz w:val="19"/>
              </w:rPr>
              <w:t>Existing offer ID, product group, variant, source mode and evidence references</w:t>
            </w:r>
          </w:p>
        </w:tc>
      </w:tr>
      <w:tr>
        <w:trPr>
          <w:cantSplit/>
        </w:trPr>
        <w:tc>
          <w:tcPr>
            <w:tcW w:type="dxa" w:w="2376"/>
            <w:vAlign w:val="top"/>
            <w:shd w:fill="FFFFFF"/>
          </w:tcPr>
          <w:p>
            <w:pPr>
              <w:spacing w:after="80" w:before="60" w:line="240" w:lineRule="auto"/>
            </w:pPr>
            <w:r>
              <w:rPr>
                <w:color w:val="000000"/>
                <w:sz w:val="19"/>
              </w:rPr>
              <w:t>Recommendation explanation</w:t>
            </w:r>
          </w:p>
        </w:tc>
        <w:tc>
          <w:tcPr>
            <w:tcW w:type="dxa" w:w="7488"/>
            <w:vAlign w:val="top"/>
            <w:shd w:fill="FFFFFF"/>
          </w:tcPr>
          <w:p>
            <w:pPr>
              <w:spacing w:after="80" w:before="60" w:line="240" w:lineRule="auto"/>
            </w:pPr>
            <w:r>
              <w:rPr>
                <w:color w:val="000000"/>
                <w:sz w:val="19"/>
              </w:rPr>
              <w:t>Brief revision, matched criteria, unmet criteria, ranking basis and comparison scope</w:t>
            </w:r>
          </w:p>
        </w:tc>
      </w:tr>
      <w:tr>
        <w:trPr>
          <w:cantSplit/>
        </w:trPr>
        <w:tc>
          <w:tcPr>
            <w:tcW w:type="dxa" w:w="2376"/>
            <w:vAlign w:val="top"/>
            <w:shd w:fill="FFFFFF"/>
          </w:tcPr>
          <w:p>
            <w:pPr>
              <w:spacing w:after="80" w:before="60" w:line="240" w:lineRule="auto"/>
            </w:pPr>
            <w:r>
              <w:rPr>
                <w:color w:val="000000"/>
                <w:sz w:val="19"/>
              </w:rPr>
              <w:t>Evidence item</w:t>
            </w:r>
          </w:p>
        </w:tc>
        <w:tc>
          <w:tcPr>
            <w:tcW w:type="dxa" w:w="7488"/>
            <w:vAlign w:val="top"/>
            <w:shd w:fill="FFFFFF"/>
          </w:tcPr>
          <w:p>
            <w:pPr>
              <w:spacing w:after="80" w:before="60" w:line="240" w:lineRule="auto"/>
            </w:pPr>
            <w:r>
              <w:rPr>
                <w:color w:val="000000"/>
                <w:sz w:val="19"/>
              </w:rPr>
              <w:t>Stable ID, offer or merchant ID, field path, source text or value, source kind and capture time when applicable</w:t>
            </w:r>
          </w:p>
        </w:tc>
      </w:tr>
      <w:tr>
        <w:trPr>
          <w:cantSplit/>
        </w:trPr>
        <w:tc>
          <w:tcPr>
            <w:tcW w:type="dxa" w:w="2376"/>
            <w:vAlign w:val="top"/>
            <w:shd w:fill="FFFFFF"/>
          </w:tcPr>
          <w:p>
            <w:pPr>
              <w:spacing w:after="80" w:before="60" w:line="240" w:lineRule="auto"/>
            </w:pPr>
            <w:r>
              <w:rPr>
                <w:color w:val="000000"/>
                <w:sz w:val="19"/>
              </w:rPr>
              <w:t>Price comparison</w:t>
            </w:r>
          </w:p>
        </w:tc>
        <w:tc>
          <w:tcPr>
            <w:tcW w:type="dxa" w:w="7488"/>
            <w:vAlign w:val="top"/>
            <w:shd w:fill="FFFFFF"/>
          </w:tcPr>
          <w:p>
            <w:pPr>
              <w:spacing w:after="80" w:before="60" w:line="240" w:lineRule="auto"/>
            </w:pPr>
            <w:r>
              <w:rPr>
                <w:color w:val="000000"/>
                <w:sz w:val="19"/>
              </w:rPr>
              <w:t>Reference offer IDs, reference count, currency, median and percentage difference</w:t>
            </w:r>
          </w:p>
        </w:tc>
      </w:tr>
      <w:tr>
        <w:trPr>
          <w:cantSplit/>
        </w:trPr>
        <w:tc>
          <w:tcPr>
            <w:tcW w:type="dxa" w:w="2376"/>
            <w:vAlign w:val="top"/>
            <w:shd w:fill="FFFFFF"/>
          </w:tcPr>
          <w:p>
            <w:pPr>
              <w:spacing w:after="80" w:before="60" w:line="240" w:lineRule="auto"/>
            </w:pPr>
            <w:r>
              <w:rPr>
                <w:color w:val="000000"/>
                <w:sz w:val="19"/>
              </w:rPr>
              <w:t>Activity item</w:t>
            </w:r>
          </w:p>
        </w:tc>
        <w:tc>
          <w:tcPr>
            <w:tcW w:type="dxa" w:w="7488"/>
            <w:vAlign w:val="top"/>
            <w:shd w:fill="FFFFFF"/>
          </w:tcPr>
          <w:p>
            <w:pPr>
              <w:spacing w:after="80" w:before="60" w:line="240" w:lineRule="auto"/>
            </w:pPr>
            <w:r>
              <w:rPr>
                <w:color w:val="000000"/>
                <w:sz w:val="19"/>
              </w:rPr>
              <w:t>Run ID, sequence, action, status, time, actual count and safe evidence references</w:t>
            </w:r>
          </w:p>
        </w:tc>
      </w:tr>
      <w:tr>
        <w:trPr>
          <w:cantSplit/>
        </w:trPr>
        <w:tc>
          <w:tcPr>
            <w:tcW w:type="dxa" w:w="2376"/>
            <w:vAlign w:val="top"/>
            <w:shd w:fill="FFFFFF"/>
          </w:tcPr>
          <w:p>
            <w:pPr>
              <w:spacing w:after="80" w:before="60" w:line="240" w:lineRule="auto"/>
            </w:pPr>
            <w:r>
              <w:rPr>
                <w:color w:val="000000"/>
                <w:sz w:val="19"/>
              </w:rPr>
              <w:t>Study assignment</w:t>
            </w:r>
          </w:p>
        </w:tc>
        <w:tc>
          <w:tcPr>
            <w:tcW w:type="dxa" w:w="7488"/>
            <w:vAlign w:val="top"/>
            <w:shd w:fill="FFFFFF"/>
          </w:tcPr>
          <w:p>
            <w:pPr>
              <w:spacing w:after="80" w:before="60" w:line="240" w:lineRule="auto"/>
            </w:pPr>
            <w:r>
              <w:rPr>
                <w:color w:val="000000"/>
                <w:sz w:val="19"/>
              </w:rPr>
              <w:t>Shared pseudonymous study participant ID, session ID, condition, task, order and frozen versions</w:t>
            </w:r>
          </w:p>
        </w:tc>
      </w:tr>
      <w:tr>
        <w:trPr>
          <w:cantSplit/>
        </w:trPr>
        <w:tc>
          <w:tcPr>
            <w:tcW w:type="dxa" w:w="2376"/>
            <w:vAlign w:val="top"/>
            <w:shd w:fill="FFFFFF"/>
          </w:tcPr>
          <w:p>
            <w:pPr>
              <w:spacing w:after="80" w:before="60" w:line="240" w:lineRule="auto"/>
            </w:pPr>
            <w:r>
              <w:rPr>
                <w:color w:val="000000"/>
                <w:sz w:val="19"/>
              </w:rPr>
              <w:t>Task outcome</w:t>
            </w:r>
          </w:p>
        </w:tc>
        <w:tc>
          <w:tcPr>
            <w:tcW w:type="dxa" w:w="7488"/>
            <w:vAlign w:val="top"/>
            <w:shd w:fill="FFFFFF"/>
          </w:tcPr>
          <w:p>
            <w:pPr>
              <w:spacing w:after="80" w:before="60" w:line="240" w:lineRule="auto"/>
            </w:pPr>
            <w:r>
              <w:rPr>
                <w:color w:val="000000"/>
                <w:sz w:val="19"/>
              </w:rPr>
              <w:t>Task start and finish, selected offer, criteria assessment, confidence response and completion status</w:t>
            </w:r>
          </w:p>
        </w:tc>
      </w:tr>
    </w:tbl>
    <w:p>
      <w:pPr>
        <w:spacing w:after="20"/>
      </w:pPr>
    </w:p>
    <w:p>
      <w:r>
        <w:t>Condition and source versions are server assigned. Expose only the presentation condition needed by the UI; retain hidden labels and diagnostic fields behind research authentication. Add an allowlisted participant response model rather than relying on CSS to hide scores and annotations in the baseline.</w:t>
      </w:r>
    </w:p>
    <w:p>
      <w:r>
        <w:t>Keep the existing chat, brief and proposal routes for compatibility. Add explicit study start, task completion and choice-recording contracts, with the exact route names fixed during implementation. If the live activity option is selected, use separate run and event routes; do not pretend the current chat response streams. Validate all identifiers server-side, reject stale brief revisions and preserve current approval and fingerprint checks on simulated checkout paths.</w:t>
      </w:r>
    </w:p>
    <w:p>
      <w:pPr>
        <w:pStyle w:val="Heading1"/>
      </w:pPr>
      <w:r>
        <w:t>8 Mock catalogue and demonstration tasks</w:t>
      </w:r>
    </w:p>
    <w:p>
      <w:r>
        <w:t>Reuse the existing 81 offers, 23 merchant records and 62 study offers. Restrict each task to a frozen subset through existing scenario product IDs and merchant IDs. Without curation, numerous deliberately discounted variants of one target can crowd the recommendation limit and make the task artificial.</w:t>
      </w:r>
    </w:p>
    <w:p>
      <w:r>
        <w:t>Use headphones and running shoes as the recommended two categories because they already have fixtures; backpacks can remain supported without appearing in the final demo. Each task should include five to seven plausible choices, at least two merchants for the same target product, one unfamiliar but clean small merchant, one concrete suspicious cue and one benign discount. Keep review counts, ratings, policies and specifications internally consistent. Validate scenario restrictions before recording.</w:t>
      </w:r>
    </w:p>
    <w:p>
      <w:r>
        <w:t>Recommended high-stakes task revision: create a headphones subset with a stated SGD350 ceiling and comparable target offers around SGD260 to SGD320. Add a cheaper suspicious offer with visible, inspectable evidence. These are proposed fictional values and require fixture updates; existing target prices must not be described as already above SGD200. If time is limited, retain current prices and narrow the evaluation claim instead.</w:t>
      </w:r>
    </w:p>
    <w:p>
      <w:r>
        <w:t>Do not rebuild an Amazon sampling pipeline or depend on live browsing for the final demonstration. Synthetic product and merchant evidence is sufficient. Freeze catalogue version, scenario IDs, prompt version, ranking and risk configuration, and selected model. Clearly distinguish a mock product database from mock conversation mode: realistic study dialogue can use the configured LLM with fictional products; offline regex responses are a test double.</w:t>
      </w:r>
    </w:p>
    <w:p>
      <w:pPr>
        <w:pStyle w:val="Heading1"/>
      </w:pPr>
      <w:r>
        <w:t>9 User study design</w:t>
      </w:r>
    </w:p>
    <w:p>
      <w:pPr>
        <w:pStyle w:val="Heading2"/>
      </w:pPr>
      <w:r>
        <w:t>Research questions</w:t>
      </w:r>
    </w:p>
    <w:p>
      <w:r>
        <w:t>RQ1: Does the full system improve users' ability to verify and correct the system's understanding of their purchase needs?</w:t>
      </w:r>
    </w:p>
    <w:p>
      <w:r>
        <w:t>RQ2: Does the full system improve users' understanding of source evidence and their ability to identify observable merchant concerns without unnecessarily rejecting unfamiliar or discounted sellers?</w:t>
      </w:r>
    </w:p>
    <w:p>
      <w:r>
        <w:t>RQ3: How does the full system affect decision confidence, perceived control, effort and calibrated reliance compared with a conventional comparison interface?</w:t>
      </w:r>
    </w:p>
    <w:p>
      <w:pPr>
        <w:pStyle w:val="Heading2"/>
      </w:pPr>
      <w:r>
        <w:t>Conditions and causal claim</w:t>
      </w:r>
    </w:p>
    <w:p>
      <w:r>
        <w:t>Condition A is a comparison interface with ordinary filters, product cards and expandable raw specifications, review information and merchant terms. It has no conversational intent clarification, extracted brief, agent fit explanation, activity narrative or synthesised risk labels. Users interpret the evidence themselves.</w:t>
      </w:r>
    </w:p>
    <w:p>
      <w:r>
        <w:t>Condition B is the full Beany experience: purchase intent clarification, editable brief, tradeoff handling, evidence signals, merchant cautions, activity and recommendation rationale. Include the banner only if it is implemented and frozen before the study.</w:t>
      </w:r>
    </w:p>
    <w:p>
      <w:r>
        <w:t>Both conditions use the same task instructions, source records, available offers, hard restrictions and selection endpoint. Raw information is accessible in both. The intervention is assistance in interpreting and organising that information. Keep final choice separate from simulated checkout so a backend block does not reveal the intended answer before measuring a participant's decision. No real payment occurs in either condition.</w:t>
      </w:r>
    </w:p>
    <w:p>
      <w:r>
        <w:t>This is one manipulated factor with two levels: interface package A or B. Intent clarification and risk communication are components of that package. Surveys and interviews can probe them separately, but the study cannot identify their independent causal effects without a factorial or ablation design. Do not claim otherwise.</w:t>
      </w:r>
    </w:p>
    <w:p>
      <w:pPr>
        <w:pStyle w:val="Heading2"/>
      </w:pPr>
      <w:r>
        <w:t>Proposed procedure</w:t>
      </w:r>
    </w:p>
    <w:p>
      <w:r>
        <w:t>Use a within-participant design with two matched category tasks. As a feasible course plan, propose 16 to 24 adult participants with some online-shopping experience, allocated evenly across four sequences: A headphones then B shoes; B headphones then A shoes; A shoes then B headphones; B shoes then A headphones. This is a feasibility target, not a powered sample-size claim. Professor review precedes recruitment.</w:t>
      </w:r>
    </w:p>
    <w:p>
      <w:r>
        <w:t>Obtain consent, explain fictional listings and model processing, assign a shared pseudonymous participant ID, and provide the first task. Allow independent exploration and clarification. Record the participant's final choice and its reason, then collect the post-task survey. Repeat for the other condition and category, followed by a short comparative interview and debrief. Use fresh sessions linked to the same study participant. Do not reveal hidden merchant labels during tasks.</w:t>
      </w:r>
    </w:p>
    <w:p>
      <w:pPr>
        <w:pStyle w:val="Heading2"/>
      </w:pPr>
      <w:r>
        <w:t>Measures and rationale</w:t>
      </w:r>
    </w:p>
    <w:tbl>
      <w:tblPr>
        <w:tblStyle w:val="LightShading-Accent1"/>
        <w:tblW w:type="auto" w:w="0"/>
        <w:jc w:val="center"/>
        <w:tblLayout w:type="fixed"/>
        <w:tblLook w:firstColumn="1" w:firstRow="1" w:lastColumn="0" w:lastRow="0" w:noHBand="0" w:noVBand="1" w:val="04A0"/>
      </w:tblPr>
      <w:tblGrid>
        <w:gridCol w:w="3298"/>
        <w:gridCol w:w="3298"/>
        <w:gridCol w:w="3298"/>
      </w:tblGrid>
      <w:tr>
        <w:trPr>
          <w:cantSplit/>
          <w:tblHeader/>
        </w:trPr>
        <w:tc>
          <w:tcPr>
            <w:tcW w:type="dxa" w:w="1728"/>
            <w:vAlign w:val="top"/>
            <w:shd w:fill="EAEDEF"/>
          </w:tcPr>
          <w:p>
            <w:pPr>
              <w:spacing w:after="80" w:before="60" w:line="240" w:lineRule="auto"/>
            </w:pPr>
            <w:r>
              <w:rPr>
                <w:b/>
                <w:color w:val="000000"/>
                <w:sz w:val="19"/>
              </w:rPr>
              <w:t>Method</w:t>
            </w:r>
          </w:p>
        </w:tc>
        <w:tc>
          <w:tcPr>
            <w:tcW w:type="dxa" w:w="3672"/>
            <w:vAlign w:val="top"/>
            <w:shd w:fill="EAEDEF"/>
          </w:tcPr>
          <w:p>
            <w:pPr>
              <w:spacing w:after="80" w:before="60" w:line="240" w:lineRule="auto"/>
            </w:pPr>
            <w:r>
              <w:rPr>
                <w:b/>
                <w:color w:val="000000"/>
                <w:sz w:val="19"/>
              </w:rPr>
              <w:t>Measure</w:t>
            </w:r>
          </w:p>
        </w:tc>
        <w:tc>
          <w:tcPr>
            <w:tcW w:type="dxa" w:w="4464"/>
            <w:vAlign w:val="top"/>
            <w:shd w:fill="EAEDEF"/>
          </w:tcPr>
          <w:p>
            <w:pPr>
              <w:spacing w:after="80" w:before="60" w:line="240" w:lineRule="auto"/>
            </w:pPr>
            <w:r>
              <w:rPr>
                <w:b/>
                <w:color w:val="000000"/>
                <w:sz w:val="19"/>
              </w:rPr>
              <w:t>Why it is needed</w:t>
            </w:r>
          </w:p>
        </w:tc>
      </w:tr>
      <w:tr>
        <w:trPr>
          <w:cantSplit/>
        </w:trPr>
        <w:tc>
          <w:tcPr>
            <w:tcW w:type="dxa" w:w="1728"/>
            <w:vAlign w:val="top"/>
            <w:shd w:fill="FFFFFF"/>
          </w:tcPr>
          <w:p>
            <w:pPr>
              <w:spacing w:after="80" w:before="60" w:line="240" w:lineRule="auto"/>
            </w:pPr>
            <w:r>
              <w:rPr>
                <w:color w:val="000000"/>
                <w:sz w:val="19"/>
              </w:rPr>
              <w:t>Task outcomes</w:t>
            </w:r>
          </w:p>
        </w:tc>
        <w:tc>
          <w:tcPr>
            <w:tcW w:type="dxa" w:w="3672"/>
            <w:vAlign w:val="top"/>
            <w:shd w:fill="FFFFFF"/>
          </w:tcPr>
          <w:p>
            <w:pPr>
              <w:spacing w:after="80" w:before="60" w:line="240" w:lineRule="auto"/>
            </w:pPr>
            <w:r>
              <w:rPr>
                <w:color w:val="000000"/>
                <w:sz w:val="19"/>
              </w:rPr>
              <w:t>Hard-constraint compliance; fit with stated priorities; recognition of visible concerns</w:t>
            </w:r>
          </w:p>
        </w:tc>
        <w:tc>
          <w:tcPr>
            <w:tcW w:type="dxa" w:w="4464"/>
            <w:vAlign w:val="top"/>
            <w:shd w:fill="FFFFFF"/>
          </w:tcPr>
          <w:p>
            <w:pPr>
              <w:spacing w:after="80" w:before="60" w:line="240" w:lineRule="auto"/>
            </w:pPr>
            <w:r>
              <w:rPr>
                <w:color w:val="000000"/>
                <w:sz w:val="19"/>
              </w:rPr>
              <w:t>Tests decision quality beyond subjective trust</w:t>
            </w:r>
          </w:p>
        </w:tc>
      </w:tr>
      <w:tr>
        <w:trPr>
          <w:cantSplit/>
        </w:trPr>
        <w:tc>
          <w:tcPr>
            <w:tcW w:type="dxa" w:w="1728"/>
            <w:vAlign w:val="top"/>
            <w:shd w:fill="FFFFFF"/>
          </w:tcPr>
          <w:p>
            <w:pPr>
              <w:spacing w:after="80" w:before="60" w:line="240" w:lineRule="auto"/>
            </w:pPr>
            <w:r>
              <w:rPr>
                <w:color w:val="000000"/>
                <w:sz w:val="19"/>
              </w:rPr>
              <w:t>Interaction logs</w:t>
            </w:r>
          </w:p>
        </w:tc>
        <w:tc>
          <w:tcPr>
            <w:tcW w:type="dxa" w:w="3672"/>
            <w:vAlign w:val="top"/>
            <w:shd w:fill="FFFFFF"/>
          </w:tcPr>
          <w:p>
            <w:pPr>
              <w:spacing w:after="80" w:before="60" w:line="240" w:lineRule="auto"/>
            </w:pPr>
            <w:r>
              <w:rPr>
                <w:color w:val="000000"/>
                <w:sz w:val="19"/>
              </w:rPr>
              <w:t>Task duration, corrections, clarification turns, evidence opens, merchant changes and final choice</w:t>
            </w:r>
          </w:p>
        </w:tc>
        <w:tc>
          <w:tcPr>
            <w:tcW w:type="dxa" w:w="4464"/>
            <w:vAlign w:val="top"/>
            <w:shd w:fill="FFFFFF"/>
          </w:tcPr>
          <w:p>
            <w:pPr>
              <w:spacing w:after="80" w:before="60" w:line="240" w:lineRule="auto"/>
            </w:pPr>
            <w:r>
              <w:rPr>
                <w:color w:val="000000"/>
                <w:sz w:val="19"/>
              </w:rPr>
              <w:t>Shows actual use, effort and recovery behaviour</w:t>
            </w:r>
          </w:p>
        </w:tc>
      </w:tr>
      <w:tr>
        <w:trPr>
          <w:cantSplit/>
        </w:trPr>
        <w:tc>
          <w:tcPr>
            <w:tcW w:type="dxa" w:w="1728"/>
            <w:vAlign w:val="top"/>
            <w:shd w:fill="FFFFFF"/>
          </w:tcPr>
          <w:p>
            <w:pPr>
              <w:spacing w:after="80" w:before="60" w:line="240" w:lineRule="auto"/>
            </w:pPr>
            <w:r>
              <w:rPr>
                <w:color w:val="000000"/>
                <w:sz w:val="19"/>
              </w:rPr>
              <w:t>Post-task survey</w:t>
            </w:r>
          </w:p>
        </w:tc>
        <w:tc>
          <w:tcPr>
            <w:tcW w:type="dxa" w:w="3672"/>
            <w:vAlign w:val="top"/>
            <w:shd w:fill="FFFFFF"/>
          </w:tcPr>
          <w:p>
            <w:pPr>
              <w:spacing w:after="80" w:before="60" w:line="240" w:lineRule="auto"/>
            </w:pPr>
            <w:r>
              <w:rPr>
                <w:color w:val="000000"/>
                <w:sz w:val="19"/>
              </w:rPr>
              <w:t>Understanding, control, confidence, effort and trust calibration on consistent response scales</w:t>
            </w:r>
          </w:p>
        </w:tc>
        <w:tc>
          <w:tcPr>
            <w:tcW w:type="dxa" w:w="4464"/>
            <w:vAlign w:val="top"/>
            <w:shd w:fill="FFFFFF"/>
          </w:tcPr>
          <w:p>
            <w:pPr>
              <w:spacing w:after="80" w:before="60" w:line="240" w:lineRule="auto"/>
            </w:pPr>
            <w:r>
              <w:rPr>
                <w:color w:val="000000"/>
                <w:sz w:val="19"/>
              </w:rPr>
              <w:t>Supports paired quantitative comparison of experience</w:t>
            </w:r>
          </w:p>
        </w:tc>
      </w:tr>
      <w:tr>
        <w:trPr>
          <w:cantSplit/>
        </w:trPr>
        <w:tc>
          <w:tcPr>
            <w:tcW w:type="dxa" w:w="1728"/>
            <w:vAlign w:val="top"/>
            <w:shd w:fill="FFFFFF"/>
          </w:tcPr>
          <w:p>
            <w:pPr>
              <w:spacing w:after="80" w:before="60" w:line="240" w:lineRule="auto"/>
            </w:pPr>
            <w:r>
              <w:rPr>
                <w:color w:val="000000"/>
                <w:sz w:val="19"/>
              </w:rPr>
              <w:t>Semi-structured interview</w:t>
            </w:r>
          </w:p>
        </w:tc>
        <w:tc>
          <w:tcPr>
            <w:tcW w:type="dxa" w:w="3672"/>
            <w:vAlign w:val="top"/>
            <w:shd w:fill="FFFFFF"/>
          </w:tcPr>
          <w:p>
            <w:pPr>
              <w:spacing w:after="80" w:before="60" w:line="240" w:lineRule="auto"/>
            </w:pPr>
            <w:r>
              <w:rPr>
                <w:color w:val="000000"/>
                <w:sz w:val="19"/>
              </w:rPr>
              <w:t>Why a signal mattered, whether the brief felt accurate, tradeoffs and unmet needs</w:t>
            </w:r>
          </w:p>
        </w:tc>
        <w:tc>
          <w:tcPr>
            <w:tcW w:type="dxa" w:w="4464"/>
            <w:vAlign w:val="top"/>
            <w:shd w:fill="FFFFFF"/>
          </w:tcPr>
          <w:p>
            <w:pPr>
              <w:spacing w:after="80" w:before="60" w:line="240" w:lineRule="auto"/>
            </w:pPr>
            <w:r>
              <w:rPr>
                <w:color w:val="000000"/>
                <w:sz w:val="19"/>
              </w:rPr>
              <w:t>Explains mechanisms and failures that ratings cannot reveal</w:t>
            </w:r>
          </w:p>
        </w:tc>
      </w:tr>
    </w:tbl>
    <w:p>
      <w:pPr>
        <w:spacing w:after="20"/>
      </w:pPr>
    </w:p>
    <w:p>
      <w:r>
        <w:t>Example probes: Could you tell what the system believed you wanted? Which source evidence changed your choice? Did you reject a small store because of missing information or a concrete concern? What would you need before spending your own money? Exact questionnaire wording can remain in the protocol rather than the presentation slides.</w:t>
      </w:r>
    </w:p>
    <w:p>
      <w:r>
        <w:t>Predefine scoring from task criteria and participant-accessible evidence. Concealed malicious merchants with no distinguishing visible evidence cannot count as avoidable user errors. Keep synthetic detector accuracy in a separate diagnostic report. Do not label more rejection or higher trust as success by itself.</w:t>
      </w:r>
    </w:p>
    <w:p>
      <w:pPr>
        <w:pStyle w:val="Heading2"/>
      </w:pPr>
      <w:r>
        <w:t>Analysis and limitations</w:t>
      </w:r>
    </w:p>
    <w:p>
      <w:r>
        <w:t>Predefine primary outcomes as purchase-intent comprehension and correct interpretation of observable merchant evidence. Report paired differences with uncertainty intervals and descriptive distributions; choose a paired test appropriate to the scale and sample before collection. Account for category and order in interpretation. Code interviews for brief accuracy, evidence usefulness, overload, negotiation and reliance, with a second coder checking a subset when feasible.</w:t>
      </w:r>
    </w:p>
    <w:p>
      <w:r>
        <w:t>The convenience sample, small study, synthetic sources, category differences, novelty and bundled treatment limit generalisation. Counterbalancing reduces order effects but cannot eliminate learning. The study does not establish real-world fraud detection or purchasing behaviour. The final presentation reports the proposed method and rationale; it must not invent results. Pilot and red-team activities belong to Assignment 2 and should not appear as final-presentation sections.</w:t>
      </w:r>
    </w:p>
    <w:p>
      <w:pPr>
        <w:pStyle w:val="Heading1"/>
      </w:pPr>
      <w:r>
        <w:t>10 Implementation changes and verification</w:t>
      </w:r>
    </w:p>
    <w:p>
      <w:r>
        <w:t>P0 means required for feedback alignment before final recording. P1 means useful after the required path works. Study means required before participant recruitment, while its design must be documented for the final presentation. This is a proposed delivery order; it does not claim implementation is complete.</w:t>
      </w:r>
    </w:p>
    <w:p>
      <w:pPr>
        <w:pStyle w:val="Heading2"/>
      </w:pPr>
      <w:r>
        <w:t>Change 1   P0</w:t>
      </w:r>
    </w:p>
    <w:p>
      <w:r>
        <w:t xml:space="preserve">Repair brief state in </w:t>
      </w:r>
      <w:r>
        <w:rPr>
          <w:rFonts w:ascii="Consolas" w:hAnsi="Consolas"/>
          <w:sz w:val="18"/>
        </w:rPr>
        <w:t>frontend/src/components/Brief.tsx</w:t>
      </w:r>
      <w:r/>
    </w:p>
    <w:p>
      <w:r>
        <w:t>Acceptance and verification: Switch between hard and soft fields without changing either unintentionally; add a focused UI regression</w:t>
      </w:r>
    </w:p>
    <w:p>
      <w:pPr>
        <w:pStyle w:val="Heading2"/>
      </w:pPr>
      <w:r>
        <w:t>Change 2   P0</w:t>
      </w:r>
    </w:p>
    <w:p>
      <w:r>
        <w:t xml:space="preserve">Purchase intent readiness in </w:t>
      </w:r>
      <w:r>
        <w:rPr>
          <w:rFonts w:ascii="Consolas" w:hAnsi="Consolas"/>
          <w:sz w:val="18"/>
        </w:rPr>
        <w:t>schemas.py</w:t>
      </w:r>
      <w:r>
        <w:t xml:space="preserve">, </w:t>
      </w:r>
      <w:r>
        <w:rPr>
          <w:rFonts w:ascii="Consolas" w:hAnsi="Consolas"/>
          <w:sz w:val="18"/>
        </w:rPr>
        <w:t>service.py</w:t>
      </w:r>
      <w:r>
        <w:t xml:space="preserve">, </w:t>
      </w:r>
      <w:r>
        <w:rPr>
          <w:rFonts w:ascii="Consolas" w:hAnsi="Consolas"/>
          <w:sz w:val="18"/>
        </w:rPr>
        <w:t>llm.py</w:t>
      </w:r>
      <w:r>
        <w:t>, dialogue prompt and elicitation config</w:t>
      </w:r>
    </w:p>
    <w:p>
      <w:r>
        <w:t>Acceptance and verification: Bare headphones clarifies; specific requests search; skip and correction paths preserve facts; backend workflow tests</w:t>
      </w:r>
    </w:p>
    <w:p>
      <w:pPr>
        <w:pStyle w:val="Heading2"/>
      </w:pPr>
      <w:r>
        <w:t>Change 3   P0</w:t>
      </w:r>
    </w:p>
    <w:p>
      <w:r>
        <w:t xml:space="preserve">Review and evidence contracts in runtime schemas, </w:t>
      </w:r>
      <w:r>
        <w:rPr>
          <w:rFonts w:ascii="Consolas" w:hAnsi="Consolas"/>
          <w:sz w:val="18"/>
        </w:rPr>
        <w:t>frontend/src/lib/beany.ts</w:t>
      </w:r>
      <w:r>
        <w:t xml:space="preserve">, </w:t>
      </w:r>
      <w:r>
        <w:rPr>
          <w:rFonts w:ascii="Consolas" w:hAnsi="Consolas"/>
          <w:sz w:val="18"/>
        </w:rPr>
        <w:t>MerchantDetails.tsx</w:t>
      </w:r>
      <w:r>
        <w:t>, product UI</w:t>
      </w:r>
    </w:p>
    <w:p>
      <w:r>
        <w:t>Acceptance and verification: Product and seller data remain distinct and inspectable; missing values shown; typecheck and browser checks</w:t>
      </w:r>
    </w:p>
    <w:p>
      <w:pPr>
        <w:pStyle w:val="Heading2"/>
      </w:pPr>
      <w:r>
        <w:t>Change 4   P0</w:t>
      </w:r>
    </w:p>
    <w:p>
      <w:r>
        <w:t>Offer group and variant data in catalogue, replay fixture, schemas and merchant alternative path</w:t>
      </w:r>
    </w:p>
    <w:p>
      <w:r>
        <w:t>Acceptance and verification: Same-product alternatives preserve variant; low-price reference contains correct offers; fixture and risk tests</w:t>
      </w:r>
    </w:p>
    <w:p>
      <w:pPr>
        <w:pStyle w:val="Heading2"/>
      </w:pPr>
      <w:r>
        <w:t>Change 5   P0</w:t>
      </w:r>
    </w:p>
    <w:p>
      <w:r>
        <w:t>Priorities, tradeoff state and result recap in runtime policy and brief/result UI</w:t>
      </w:r>
    </w:p>
    <w:p>
      <w:r>
        <w:t>Acceptance and verification: No silent relaxation; mismatches and priority changes explained; tests for no-match and conflicting preferences</w:t>
      </w:r>
    </w:p>
    <w:p>
      <w:pPr>
        <w:pStyle w:val="Heading2"/>
      </w:pPr>
      <w:r>
        <w:t>Change 6   P0</w:t>
      </w:r>
    </w:p>
    <w:p>
      <w:r>
        <w:t>Safe completed activity projection in workflow, service and main page</w:t>
      </w:r>
    </w:p>
    <w:p>
      <w:r>
        <w:t>Acceptance and verification: Actual actions and counts render above result; no fake completed work or private traces; workflow and UI tests</w:t>
      </w:r>
    </w:p>
    <w:p>
      <w:pPr>
        <w:pStyle w:val="Heading2"/>
      </w:pPr>
      <w:r>
        <w:t>Change 7   P1</w:t>
      </w:r>
    </w:p>
    <w:p>
      <w:r>
        <w:t>Live activity option in run routes and dedicated UI</w:t>
      </w:r>
    </w:p>
    <w:p>
      <w:r>
        <w:t>Acceptance and verification: Pending events are observable without waiting for the mutation lock; replay/reconnect has no duplicate actions</w:t>
      </w:r>
    </w:p>
    <w:p>
      <w:pPr>
        <w:pStyle w:val="Heading2"/>
      </w:pPr>
      <w:r>
        <w:t>Change 8   Study</w:t>
      </w:r>
    </w:p>
    <w:p>
      <w:r>
        <w:t>A/B assignment and baseline view in research runtime, endpoints, participant UI and exports</w:t>
      </w:r>
    </w:p>
    <w:p>
      <w:r>
        <w:t>Acceptance and verification: Same raw offers available; baseline omits assistance at response boundary; paired IDs, task outcomes and condition persist</w:t>
      </w:r>
    </w:p>
    <w:p>
      <w:pPr>
        <w:pStyle w:val="Heading2"/>
      </w:pPr>
      <w:r>
        <w:t>Change 9   P0</w:t>
      </w:r>
    </w:p>
    <w:p>
      <w:r>
        <w:t xml:space="preserve">Curate two scenarios and update </w:t>
      </w:r>
      <w:r>
        <w:rPr>
          <w:rFonts w:ascii="Consolas" w:hAnsi="Consolas"/>
          <w:sz w:val="18"/>
        </w:rPr>
        <w:t>docs/evaluation-guide.md</w:t>
      </w:r>
      <w:r>
        <w:t>, README and architecture</w:t>
      </w:r>
    </w:p>
    <w:p>
      <w:r>
        <w:t>Acceptance and verification: Dataset and versions frozen; two complete flows; payment exclusion and current behaviour consistent</w:t>
      </w:r>
    </w:p>
    <w:p>
      <w:pPr>
        <w:pStyle w:val="Heading2"/>
      </w:pPr>
      <w:r>
        <w:t>Change 10   P1</w:t>
      </w:r>
    </w:p>
    <w:p>
      <w:r>
        <w:t>Recommendation banner and richer merchant comparison</w:t>
      </w:r>
    </w:p>
    <w:p>
      <w:r>
        <w:t>Acceptance and verification: Ranking rule is documented and deterministic; selected proposal and banner agree; caution remains visible</w:t>
      </w:r>
    </w:p>
    <w:p>
      <w:pPr>
        <w:pStyle w:val="Heading2"/>
      </w:pPr>
      <w:r>
        <w:t>Change 11   P0</w:t>
      </w:r>
    </w:p>
    <w:p>
      <w:r>
        <w:t>Final recording and presentation materials</w:t>
      </w:r>
    </w:p>
    <w:p>
      <w:r>
        <w:t>Acceptance and verification: Working system submitted; 15-minute story covers goals, changes, demo and study design without results</w:t>
      </w:r>
    </w:p>
    <w:p>
      <w:r>
        <w:t xml:space="preserve">Use existing naming and module boundaries: snake_case Python, Pydantic validation, typed React props and ordinary JSON fixture records. Extend focused helpers rather than introducing another agent framework. A representative existing style is </w:t>
      </w:r>
      <w:r>
        <w:rPr>
          <w:rFonts w:ascii="Consolas" w:hAnsi="Consolas"/>
          <w:sz w:val="18"/>
        </w:rPr>
        <w:t>Fact(value=change.value, source=change.source, hard=change.hard)</w:t>
      </w:r>
      <w:r>
        <w:t>; new priority and evidence fields should receive equivalent explicit types rather than unstructured dictionaries crossing API boundaries.</w:t>
      </w:r>
    </w:p>
    <w:p>
      <w:r>
        <w:t xml:space="preserve">Run from </w:t>
      </w:r>
      <w:r>
        <w:rPr>
          <w:rFonts w:ascii="Consolas" w:hAnsi="Consolas"/>
          <w:sz w:val="18"/>
        </w:rPr>
        <w:t>backend</w:t>
      </w:r>
      <w:r>
        <w:t xml:space="preserve">: </w:t>
      </w:r>
      <w:r>
        <w:rPr>
          <w:rFonts w:ascii="Consolas" w:hAnsi="Consolas"/>
          <w:sz w:val="18"/>
        </w:rPr>
        <w:t>.venv/bin/python -m pytest -q -p no:cacheprovider</w:t>
      </w:r>
      <w:r>
        <w:t xml:space="preserve">. Run from </w:t>
      </w:r>
      <w:r>
        <w:rPr>
          <w:rFonts w:ascii="Consolas" w:hAnsi="Consolas"/>
          <w:sz w:val="18"/>
        </w:rPr>
        <w:t>frontend</w:t>
      </w:r>
      <w:r>
        <w:t xml:space="preserve">: </w:t>
      </w:r>
      <w:r>
        <w:rPr>
          <w:rFonts w:ascii="Consolas" w:hAnsi="Consolas"/>
          <w:sz w:val="18"/>
        </w:rPr>
        <w:t>npm run typecheck</w:t>
      </w:r>
      <w:r>
        <w:t xml:space="preserve">, </w:t>
      </w:r>
      <w:r>
        <w:rPr>
          <w:rFonts w:ascii="Consolas" w:hAnsi="Consolas"/>
          <w:sz w:val="18"/>
        </w:rPr>
        <w:t>npm run build</w:t>
      </w:r>
      <w:r>
        <w:t xml:space="preserve"> and </w:t>
      </w:r>
      <w:r>
        <w:rPr>
          <w:rFonts w:ascii="Consolas" w:hAnsi="Consolas"/>
          <w:sz w:val="18"/>
        </w:rPr>
        <w:t>npm run test:e2e</w:t>
      </w:r>
      <w:r>
        <w:t xml:space="preserve">. Development commands are </w:t>
      </w:r>
      <w:r>
        <w:rPr>
          <w:rFonts w:ascii="Consolas" w:hAnsi="Consolas"/>
          <w:sz w:val="18"/>
        </w:rPr>
        <w:t>.venv/bin/python -m uvicorn app.main:app --reload --port 8000</w:t>
      </w:r>
      <w:r>
        <w:t xml:space="preserve"> from </w:t>
      </w:r>
      <w:r>
        <w:rPr>
          <w:rFonts w:ascii="Consolas" w:hAnsi="Consolas"/>
          <w:sz w:val="18"/>
        </w:rPr>
        <w:t>backend</w:t>
      </w:r>
      <w:r>
        <w:t xml:space="preserve">, and </w:t>
      </w:r>
      <w:r>
        <w:rPr>
          <w:rFonts w:ascii="Consolas" w:hAnsi="Consolas"/>
          <w:sz w:val="18"/>
        </w:rPr>
        <w:t>npm run dev</w:t>
      </w:r>
      <w:r>
        <w:t xml:space="preserve"> from </w:t>
      </w:r>
      <w:r>
        <w:rPr>
          <w:rFonts w:ascii="Consolas" w:hAnsi="Consolas"/>
          <w:sz w:val="18"/>
        </w:rPr>
        <w:t>frontend</w:t>
      </w:r>
      <w:r>
        <w:t>. Preserve test isolation from local credentials; explicitly pin catalogue search, blank live-search credentials and replay settings in browser-test servers before broader tests.</w:t>
      </w:r>
    </w:p>
    <w:p>
      <w:r>
        <w:t>Backend tests cover readiness, grounding, revisions, priorities, exact-product comparisons, safe response projections and condition-aware exports. Browser tests cover editing, disclosure, baseline versus full treatment, keyboard access, mobile layout and progress failure states. Use frozen synthetic fixtures for reproducibility. Live-model evaluation is separately reviewed and must never run implicitly in the offline suite.</w:t>
      </w:r>
    </w:p>
    <w:p>
      <w:r>
        <w:t>Always preserve hard limits, hidden-label isolation, explicit final approval, deterministic fallback facts and test isolation. Never commit keys or participant data, weaken checks to make demonstrations pass, invent completed checks or claim real-world certification. Escalate genuine product-scope decisions such as real payment, live-source dependency or extra categories before implementation. Existing research and local-study deployment limits remain in force; production hardening is not a prerequisite for this course prototype.</w:t>
      </w:r>
    </w:p>
    <w:p>
      <w:pPr>
        <w:pStyle w:val="Heading1"/>
      </w:pPr>
      <w:r>
        <w:t>11 Demonstration and presentation</w:t>
      </w:r>
    </w:p>
    <w:p>
      <w:r>
        <w:t>Recommended allocation totals 15 minutes: rationale and two pillars, 2 minutes; changes since the mid-project version and why, 2 minutes; system demo, 5 minutes; study design and rationale, 4 minutes; limits and close, 2 minutes. Validate the historical mid-project claims against the actual deck before presenting them; repository state alone does not establish what was shown then.</w:t>
      </w:r>
    </w:p>
    <w:p>
      <w:r>
        <w:t>Headphones flow: start ambiguously, answer one useful clarification, inspect and correct the brief, see the actual shopping activity, compare two sellers for the same product, inspect a caution and select the better-supported offer. The result recap must reflect the correction. End at a user decision; if shown, checkout is visibly simulated.</w:t>
      </w:r>
    </w:p>
    <w:p>
      <w:r>
        <w:t>Running-shoes flow: state conflicting preferences, inspect the fit tradeoff, choose a priority, revise the brief and compare again. Keep a clean small merchant and a benign discount visible so the system does not imply that only large retailers are acceptable.</w:t>
      </w:r>
    </w:p>
    <w:p>
      <w:r>
        <w:t>A recording can present these complete working flows. It must show actual application behaviour; edited or fabricated interactions are not a substitute for the submitted system. Record only after the scenario data and build are frozen. Provide run instructions, required environment placeholders and the chosen source mode with the submission.</w:t>
      </w:r>
    </w:p>
    <w:p>
      <w:pPr>
        <w:pStyle w:val="Heading1"/>
      </w:pPr>
      <w:r>
        <w:t>12 Completion criteria and decision register</w:t>
      </w:r>
    </w:p>
    <w:p>
      <w:r>
        <w:t>The required final build is complete when both demo tasks run from a fresh session; intent can be clarified and corrected; each result recaps the current brief; users can inspect product, seller and price evidence; risk statements point to observable information; activity matches actual work; and alternatives preserve product identity. The final presentation includes the complete study design without claiming results. Simulated checkout must remain explicitly user controlled with no real payment.</w:t>
      </w:r>
    </w:p>
    <w:p>
      <w:r>
        <w:t>Before recruitment, also implement the baseline and full-system conditions with controlled data, and anonymous task exports containing condition, versions and paired participant identity. This second readiness gate does not expand the presentation's plan-only requirement.</w:t>
      </w:r>
    </w:p>
    <w:p>
      <w:r>
        <w:t>Decisions to settle before implementation: adopt the proposed two categories or retain backpacks as the second task; choose the above-SGD200 fixture revision or narrow the evaluated population; choose completed activity or live progress; decide whether the optional banner fits the remaining time; confirm recruitment feasibility and professor review. Recommended defaults are headphones plus running shoes, an above-SGD200 headphones subset, truthful completed activity first, banner after core acceptance, and a 16 to 24 participant counterbalanced proposal. These are recommendations, not meeting agreements.</w:t>
      </w:r>
    </w:p>
    <w:p>
      <w:pPr>
        <w:pStyle w:val="Heading1"/>
      </w:pPr>
      <w:r>
        <w:t>13 Evidence and traceability</w:t>
      </w:r>
    </w:p>
    <w:p>
      <w:r>
        <w:t xml:space="preserve">The accompanying </w:t>
      </w:r>
      <w:r>
        <w:rPr>
          <w:rFonts w:ascii="Consolas" w:hAnsi="Consolas"/>
          <w:sz w:val="18"/>
        </w:rPr>
        <w:t>2026-10-27-codebase-review.md</w:t>
      </w:r>
      <w:r>
        <w:t xml:space="preserve"> records findings F01 to F10 and verification results. PI01 to PI04 address F01, F02 and F07; source and offer requirements address F05, F06 and F08; activity addresses F03; study conditions address F04; data curation addresses F09; scope and presentation documentation address F10.</w:t>
      </w:r>
    </w:p>
    <w:p>
      <w:r>
        <w:t>The supplied meeting feedback is the requirements source for the narrowed scope, two pillars, mock-data acceptance, A/B evaluation and presentation constraints. The asserted Polymarket transaction statistic and attributed Zuckerberg remark are not needed to justify this specification. They should be omitted from presentation evidence unless the team obtains the original sources, wording, date and context. Do not present a prediction-market probability as an observed transaction share.</w:t>
      </w:r>
    </w:p>
    <w:p>
      <w:r>
        <w:br w:type="page"/>
      </w:r>
    </w:p>
    <w:p>
      <w:pPr>
        <w:pStyle w:val="Heading1"/>
      </w:pPr>
      <w:r>
        <w:t>Appendix Codebase Review</w:t>
      </w:r>
    </w:p>
    <w:p>
      <w:r>
        <w:t xml:space="preserve">Review date: 27 October 2026. Baseline: commit </w:t>
      </w:r>
      <w:r>
        <w:rPr>
          <w:rFonts w:ascii="Consolas" w:hAnsi="Consolas"/>
          <w:sz w:val="18"/>
        </w:rPr>
        <w:t>13e124f</w:t>
      </w:r>
      <w:r>
        <w:t>. Scope: the integrated FastAPI and Next.js application, its fixtures, tests and project documentation. Findings below distinguish observed behaviour from proposed changes.</w:t>
      </w:r>
    </w:p>
    <w:p>
      <w:pPr>
        <w:pStyle w:val="Heading1"/>
      </w:pPr>
      <w:r>
        <w:t>Review Overall assessment</w:t>
      </w:r>
    </w:p>
    <w:p>
      <w:r>
        <w:t>Beany has a credible foundation for the revised project. Its strongest contribution is the separation between probabilistic conversation and deterministic control: the model extracts preferences and selects candidates, while Python validates constraints, assesses configured merchant signals and controls simulated checkout. The editable brief, provenance states, exact-action approvals and researcher-only ground-truth joins are worth preserving.</w:t>
      </w:r>
    </w:p>
    <w:p>
      <w:r>
        <w:t>The main weakness is product alignment. Much of the application is organised around permissions, approvals and simulated transactions, while the feedback prioritises understanding purchase intent and helping users inspect source evidence before deciding. More checkout work would contribute less than making the existing information understandable and evaluable.</w:t>
      </w:r>
    </w:p>
    <w:p>
      <w:r>
        <w:t>The synthetic database is already implemented: 81 offer records, 23 merchants, 62 study offers and three categories. Calling the database an outstanding greenfield feature would misrepresent the repository. The remaining work is scenario curation, evidence presentation and repeatability.</w:t>
      </w:r>
    </w:p>
    <w:p>
      <w:pPr>
        <w:pStyle w:val="Heading1"/>
      </w:pPr>
      <w:r>
        <w:t>Review Findings requiring changes</w:t>
      </w:r>
    </w:p>
    <w:p>
      <w:pPr>
        <w:pStyle w:val="Heading2"/>
      </w:pPr>
      <w:r>
        <w:t>F01 High priority Purchase intent readiness is too weak</w:t>
      </w:r>
    </w:p>
    <w:p>
      <w:r>
        <w:t xml:space="preserve">Evidence: </w:t>
      </w:r>
      <w:r>
        <w:rPr>
          <w:rFonts w:ascii="Consolas" w:hAnsi="Consolas"/>
          <w:sz w:val="18"/>
        </w:rPr>
        <w:t>backend/config/elicitation.json</w:t>
      </w:r>
      <w:r>
        <w:t xml:space="preserve">; </w:t>
      </w:r>
      <w:r>
        <w:rPr>
          <w:rFonts w:ascii="Consolas" w:hAnsi="Consolas"/>
          <w:sz w:val="18"/>
        </w:rPr>
        <w:t>backend/config/prompts/dialogue.txt</w:t>
      </w:r>
      <w:r>
        <w:t xml:space="preserve">; </w:t>
      </w:r>
      <w:r>
        <w:rPr>
          <w:rFonts w:ascii="Consolas" w:hAnsi="Consolas"/>
          <w:sz w:val="18"/>
        </w:rPr>
        <w:t>backend/app/runtime/service.py:242</w:t>
      </w:r>
      <w:r>
        <w:t xml:space="preserve">; </w:t>
      </w:r>
      <w:r>
        <w:rPr>
          <w:rFonts w:ascii="Consolas" w:hAnsi="Consolas"/>
          <w:sz w:val="18"/>
        </w:rPr>
        <w:t>backend/app/runtime/llm.py:53</w:t>
      </w:r>
      <w:r>
        <w:t>.</w:t>
      </w:r>
    </w:p>
    <w:p>
      <w:r>
        <w:t xml:space="preserve">The configuration treats category and budget as sufficient and the prompt explicitly discourages use-case clarification once they are present. The service can replace a model clarification with search solely because those two fields are confirmed. Thus a request such as headphones under a budget may proceed without resolving commute versus exercise, comfort or the user's most important criterion. The mock interpreter also searches for the bare input </w:t>
      </w:r>
      <w:r>
        <w:rPr>
          <w:rFonts w:ascii="Consolas" w:hAnsi="Consolas"/>
          <w:sz w:val="18"/>
        </w:rPr>
        <w:t>headphones</w:t>
      </w:r>
      <w:r>
        <w:t>; a direct offline service probe produced one proposal and zero clarifications. That probe establishes mock behaviour, not the quality of the live model.</w:t>
      </w:r>
    </w:p>
    <w:p>
      <w:r>
        <w:t>Change: define category-sensitive purchase intent readiness. Ask one relevant question when a decision-changing ambiguity remains, accept an explicit request to browse, and never silently invent preferences. Preserve a direct route to results for already specific requests.</w:t>
      </w:r>
    </w:p>
    <w:p>
      <w:pPr>
        <w:pStyle w:val="Heading2"/>
      </w:pPr>
      <w:r>
        <w:t>F02 High priority Hard constraints can inherit an unrelated field state</w:t>
      </w:r>
    </w:p>
    <w:p>
      <w:r>
        <w:t xml:space="preserve">Evidence: </w:t>
      </w:r>
      <w:r>
        <w:rPr>
          <w:rFonts w:ascii="Consolas" w:hAnsi="Consolas"/>
          <w:sz w:val="18"/>
        </w:rPr>
        <w:t>frontend/src/components/Brief.tsx:80</w:t>
      </w:r>
      <w:r>
        <w:t>.</w:t>
      </w:r>
    </w:p>
    <w:p>
      <w:r>
        <w:t xml:space="preserve">The preference selector updates </w:t>
      </w:r>
      <w:r>
        <w:rPr>
          <w:rFonts w:ascii="Consolas" w:hAnsi="Consolas"/>
          <w:sz w:val="18"/>
        </w:rPr>
        <w:t>field</w:t>
      </w:r>
      <w:r>
        <w:t xml:space="preserve"> and </w:t>
      </w:r>
      <w:r>
        <w:rPr>
          <w:rFonts w:ascii="Consolas" w:hAnsi="Consolas"/>
          <w:sz w:val="18"/>
        </w:rPr>
        <w:t>value</w:t>
      </w:r>
      <w:r>
        <w:t xml:space="preserve"> but does not update </w:t>
      </w:r>
      <w:r>
        <w:rPr>
          <w:rFonts w:ascii="Consolas" w:hAnsi="Consolas"/>
          <w:sz w:val="18"/>
        </w:rPr>
        <w:t>hard</w:t>
      </w:r>
      <w:r>
        <w:t>. After editing a hard budget and switching the selector to another preference, saving can attach the budget's hard setting to the new field. Switching in the opposite direction can make an existing hard preference soft. This is a concrete state-management defect in a control intended to establish trust.</w:t>
      </w:r>
    </w:p>
    <w:p>
      <w:r>
        <w:t xml:space="preserve">Change: load </w:t>
      </w:r>
      <w:r>
        <w:rPr>
          <w:rFonts w:ascii="Consolas" w:hAnsi="Consolas"/>
          <w:sz w:val="18"/>
        </w:rPr>
        <w:t>value</w:t>
      </w:r>
      <w:r>
        <w:t xml:space="preserve"> and </w:t>
      </w:r>
      <w:r>
        <w:rPr>
          <w:rFonts w:ascii="Consolas" w:hAnsi="Consolas"/>
          <w:sz w:val="18"/>
        </w:rPr>
        <w:t>hard</w:t>
      </w:r>
      <w:r>
        <w:t xml:space="preserve"> from the selected fact together; default a new field deliberately. Verify both directions, including category changes and empty fields. Use user-facing labels such as Must have and Prefer where appropriate.</w:t>
      </w:r>
    </w:p>
    <w:p>
      <w:pPr>
        <w:pStyle w:val="Heading2"/>
      </w:pPr>
      <w:r>
        <w:t>F03 High priority The activity panel does not show the actual research process</w:t>
      </w:r>
    </w:p>
    <w:p>
      <w:r>
        <w:t xml:space="preserve">Evidence: </w:t>
      </w:r>
      <w:r>
        <w:rPr>
          <w:rFonts w:ascii="Consolas" w:hAnsi="Consolas"/>
          <w:sz w:val="18"/>
        </w:rPr>
        <w:t>backend/app/runtime/shopping_workflow.py:52</w:t>
      </w:r>
      <w:r>
        <w:t xml:space="preserve">; </w:t>
      </w:r>
      <w:r>
        <w:rPr>
          <w:rFonts w:ascii="Consolas" w:hAnsi="Consolas"/>
          <w:sz w:val="18"/>
        </w:rPr>
        <w:t>backend/app/runtime/service.py:163</w:t>
      </w:r>
      <w:r>
        <w:t xml:space="preserve">; </w:t>
      </w:r>
      <w:r>
        <w:rPr>
          <w:rFonts w:ascii="Consolas" w:hAnsi="Consolas"/>
          <w:sz w:val="18"/>
        </w:rPr>
        <w:t>backend/app/main.py:51</w:t>
      </w:r>
      <w:r>
        <w:t xml:space="preserve">; </w:t>
      </w:r>
      <w:r>
        <w:rPr>
          <w:rFonts w:ascii="Consolas" w:hAnsi="Consolas"/>
          <w:sz w:val="18"/>
        </w:rPr>
        <w:t>frontend/src/app/page.tsx:337</w:t>
      </w:r>
      <w:r>
        <w:t xml:space="preserve"> and its activity filter.</w:t>
      </w:r>
    </w:p>
    <w:p>
      <w:r>
        <w:t xml:space="preserve">The backend records searches and inspections as </w:t>
      </w:r>
      <w:r>
        <w:rPr>
          <w:rFonts w:ascii="Consolas" w:hAnsi="Consolas"/>
          <w:sz w:val="18"/>
        </w:rPr>
        <w:t>shopping_tool</w:t>
      </w:r>
      <w:r>
        <w:t xml:space="preserve"> events, plus risk assessments. The UI filters these out and displays generic historical labels after the complete request finishes. The only in-progress feedback is Beany is working. The current </w:t>
      </w:r>
      <w:r>
        <w:rPr>
          <w:rFonts w:ascii="Consolas" w:hAnsi="Consolas"/>
          <w:sz w:val="18"/>
        </w:rPr>
        <w:t>search</w:t>
      </w:r>
      <w:r>
        <w:t xml:space="preserve"> event says Compared N matches even though returning candidates does not establish that each was inspected.</w:t>
      </w:r>
    </w:p>
    <w:p>
      <w:r>
        <w:t>Change: distinguish found, inspected and assessed counts; expose a safe activity projection with evidence references. A live display requires a transport change: the current synchronous request and save-at-completion design cannot stream its stored events. Do not fake intermediate work with timers or reveal raw model interpretations.</w:t>
      </w:r>
    </w:p>
    <w:p>
      <w:pPr>
        <w:pStyle w:val="Heading2"/>
      </w:pPr>
      <w:r>
        <w:t>F04 High priority The proposed A/B comparison does not exist</w:t>
      </w:r>
    </w:p>
    <w:p>
      <w:r>
        <w:t xml:space="preserve">Evidence: </w:t>
      </w:r>
      <w:r>
        <w:rPr>
          <w:rFonts w:ascii="Consolas" w:hAnsi="Consolas"/>
          <w:sz w:val="18"/>
        </w:rPr>
        <w:t>backend/config/cui_profiles.json</w:t>
      </w:r>
      <w:r>
        <w:t xml:space="preserve">; </w:t>
      </w:r>
      <w:r>
        <w:rPr>
          <w:rFonts w:ascii="Consolas" w:hAnsi="Consolas"/>
          <w:sz w:val="18"/>
        </w:rPr>
        <w:t>backend/app/runtime/research.py:23</w:t>
      </w:r>
      <w:r>
        <w:t xml:space="preserve">; </w:t>
      </w:r>
      <w:r>
        <w:rPr>
          <w:rFonts w:ascii="Consolas" w:hAnsi="Consolas"/>
          <w:sz w:val="18"/>
        </w:rPr>
        <w:t>backend/app/main.py:197</w:t>
      </w:r>
      <w:r>
        <w:t xml:space="preserve">; </w:t>
      </w:r>
      <w:r>
        <w:rPr>
          <w:rFonts w:ascii="Consolas" w:hAnsi="Consolas"/>
          <w:sz w:val="18"/>
        </w:rPr>
        <w:t>docs/evaluation-guide.md</w:t>
      </w:r>
      <w:r>
        <w:t>.</w:t>
      </w:r>
    </w:p>
    <w:p>
      <w:r>
        <w:t>The standard and concise profiles change explanation length. They do not disable conversational clarification, extracted brief display, risk presentation or agent recommendations. Existing risk scenarios test interventions; they are not a traditional comparison-site baseline. Research session creation also generates a new participant identifier each time, so paired-condition analysis needs an explicit shared study participant identifier.</w:t>
      </w:r>
    </w:p>
    <w:p>
      <w:r>
        <w:t>Change: add assigned study conditions, a baseline comparison view, task boundaries and condition-aware exports. Keep raw evidence available in both conditions and measure the whole interface package. Existing synthetic detector precision and recall do not measure user trust or decision quality.</w:t>
      </w:r>
    </w:p>
    <w:p>
      <w:pPr>
        <w:pStyle w:val="Heading2"/>
      </w:pPr>
      <w:r>
        <w:t>F05 Medium priority Review and specification data stop before the UI</w:t>
      </w:r>
    </w:p>
    <w:p>
      <w:r>
        <w:t xml:space="preserve">Evidence: </w:t>
      </w:r>
      <w:r>
        <w:rPr>
          <w:rFonts w:ascii="Consolas" w:hAnsi="Consolas"/>
          <w:sz w:val="18"/>
        </w:rPr>
        <w:t>backend/app/runtime/schemas.py:38</w:t>
      </w:r>
      <w:r>
        <w:t xml:space="preserve">, </w:t>
      </w:r>
      <w:r>
        <w:rPr>
          <w:rFonts w:ascii="Consolas" w:hAnsi="Consolas"/>
          <w:sz w:val="18"/>
        </w:rPr>
        <w:t>:45</w:t>
      </w:r>
      <w:r>
        <w:t xml:space="preserve"> and </w:t>
      </w:r>
      <w:r>
        <w:rPr>
          <w:rFonts w:ascii="Consolas" w:hAnsi="Consolas"/>
          <w:sz w:val="18"/>
        </w:rPr>
        <w:t>:148</w:t>
      </w:r>
      <w:r>
        <w:t xml:space="preserve">; </w:t>
      </w:r>
      <w:r>
        <w:rPr>
          <w:rFonts w:ascii="Consolas" w:hAnsi="Consolas"/>
          <w:sz w:val="18"/>
        </w:rPr>
        <w:t>frontend/src/lib/beany.ts</w:t>
      </w:r>
      <w:r>
        <w:t xml:space="preserve">; </w:t>
      </w:r>
      <w:r>
        <w:rPr>
          <w:rFonts w:ascii="Consolas" w:hAnsi="Consolas"/>
          <w:sz w:val="18"/>
        </w:rPr>
        <w:t>frontend/src/components/MerchantDetails.tsx</w:t>
      </w:r>
      <w:r>
        <w:t xml:space="preserve">; </w:t>
      </w:r>
      <w:r>
        <w:rPr>
          <w:rFonts w:ascii="Consolas" w:hAnsi="Consolas"/>
          <w:sz w:val="18"/>
        </w:rPr>
        <w:t>frontend/src/app/page.tsx:304</w:t>
      </w:r>
      <w:r>
        <w:t>.</w:t>
      </w:r>
    </w:p>
    <w:p>
      <w:r>
        <w:t>Backend products contain ratings, rating counts and review excerpts; merchants contain merchant reviews and checkout notes. The active TypeScript contracts omit these additions, and the participant UI does not render them. Product specifications are declared but not shown in the main product and comparison cards. Merchant aggregate ratings exist, mostly inside collapsed details. Users therefore cannot inspect much of the evidence already authored for the study.</w:t>
      </w:r>
    </w:p>
    <w:p>
      <w:r>
        <w:t>Change: extend the active contracts and render product and merchant evidence separately. Surface concise signals per offer with expandable specifications, review excerpts and source details. Missing evidence must remain visibly unknown.</w:t>
      </w:r>
    </w:p>
    <w:p>
      <w:pPr>
        <w:pStyle w:val="Heading2"/>
      </w:pPr>
      <w:r>
        <w:t>F06 Medium priority Same product comparison has no reliable identity</w:t>
      </w:r>
    </w:p>
    <w:p>
      <w:r>
        <w:t xml:space="preserve">Evidence: </w:t>
      </w:r>
      <w:r>
        <w:rPr>
          <w:rFonts w:ascii="Consolas" w:hAnsi="Consolas"/>
          <w:sz w:val="18"/>
        </w:rPr>
        <w:t>backend/app/runtime/merchant_risk.py:187</w:t>
      </w:r>
      <w:r>
        <w:t xml:space="preserve">; </w:t>
      </w:r>
      <w:r>
        <w:rPr>
          <w:rFonts w:ascii="Consolas" w:hAnsi="Consolas"/>
          <w:sz w:val="18"/>
        </w:rPr>
        <w:t>backend/app/runtime/policy.py:115</w:t>
      </w:r>
      <w:r>
        <w:t xml:space="preserve">; </w:t>
      </w:r>
      <w:r>
        <w:rPr>
          <w:rFonts w:ascii="Consolas" w:hAnsi="Consolas"/>
          <w:sz w:val="18"/>
        </w:rPr>
        <w:t>backend/app/main.py</w:t>
      </w:r>
      <w:r>
        <w:t xml:space="preserve"> alternative endpoint.</w:t>
      </w:r>
    </w:p>
    <w:p>
      <w:r>
        <w:t>The low-price reference set matches category, brand and currency, rather than exact product and variant. Different products from one brand can therefore become misleading comparables. The alternative endpoint excludes the previous merchant and searches all eligible products; it does not preserve product identity. An offline probe changed Echo Study to Brio Desk Headset after the merchant-alternative operation.</w:t>
      </w:r>
    </w:p>
    <w:p>
      <w:r>
        <w:t>Change: introduce a stable product group and variant key, separate merchant offers from product identity, and restrict Find another merchant to the same product variant. Offer a separately labelled alternative-product action when no other seller exists. Compare prices only within a documented comparable offer set.</w:t>
      </w:r>
    </w:p>
    <w:p>
      <w:pPr>
        <w:pStyle w:val="Heading2"/>
      </w:pPr>
      <w:r>
        <w:t>F07 Medium priority Ranking does not express negotiated priorities</w:t>
      </w:r>
    </w:p>
    <w:p>
      <w:r>
        <w:t xml:space="preserve">Evidence: </w:t>
      </w:r>
      <w:r>
        <w:rPr>
          <w:rFonts w:ascii="Consolas" w:hAnsi="Consolas"/>
          <w:sz w:val="18"/>
        </w:rPr>
        <w:t>backend/app/runtime/policy.py:115</w:t>
      </w:r>
      <w:r>
        <w:t xml:space="preserve">; </w:t>
      </w:r>
      <w:r>
        <w:rPr>
          <w:rFonts w:ascii="Consolas" w:hAnsi="Consolas"/>
          <w:sz w:val="18"/>
        </w:rPr>
        <w:t>backend/app/runtime/shopping_workflow.py:25</w:t>
      </w:r>
      <w:r>
        <w:t xml:space="preserve">; </w:t>
      </w:r>
      <w:r>
        <w:rPr>
          <w:rFonts w:ascii="Consolas" w:hAnsi="Consolas"/>
          <w:sz w:val="18"/>
        </w:rPr>
        <w:t>backend/app/runtime/schemas.py:21</w:t>
      </w:r>
      <w:r>
        <w:t>.</w:t>
      </w:r>
    </w:p>
    <w:p>
      <w:r>
        <w:t>Catalogue ranking uses feature substring matches, a fixed brand bonus, a usage substring match and then price. Facts have no priority order. The planner can choose any inspected result; returned candidate order and proposed product need not agree. No structured mismatch summary or explicit preference-negotiation state exists.</w:t>
      </w:r>
    </w:p>
    <w:p>
      <w:r>
        <w:t>Change: record user-confirmed priority order, compute match and mismatch explanations deterministically, and request an explicit change before relaxing constraints. Treat a Most recommended banner as optional scope until the team chooses it; do not describe it as already agreed or implemented.</w:t>
      </w:r>
    </w:p>
    <w:p>
      <w:pPr>
        <w:pStyle w:val="Heading2"/>
      </w:pPr>
      <w:r>
        <w:t>F08 Medium priority Fixture annotations can be mistaken for detected evidence</w:t>
      </w:r>
    </w:p>
    <w:p>
      <w:r>
        <w:t xml:space="preserve">Evidence: </w:t>
      </w:r>
      <w:r>
        <w:rPr>
          <w:rFonts w:ascii="Consolas" w:hAnsi="Consolas"/>
          <w:sz w:val="18"/>
        </w:rPr>
        <w:t>backend/app/runtime/merchant_risk.py:75</w:t>
      </w:r>
      <w:r>
        <w:t xml:space="preserve">; </w:t>
      </w:r>
      <w:r>
        <w:rPr>
          <w:rFonts w:ascii="Consolas" w:hAnsi="Consolas"/>
          <w:sz w:val="18"/>
        </w:rPr>
        <w:t>backend/app/runtime/schemas.py:45</w:t>
      </w:r>
      <w:r>
        <w:t xml:space="preserve">; </w:t>
      </w:r>
      <w:r>
        <w:rPr>
          <w:rFonts w:ascii="Consolas" w:hAnsi="Consolas"/>
          <w:sz w:val="18"/>
        </w:rPr>
        <w:t>backend/app/runtime/shopping_workflow.py:86</w:t>
      </w:r>
      <w:r>
        <w:t>.</w:t>
      </w:r>
    </w:p>
    <w:p>
      <w:r>
        <w:t>Catalogue risk rules read authored flags such as misleading returns and lookalike identity. They are not discovering those facts from arbitrary websites. Full merchant records, including these flags, can enter planner observations and participant snapshots. Ground-truth labels are correctly separated, but that does not make the authored flags independent evidence extraction.</w:t>
      </w:r>
    </w:p>
    <w:p>
      <w:r>
        <w:t>Change: describe this honestly as a simulated assessment. Link each participant-facing finding to the relevant visible fixture text. Keep annotations in the assessment layer and project only observable fields into planner and participant views. This is especially necessary for a credible baseline.</w:t>
      </w:r>
    </w:p>
    <w:p>
      <w:pPr>
        <w:pStyle w:val="Heading2"/>
      </w:pPr>
      <w:r>
        <w:t>F09 Medium priority Current tasks underrepresent the stated purchase stakes</w:t>
      </w:r>
    </w:p>
    <w:p>
      <w:r>
        <w:t xml:space="preserve">Evidence: </w:t>
      </w:r>
      <w:r>
        <w:rPr>
          <w:rFonts w:ascii="Consolas" w:hAnsi="Consolas"/>
          <w:sz w:val="18"/>
        </w:rPr>
        <w:t>backend/tests/test_study_dataset.py:65</w:t>
      </w:r>
      <w:r>
        <w:t xml:space="preserve">; </w:t>
      </w:r>
      <w:r>
        <w:rPr>
          <w:rFonts w:ascii="Consolas" w:hAnsi="Consolas"/>
          <w:sz w:val="18"/>
        </w:rPr>
        <w:t>backend/data/products/catalogue.json</w:t>
      </w:r>
      <w:r>
        <w:t>.</w:t>
      </w:r>
    </w:p>
    <w:p>
      <w:r>
        <w:t>Study target prices are SGD179, SGD159 and SGD99, with budgets of SGD200, SGD180 and SGD120. Only three of all 81 catalogue offers exceed SGD200. These fixtures demonstrate comparison and risk communication, but cannot substantiate a claim about higher-stakes purchases over $200 without clarifying currency and revising task prices or narrowing the claim.</w:t>
      </w:r>
    </w:p>
    <w:p>
      <w:r>
        <w:t>Change: either add a frozen above-SGD200 task set and update dependent assertions, or frame the initial study as consumer product comparison without claiming the threshold was evaluated. A laptop example is not a reason to add a fourth category for this submission.</w:t>
      </w:r>
    </w:p>
    <w:p>
      <w:pPr>
        <w:pStyle w:val="Heading2"/>
      </w:pPr>
      <w:r>
        <w:t>F10 Lower priority Documentation and transaction emphasis obscure the final scope</w:t>
      </w:r>
    </w:p>
    <w:p>
      <w:r>
        <w:t xml:space="preserve">Evidence: </w:t>
      </w:r>
      <w:r>
        <w:rPr>
          <w:rFonts w:ascii="Consolas" w:hAnsi="Consolas"/>
          <w:sz w:val="18"/>
        </w:rPr>
        <w:t>README.md</w:t>
      </w:r>
      <w:r>
        <w:t xml:space="preserve">; </w:t>
      </w:r>
      <w:r>
        <w:rPr>
          <w:rFonts w:ascii="Consolas" w:hAnsi="Consolas"/>
          <w:sz w:val="18"/>
        </w:rPr>
        <w:t>docs/architecture.md</w:t>
      </w:r>
      <w:r>
        <w:t xml:space="preserve">; </w:t>
      </w:r>
      <w:r>
        <w:rPr>
          <w:rFonts w:ascii="Consolas" w:hAnsi="Consolas"/>
          <w:sz w:val="18"/>
        </w:rPr>
        <w:t>docs/shopping-workflow.md</w:t>
      </w:r>
      <w:r>
        <w:t>; active cart and checkout routes.</w:t>
      </w:r>
    </w:p>
    <w:p>
      <w:r>
        <w:t>The README contains historical statements about automatic checkout and fresh-session deletion that conflict with later descriptions and the current UI. The architecture diagram does not describe the newer planner, merchant-risk and cart paths. The active UI invites checkout and shows purchase history before establishing the two feedback pillars.</w:t>
      </w:r>
    </w:p>
    <w:p>
      <w:r>
        <w:t>Change: rewrite current behaviour as one coherent account, centre find, compare and decide, and retain existing simulated checkout as a secondary demonstration boundary. No real payment integration is required. Keep legacy modules clearly identified rather than refactoring or deleting them during this scope change.</w:t>
      </w:r>
    </w:p>
    <w:p>
      <w:pPr>
        <w:pStyle w:val="Heading1"/>
      </w:pPr>
      <w:r>
        <w:t>Review Verification and limits</w:t>
      </w:r>
    </w:p>
    <w:p>
      <w:pPr>
        <w:pStyle w:val="ListBullet"/>
      </w:pPr>
      <w:r>
        <w:t xml:space="preserve">Backend: </w:t>
      </w:r>
      <w:r>
        <w:rPr>
          <w:rFonts w:ascii="Consolas" w:hAnsi="Consolas"/>
          <w:sz w:val="18"/>
        </w:rPr>
        <w:t>.venv/bin/python -m pytest -q -p no:cacheprovider</w:t>
      </w:r>
      <w:r>
        <w:t xml:space="preserve"> from </w:t>
      </w:r>
      <w:r>
        <w:rPr>
          <w:rFonts w:ascii="Consolas" w:hAnsi="Consolas"/>
          <w:sz w:val="18"/>
        </w:rPr>
        <w:t>backend</w:t>
      </w:r>
      <w:r>
        <w:t xml:space="preserve"> completed with 412 passed and 5 skipped. One upstream TestClient deprecation warning was reported. Skips are not counted as coverage.</w:t>
      </w:r>
    </w:p>
    <w:p>
      <w:pPr>
        <w:pStyle w:val="ListBullet"/>
      </w:pPr>
      <w:r>
        <w:t xml:space="preserve">Frontend: </w:t>
      </w:r>
      <w:r>
        <w:rPr>
          <w:rFonts w:ascii="Consolas" w:hAnsi="Consolas"/>
          <w:sz w:val="18"/>
        </w:rPr>
        <w:t>npm run typecheck</w:t>
      </w:r>
      <w:r>
        <w:t xml:space="preserve"> and </w:t>
      </w:r>
      <w:r>
        <w:rPr>
          <w:rFonts w:ascii="Consolas" w:hAnsi="Consolas"/>
          <w:sz w:val="18"/>
        </w:rPr>
        <w:t>npm run build</w:t>
      </w:r>
      <w:r>
        <w:t xml:space="preserve"> from </w:t>
      </w:r>
      <w:r>
        <w:rPr>
          <w:rFonts w:ascii="Consolas" w:hAnsi="Consolas"/>
          <w:sz w:val="18"/>
        </w:rPr>
        <w:t>frontend</w:t>
      </w:r>
      <w:r>
        <w:t xml:space="preserve"> both passed. The resolved Next.js build version was 15.5.27.</w:t>
      </w:r>
    </w:p>
    <w:p>
      <w:pPr>
        <w:pStyle w:val="ListBullet"/>
      </w:pPr>
      <w:r>
        <w:t>Direct offline probes reproduced bare-headphones search without clarification and product changes during merchant alternatives. They used the test suite's environment isolation and did not call external services.</w:t>
      </w:r>
    </w:p>
    <w:p>
      <w:pPr>
        <w:pStyle w:val="ListBullet"/>
      </w:pPr>
      <w:r>
        <w:t>Browser E2E tests, paid model calls and live Browser Use searches were not run for this review. UI findings are grounded in source inspection; no runtime accessibility or visual-quality claim is made.</w:t>
      </w:r>
    </w:p>
    <w:p>
      <w:pPr>
        <w:pStyle w:val="ListBullet"/>
      </w:pPr>
      <w:r>
        <w:t>Passing tests establish existing deterministic behaviour. They do not establish conformity with the new feedback, validity of the proposed experiment, scam-detection capability or live conversational quality.</w:t>
      </w:r>
    </w:p>
    <w:p>
      <w:pPr>
        <w:pStyle w:val="Heading1"/>
      </w:pPr>
      <w:r>
        <w:t>Review Recommended response</w:t>
      </w:r>
    </w:p>
    <w:p>
      <w:r>
        <w:t>Preserve the validated control boundary and existing dataset. First repair the brief editor and align purchase intent handling. Then expose evidence and honest activity, establish exact-product offer comparison, and build the A/B conditions. Keep checkout expansion, live-search infrastructure and additional categories outside the critical path. The accompanying specification defines observable acceptance criteria for these changes.</w:t>
      </w:r>
    </w:p>
    <w:sectPr w:rsidR="00FC693F" w:rsidRPr="0006063C" w:rsidSect="00034616">
      <w:footerReference w:type="default" r:id="rId9"/>
      <w:pgSz w:w="11909" w:h="16834"/>
      <w:pgMar w:top="1008" w:right="1008" w:bottom="1008" w:left="1008"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Beany Product Rationale and Scope</dc:title>
  <dc:subject>Codebase review and specification for final project changes</dc:subject>
  <dc:creator>Beany Project Team</dc:creator>
  <cp:keywords>CS3249, purchase intent, merchant evidence, user study</cp:keywords>
  <dc:description>generated by python-docx</dc:description>
  <cp:lastModifiedBy/>
  <cp:revision>1</cp:revision>
  <dcterms:created xsi:type="dcterms:W3CDTF">2013-12-23T23:15:00Z</dcterms:created>
  <dcterms:modified xsi:type="dcterms:W3CDTF">2013-12-23T23:15:00Z</dcterms:modified>
  <cp:category/>
</cp:coreProperties>
</file>