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3.png" ContentType="image/png"/>
  <Override PartName="/word/media/rId285.png" ContentType="image/png"/>
  <Override PartName="/word/media/rId297.pdf" ContentType="application/pdf"/>
  <Override PartName="/word/media/rId289.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r>
              <m:t>4</m:t>
            </m:r>
          </m:sup>
        </m:sSup>
      </m:oMath>
      <w:r>
        <w:t xml:space="preserve">*,</w:t>
      </w:r>
      <w:r>
        <w:t xml:space="preserve"> </w:t>
      </w:r>
      <w:r>
        <w:t xml:space="preserve">Alicia</w:t>
      </w:r>
      <w:r>
        <w:t xml:space="preserve"> </w:t>
      </w:r>
      <w:r>
        <w:t xml:space="preserve">Álvarez</w:t>
      </w:r>
      <m:oMath>
        <m:sSup>
          <m:e>
            <m:r>
              <m:t>​</m:t>
            </m:r>
          </m:e>
          <m:sup>
            <m:r>
              <m:t>2</m:t>
            </m:r>
            <m:r>
              <m:rPr>
                <m:sty m:val="p"/>
              </m:rPr>
              <m:t>,</m:t>
            </m:r>
            <m:r>
              <m:t>3</m:t>
            </m:r>
            <m:r>
              <m:rPr>
                <m:sty m:val="p"/>
              </m:rPr>
              <m:t>,</m:t>
            </m:r>
            <m:r>
              <m:t>4</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r>
        <w:br/>
      </w:r>
      <w:r>
        <w:t xml:space="preserve">² Consejo Nacional de Investigaciones Científicas y Técnicas (CONICET), Godoy Cruz 2290, CP 1425 Ciudad Autónoma de Buenos Aires, Argentina.</w:t>
      </w:r>
      <w:r>
        <w:br/>
      </w:r>
      <w:r>
        <w:t xml:space="preserve">³ Grupo de Paleontología de Vertebrados, Instituto de Ecorregiones Andinas (INECOA), CONICET – Universidad Nacional de Jujuy. Av. Bolivia 1661, CP 4600 San Salvador de Jujuy, Argentina</w:t>
      </w:r>
      <w:r>
        <w:br/>
      </w:r>
      <m:oMath>
        <m:sSup>
          <m:e>
            <m:r>
              <m:t>​</m:t>
            </m:r>
          </m:e>
          <m:sup>
            <m:r>
              <m:t>4</m:t>
            </m:r>
          </m:sup>
        </m:sSup>
      </m:oMath>
      <w:r>
        <w:t xml:space="preserve"> </w:t>
      </w:r>
      <w:r>
        <w:t xml:space="preserve">Instituto de Geología y Minería (IdGyM), Universidad Nacional de Jujuy. Av. Bolivia 1661, CP 4600 San Salvador de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S1).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removing singletons from the input occurrence database and analysed our database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30"/>
      </w:r>
      <w: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 xml:space="preserve">Figure 3</w:t>
        </w:r>
      </w:hyperlink>
      <w:r>
        <w:t xml:space="preserve">) and hypsodonty index (brachydont and mesodont) (Figure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 (</w:t>
      </w:r>
      <w:hyperlink w:anchor="fig-diversityBM">
        <w:r>
          <w:rPr>
            <w:rStyle w:val="Hyperlink"/>
          </w:rPr>
          <w:t xml:space="preserve">Figure 2</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2</w:t>
        </w:r>
      </w:hyperlink>
      <w:r>
        <w:t xml:space="preserve"> </w:t>
      </w:r>
      <w:r>
        <w:t xml:space="preserve">A). These peaks are barely recovered from the corrected diversity curve (</w:t>
      </w:r>
      <w:hyperlink w:anchor="fig-diversityBM">
        <w:r>
          <w:rPr>
            <w:rStyle w:val="Hyperlink"/>
          </w:rPr>
          <w:t xml:space="preserve">Figure 2</w:t>
        </w:r>
      </w:hyperlink>
      <w:r>
        <w:t xml:space="preserve"> </w:t>
      </w:r>
      <w:r>
        <w:t xml:space="preserve">B). The overall pattern of sampled diversity was conserved when conducting genus-level analyses (Figure S4 C) or when excluding singletons from the species-level dataset (Figure S5 C), though we may report that the amplitude of changes in diversity was attenuated in either case when compared to the analysis of the complete species-level dataset.</w:t>
      </w:r>
    </w:p>
    <w:p>
      <w:pPr>
        <w:pStyle w:val="BodyText"/>
      </w:pPr>
      <w:r>
        <w:t xml:space="preserve">This diversity pattern elegantly matches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2</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3</w:t>
        </w:r>
      </w:hyperlink>
      <w:r>
        <w:t xml:space="preserve">). Small-bodied species (&lt; 1kg) are mostly restricted to Palaeogene–Early Miocene basal (</w:t>
      </w:r>
      <w:r>
        <w:t xml:space="preserve">‘</w:t>
      </w:r>
      <w:r>
        <w:t xml:space="preserve">stem</w:t>
      </w:r>
      <w:r>
        <w:t xml:space="preserve">’</w:t>
      </w:r>
      <w:r>
        <w:t xml:space="preserve">) forms, with the notable exception of the two extant</w:t>
      </w:r>
      <w:r>
        <w:t xml:space="preserve"> </w:t>
      </w:r>
      <w:r>
        <w:rPr>
          <w:i/>
          <w:iCs/>
        </w:rPr>
        <w:t xml:space="preserve">Chinchilla</w:t>
      </w:r>
      <w:r>
        <w:t xml:space="preserve">.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p>
      <w:pPr>
        <w:pStyle w:val="BodyText"/>
      </w:pPr>
      <w:r>
        <w:t xml:space="preserve">Thus, we highlight the synchronous character of body mass evolution and diversity dynamics throughout the evolutionary history of Chinchilloidea.</w:t>
      </w:r>
    </w:p>
    <w:bookmarkEnd w:id="35"/>
    <w:bookmarkStart w:id="36" w:name="X2e5444c43be194d95e699343c9b2937867c4afe"/>
    <w:p>
      <w:pPr>
        <w:pStyle w:val="Heading2"/>
      </w:pPr>
      <w:r>
        <w:t xml:space="preserve">Heterogeneous extinction selectivity across body size classes and between tropical and non-tropical taxa, likely enhanced by the Andean uplift and diversity-dependent effects, shaped the decline of Chinchilloidea</w:t>
      </w:r>
    </w:p>
    <w:p>
      <w:pPr>
        <w:pStyle w:val="FirstParagraph"/>
      </w:pPr>
      <w:r>
        <w:t xml:space="preserve">Our findings revealed that the aforementioned changes in diversity were due to changes in extinction, not speciation rate during the history of the clade. Indeed, the joint estimation of the diversification process made with PyRate using the rjMCMC algorithm did not evidence any significant speciation rate shift during the evolutionary history of the clade (</w:t>
      </w:r>
      <w:hyperlink w:anchor="fig-diversification">
        <w:r>
          <w:rPr>
            <w:rStyle w:val="Hyperlink"/>
          </w:rPr>
          <w:t xml:space="preserve">Figure 4</w:t>
        </w:r>
      </w:hyperlink>
      <w:r>
        <w:t xml:space="preserve"> </w:t>
      </w:r>
      <w:r>
        <w:t xml:space="preserve">A, Figure S2 A). Rather, according to this model, speciation rate remained constant, nearing 0.6 events/lineage/Myr over the entire study period (</w:t>
      </w:r>
      <w:hyperlink w:anchor="fig-diversification">
        <w:r>
          <w:rPr>
            <w:rStyle w:val="Hyperlink"/>
          </w:rPr>
          <w:t xml:space="preserve">Figure 4</w:t>
        </w:r>
      </w:hyperlink>
      <w:r>
        <w:t xml:space="preserve"> </w:t>
      </w:r>
      <w:r>
        <w:t xml:space="preserve">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 xml:space="preserve">Figure 4</w:t>
        </w:r>
      </w:hyperlink>
      <w:r>
        <w:t xml:space="preserve"> </w:t>
      </w:r>
      <w:r>
        <w:t xml:space="preserve">E), and was not found significantly associated with any of the variables (</w:t>
      </w:r>
      <w:r>
        <w:rPr>
          <w:b/>
          <w:bCs/>
        </w:rPr>
        <w:t xml:space="preserve">Figure Drivers</w:t>
      </w:r>
      <w:r>
        <w:t xml:space="preserve">). Conversely, results obtained with the BDNN model nuanced the aforementioned conclusions. Indeed, BDNN provided evidence for speciation rate variation across lineages, as indicated by the coefficient of rate variation across the ten trait imputation replicates that marginally exceeded the threshold established for a constant-rate birth-death model (0.28 vs. 0.22, Table S4). According to BDNN, speciation rate was higher at the beginning of the evolutionary history of the group (first half of the Oligocene), decreased in the Chattian, further increased again and remained relatively constant around 0.55 until a slight decrease to 0.5 in the Quaternary (</w:t>
      </w:r>
      <w:hyperlink w:anchor="fig-diversification">
        <w:r>
          <w:rPr>
            <w:rStyle w:val="Hyperlink"/>
          </w:rPr>
          <w:t xml:space="preserve">Figure 4</w:t>
        </w:r>
      </w:hyperlink>
      <w:r>
        <w:t xml:space="preserve"> </w:t>
      </w:r>
      <w:r>
        <w:t xml:space="preserve">C). However, the narrow range speciation rate through time, together with the small difference between empirical and constant-rate coefficients of rate variation, raise the question of how biologically-relevant it is to consider these as evidence for chinchilloid speciation rate variation through time. It should be mentioned that the overall speciation rate value is conserved across methods (</w:t>
      </w:r>
      <w:hyperlink w:anchor="fig-diversification">
        <w:r>
          <w:rPr>
            <w:rStyle w:val="Hyperlink"/>
          </w:rPr>
          <w:t xml:space="preserve">Figure 4</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4</w:t>
        </w:r>
      </w:hyperlink>
      <w:r>
        <w:t xml:space="preserve"> </w:t>
      </w:r>
      <w:r>
        <w:t xml:space="preserve">B, D, F) and lineages (</w:t>
      </w:r>
      <w:hyperlink w:anchor="fig-extinctionBDNN">
        <w:r>
          <w:rPr>
            <w:rStyle w:val="Hyperlink"/>
          </w:rPr>
          <w:t xml:space="preserve">Figure 5</w:t>
        </w:r>
      </w:hyperlink>
      <w:r>
        <w:t xml:space="preserve">, Table S5). A single significant extinction rate shift is captured by the rjMCMC model</w:t>
      </w:r>
      <w:r>
        <w:t xml:space="preserve"> </w:t>
      </w:r>
      <w:r>
        <w:rPr>
          <w:i/>
          <w:iCs/>
        </w:rPr>
        <w:t xml:space="preserve">ca</w:t>
      </w:r>
      <w:r>
        <w:t xml:space="preserve">. 6.5 Ma (</w:t>
      </w:r>
      <w:hyperlink w:anchor="fig-diversification">
        <w:r>
          <w:rPr>
            <w:rStyle w:val="Hyperlink"/>
          </w:rPr>
          <w:t xml:space="preserve">Figure 4</w:t>
        </w:r>
      </w:hyperlink>
      <w:r>
        <w:t xml:space="preserve"> </w:t>
      </w:r>
      <w:r>
        <w:t xml:space="preserve">B, Figure S2 B), coinciding with the onset of the aforementioned diversity decline. This peak in extinction rate is both detected by the BDNN and the MBD models.</w:t>
      </w:r>
    </w:p>
    <w:p>
      <w:pPr>
        <w:pStyle w:val="BodyText"/>
      </w:pPr>
      <w:r>
        <w:t xml:space="preserve">Both the MBD and the BDNN model capture a Middle Miocene increase in extinction rate, that is not retrieved from the rjMCMC model.</w:t>
      </w:r>
    </w:p>
    <w:p>
      <w:pPr>
        <w:pStyle w:val="BodyText"/>
      </w:pPr>
      <w:r>
        <w:t xml:space="preserve">The absence of speciation rate variation across time was robust to singleton (</w:t>
      </w:r>
      <w:r>
        <w:rPr>
          <w:i/>
          <w:iCs/>
        </w:rPr>
        <w:t xml:space="preserve">i</w:t>
      </w:r>
      <w:r>
        <w:t xml:space="preserve">.</w:t>
      </w:r>
      <w:r>
        <w:rPr>
          <w:i/>
          <w:iCs/>
        </w:rPr>
        <w:t xml:space="preserve">e</w:t>
      </w:r>
      <w:r>
        <w:t xml:space="preserve">., species only represented by a single occurrence in our dataset) removal, and persisted when we carried out our rjMCMC analyses at the genus level (Figure S4 A, S5 A, S6 A and S7 A). However, although the late Miocene extinction rate shift was relatively conserved at the genus level (Figure S4 B), removing singletons eroded any extinction rate shift (Figure S5 B).</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signals of rate variation.</w:t>
      </w:r>
    </w:p>
    <w:p>
      <w:pPr>
        <w:pStyle w:val="BodyText"/>
      </w:pPr>
      <w:r>
        <w:t xml:space="preserve">Higher extinction rates outside the tropics</w:t>
      </w:r>
    </w:p>
    <w:p>
      <w:pPr>
        <w:pStyle w:val="BodyText"/>
      </w:pPr>
      <w:r>
        <w:t xml:space="preserve">ADE</w:t>
      </w:r>
    </w:p>
    <w:bookmarkEnd w:id="36"/>
    <w:bookmarkStart w:id="37" w:name="side-notes"/>
    <w:p>
      <w:pPr>
        <w:pStyle w:val="Heading2"/>
      </w:pPr>
      <w:r>
        <w:t xml:space="preserve">Side notes</w:t>
      </w:r>
    </w:p>
    <w:p>
      <w:pPr>
        <w:pStyle w:val="FirstParagraph"/>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bookmarkEnd w:id="37"/>
    <w:bookmarkEnd w:id="38"/>
    <w:bookmarkStart w:id="47"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2</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Figure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9" w:name="references"/>
    <w:p>
      <w:pPr>
        <w:pStyle w:val="Heading1"/>
      </w:pPr>
      <w:r>
        <w:t xml:space="preserve">References</w:t>
      </w:r>
    </w:p>
    <w:bookmarkStart w:id="278"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1">
        <w:r>
          <w:rPr>
            <w:rStyle w:val="Hyperlink"/>
          </w:rPr>
          <w:t xml:space="preserve">10.1101/2025.02.27.640393</w:t>
        </w:r>
      </w:hyperlink>
      <w:r>
        <w:t xml:space="preserve">. bioRxiv.</w:t>
      </w:r>
    </w:p>
    <w:bookmarkEnd w:id="92"/>
    <w:bookmarkStart w:id="93"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3"/>
    <w:bookmarkStart w:id="95" w:name="ref-candela2013"/>
    <w:p>
      <w:pPr>
        <w:pStyle w:val="Bibliography"/>
      </w:pPr>
      <w:r>
        <w:t xml:space="preserve">Candela, A. M., G. H. Cassini, and N. L. Nasif. 2013.</w:t>
      </w:r>
      <w:r>
        <w:t xml:space="preserve"> </w:t>
      </w:r>
      <w:hyperlink r:id="rId94">
        <w:r>
          <w:rPr>
            <w:rStyle w:val="Hyperlink"/>
          </w:rPr>
          <w:t xml:space="preserve">Fractal dimension and cheek teeth crown complexity in the giant rodent eumegamys paranensis</w:t>
        </w:r>
      </w:hyperlink>
      <w:r>
        <w:t xml:space="preserve">. Lethaia 46:369–377.</w:t>
      </w:r>
    </w:p>
    <w:bookmarkEnd w:id="95"/>
    <w:bookmarkStart w:id="97" w:name="ref-cantalapiedra2021"/>
    <w:p>
      <w:pPr>
        <w:pStyle w:val="Bibliography"/>
      </w:pPr>
      <w:r>
        <w:t xml:space="preserve">Cantalapiedra, J. L., Ó. Sanisidro, H. Zhang, M. T. Alberdi, J. L. Prado, F. Blanco, and J. Saarinen. 2021.</w:t>
      </w:r>
      <w:r>
        <w:t xml:space="preserve"> </w:t>
      </w:r>
      <w:hyperlink r:id="rId96">
        <w:r>
          <w:rPr>
            <w:rStyle w:val="Hyperlink"/>
          </w:rPr>
          <w:t xml:space="preserve">The rise and fall of proboscidean ecological diversity</w:t>
        </w:r>
      </w:hyperlink>
      <w:r>
        <w:t xml:space="preserve">. Nature Ecology &amp; Evolution 5:1266–1272.</w:t>
      </w:r>
    </w:p>
    <w:bookmarkEnd w:id="97"/>
    <w:bookmarkStart w:id="99" w:name="ref-carrillo_giant_2015"/>
    <w:p>
      <w:pPr>
        <w:pStyle w:val="Bibliography"/>
      </w:pPr>
      <w:r>
        <w:t xml:space="preserve">Carrillo, J. D., and M. R. Sánchez-Villagra. 2015.</w:t>
      </w:r>
      <w:r>
        <w:t xml:space="preserve"> </w:t>
      </w:r>
      <w:hyperlink r:id="rId98">
        <w:r>
          <w:rPr>
            <w:rStyle w:val="Hyperlink"/>
          </w:rPr>
          <w:t xml:space="preserve">Giant rodents from the neotropics: Diversity and dental variation of late miocene neoepiblemid remains from urumaco, venezuela</w:t>
        </w:r>
      </w:hyperlink>
      <w:r>
        <w:t xml:space="preserve">. Paläontol Z 89:1057–1071.</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2"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2"/>
    <w:bookmarkStart w:id="104" w:name="ref-chiarenza2020"/>
    <w:p>
      <w:pPr>
        <w:pStyle w:val="Bibliography"/>
      </w:pPr>
      <w:r>
        <w:t xml:space="preserve">Chiarenza, A. A., A. Farnsworth, P. D. Mannion, D. J. Lunt, P. J. Valdes, J. V. Morgan, and P. A. Allison. 2020.</w:t>
      </w:r>
      <w:r>
        <w:t xml:space="preserve"> </w:t>
      </w:r>
      <w:hyperlink r:id="rId103">
        <w:r>
          <w:rPr>
            <w:rStyle w:val="Hyperlink"/>
          </w:rPr>
          <w:t xml:space="preserve">Asteroid impact, not volcanism, caused the end-cretaceous dinosaur extinction</w:t>
        </w:r>
      </w:hyperlink>
      <w:r>
        <w:t xml:space="preserve">. Proceedings of the National Academy of Sciences 117:17084–17093.</w:t>
      </w:r>
    </w:p>
    <w:bookmarkEnd w:id="104"/>
    <w:bookmarkStart w:id="106" w:name="ref-cohen2025"/>
    <w:p>
      <w:pPr>
        <w:pStyle w:val="Bibliography"/>
      </w:pPr>
      <w:r>
        <w:t xml:space="preserve">Cohen, K., D. Harper, P. Gibbard, and N. Car. 2025.</w:t>
      </w:r>
      <w:r>
        <w:t xml:space="preserve"> </w:t>
      </w:r>
      <w:hyperlink r:id="rId105">
        <w:r>
          <w:rPr>
            <w:rStyle w:val="Hyperlink"/>
          </w:rPr>
          <w:t xml:space="preserve">The ICS international chronostratigraphic chart this decade</w:t>
        </w:r>
      </w:hyperlink>
      <w:r>
        <w:t xml:space="preserve">. Episodes Journal of International Geoscience 48:105–115.</w:t>
      </w:r>
    </w:p>
    <w:bookmarkEnd w:id="106"/>
    <w:bookmarkStart w:id="108" w:name="ref-condamine2018"/>
    <w:p>
      <w:pPr>
        <w:pStyle w:val="Bibliography"/>
      </w:pPr>
      <w:r>
        <w:t xml:space="preserve">Condamine, F. L., J. Rolland, S. Höhna, F. A. H. Sperling, and I. Sanmartín. 2018.</w:t>
      </w:r>
      <w:r>
        <w:t xml:space="preserve"> </w:t>
      </w:r>
      <w:hyperlink r:id="rId107">
        <w:r>
          <w:rPr>
            <w:rStyle w:val="Hyperlink"/>
          </w:rPr>
          <w:t xml:space="preserve">Testing the role of the red queen and court jester as drivers of the macroevolution of apollo butterflies</w:t>
        </w:r>
      </w:hyperlink>
      <w:r>
        <w:t xml:space="preserve">. Systematic Biology 67:940–964.</w:t>
      </w:r>
    </w:p>
    <w:bookmarkEnd w:id="108"/>
    <w:bookmarkStart w:id="110" w:name="ref-condamine2019"/>
    <w:p>
      <w:pPr>
        <w:pStyle w:val="Bibliography"/>
      </w:pPr>
      <w:r>
        <w:t xml:space="preserve">Condamine, F. L., J. Rolland, and H. Morlon. 2019a.</w:t>
      </w:r>
      <w:r>
        <w:t xml:space="preserve"> </w:t>
      </w:r>
      <w:hyperlink r:id="rId109">
        <w:r>
          <w:rPr>
            <w:rStyle w:val="Hyperlink"/>
          </w:rPr>
          <w:t xml:space="preserve">Assessing the causes of diversification slowdowns: temperature-dependent and diversity-dependent models receive equivalent support</w:t>
        </w:r>
      </w:hyperlink>
      <w:r>
        <w:t xml:space="preserve">. Ecology Letters 22:1900–1912.</w:t>
      </w:r>
    </w:p>
    <w:bookmarkEnd w:id="110"/>
    <w:bookmarkStart w:id="112" w:name="ref-condamine_climate_2019"/>
    <w:p>
      <w:pPr>
        <w:pStyle w:val="Bibliography"/>
      </w:pPr>
      <w:r>
        <w:t xml:space="preserve">Condamine, F. L., J. Romieu, and G. Guinot. 2019b.</w:t>
      </w:r>
      <w:r>
        <w:t xml:space="preserve"> </w:t>
      </w:r>
      <w:hyperlink r:id="rId111">
        <w:r>
          <w:rPr>
            <w:rStyle w:val="Hyperlink"/>
          </w:rPr>
          <w:t xml:space="preserve">Climate cooling and clade competition likely drove the decline of lamniform sharks</w:t>
        </w:r>
      </w:hyperlink>
      <w:r>
        <w:t xml:space="preserve">. Proc. Nat. Acad. Sc. U.S.A 116. Proceedings of the National Academy of Sciences.</w:t>
      </w:r>
    </w:p>
    <w:bookmarkEnd w:id="112"/>
    <w:bookmarkStart w:id="114" w:name="ref-condamine2020"/>
    <w:p>
      <w:pPr>
        <w:pStyle w:val="Bibliography"/>
      </w:pPr>
      <w:r>
        <w:t xml:space="preserve">Condamine, F. L., D. Silvestro, E. B. Koppelhus, and A. Antonelli. 2020.</w:t>
      </w:r>
      <w:r>
        <w:t xml:space="preserve"> </w:t>
      </w:r>
      <w:hyperlink r:id="rId113">
        <w:r>
          <w:rPr>
            <w:rStyle w:val="Hyperlink"/>
          </w:rPr>
          <w:t xml:space="preserve">The rise of angiosperms pushed conifers to decline during global cooling</w:t>
        </w:r>
      </w:hyperlink>
      <w:r>
        <w:t xml:space="preserve">. Proceedings of the National Academy of Sciences 117:28867–28875.</w:t>
      </w:r>
    </w:p>
    <w:bookmarkEnd w:id="114"/>
    <w:bookmarkStart w:id="116" w:name="ref-cooper2025"/>
    <w:p>
      <w:pPr>
        <w:pStyle w:val="Bibliography"/>
      </w:pPr>
      <w:r>
        <w:t xml:space="preserve">Cooper, R. B., B. J. Allen, and D. Silvestro. 2025.</w:t>
      </w:r>
      <w:r>
        <w:t xml:space="preserve"> </w:t>
      </w:r>
      <w:hyperlink r:id="rId11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6"/>
    <w:bookmarkStart w:id="118" w:name="ref-cooper2024"/>
    <w:p>
      <w:pPr>
        <w:pStyle w:val="Bibliography"/>
      </w:pPr>
      <w:r>
        <w:t xml:space="preserve">Cooper, R. B., J. T. Flannery-Sutherland, and D. Silvestro. 2024.</w:t>
      </w:r>
      <w:r>
        <w:t xml:space="preserve"> </w:t>
      </w:r>
      <w:hyperlink r:id="rId117">
        <w:r>
          <w:rPr>
            <w:rStyle w:val="Hyperlink"/>
          </w:rPr>
          <w:t xml:space="preserve">DeepDive: estimating global biodiversity patterns through time using deep learning</w:t>
        </w:r>
      </w:hyperlink>
      <w:r>
        <w:t xml:space="preserve">. Nature Communications 15:4199.</w:t>
      </w:r>
    </w:p>
    <w:bookmarkEnd w:id="118"/>
    <w:bookmarkStart w:id="120" w:name="ref-cuitiño2021"/>
    <w:p>
      <w:pPr>
        <w:pStyle w:val="Bibliography"/>
      </w:pPr>
      <w:r>
        <w:t xml:space="preserve">Cuitiño, J. I., M. Sol Raigemborn, M. Susana Bargo, S. F. Vizcaíno, N. A. Muñoz, M. J. Kohn, and R. F. Kay. 2021.</w:t>
      </w:r>
      <w:r>
        <w:t xml:space="preserve"> </w:t>
      </w:r>
      <w:hyperlink r:id="rId11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0"/>
    <w:bookmarkStart w:id="122" w:name="ref-dacunha2023"/>
    <w:p>
      <w:pPr>
        <w:pStyle w:val="Bibliography"/>
      </w:pPr>
      <w:r>
        <w:t xml:space="preserve">Da Cunha, L., L. W. Viñola-López, R. D. E. MacPhee, L. Kerber, J. Vélez-Juarbe, P.-O. Antoine, M. Boivin, L. Hautier, R. Lebrun, L. Marivaux, and P.-H. Fabre. 2023.</w:t>
      </w:r>
      <w:r>
        <w:t xml:space="preserve"> </w:t>
      </w:r>
      <w:hyperlink r:id="rId121">
        <w:r>
          <w:rPr>
            <w:rStyle w:val="Hyperlink"/>
          </w:rPr>
          <w:t xml:space="preserve">The inner ear of caviomorph rodents: Phylogenetic implications and application to extinct West Indian taxa</w:t>
        </w:r>
      </w:hyperlink>
      <w:r>
        <w:t xml:space="preserve">. Journal of Mammalian Evolution 30:1155–1176.</w:t>
      </w:r>
    </w:p>
    <w:bookmarkEnd w:id="122"/>
    <w:bookmarkStart w:id="124" w:name="ref-damuth1993"/>
    <w:p>
      <w:pPr>
        <w:pStyle w:val="Bibliography"/>
      </w:pPr>
      <w:r>
        <w:t xml:space="preserve">Damuth, J. 1993.</w:t>
      </w:r>
      <w:r>
        <w:t xml:space="preserve"> </w:t>
      </w:r>
      <w:hyperlink r:id="rId123">
        <w:r>
          <w:rPr>
            <w:rStyle w:val="Hyperlink"/>
          </w:rPr>
          <w:t xml:space="preserve">Cope’s rule, the island rule and the scaling of mammalian population density</w:t>
        </w:r>
      </w:hyperlink>
      <w:r>
        <w:t xml:space="preserve">. Nature 365:748–750.</w:t>
      </w:r>
    </w:p>
    <w:bookmarkEnd w:id="124"/>
    <w:bookmarkStart w:id="126" w:name="ref-damuth2011"/>
    <w:p>
      <w:pPr>
        <w:pStyle w:val="Bibliography"/>
      </w:pPr>
      <w:r>
        <w:t xml:space="preserve">Damuth, J., and C. M. Janis. 2011.</w:t>
      </w:r>
      <w:r>
        <w:t xml:space="preserve"> </w:t>
      </w:r>
      <w:hyperlink r:id="rId125">
        <w:r>
          <w:rPr>
            <w:rStyle w:val="Hyperlink"/>
          </w:rPr>
          <w:t xml:space="preserve">On the relationship between hypsodonty and feeding ecology in ungulate mammals, and its utility in palaeoecology</w:t>
        </w:r>
      </w:hyperlink>
      <w:r>
        <w:t xml:space="preserve">. Biological Reviews 86:733–758.</w:t>
      </w:r>
    </w:p>
    <w:bookmarkEnd w:id="126"/>
    <w:bookmarkStart w:id="128" w:name="ref-drury2016"/>
    <w:p>
      <w:pPr>
        <w:pStyle w:val="Bibliography"/>
      </w:pPr>
      <w:r>
        <w:t xml:space="preserve">Drury, J., J. Clavel, M. Manceau, and H. Morlon. 2016.</w:t>
      </w:r>
      <w:r>
        <w:t xml:space="preserve"> </w:t>
      </w:r>
      <w:hyperlink r:id="rId127">
        <w:r>
          <w:rPr>
            <w:rStyle w:val="Hyperlink"/>
          </w:rPr>
          <w:t xml:space="preserve">Estimating the effect of competition on trait evolution using maximum likelihood inference</w:t>
        </w:r>
      </w:hyperlink>
      <w:r>
        <w:t xml:space="preserve">. Systematic Biology 65:700–710.</w:t>
      </w:r>
    </w:p>
    <w:bookmarkEnd w:id="128"/>
    <w:bookmarkStart w:id="130" w:name="ref-dunn2013"/>
    <w:p>
      <w:pPr>
        <w:pStyle w:val="Bibliography"/>
      </w:pPr>
      <w:r>
        <w:t xml:space="preserve">Dunn, R. E., R. H. Madden, M. J. Kohn, M. D. Schmitz, C. A. E. Strömberg, A. A. Carlini, G. H. Ré, and J. Crowley. 2013.</w:t>
      </w:r>
      <w:r>
        <w:t xml:space="preserve"> </w:t>
      </w:r>
      <w:hyperlink r:id="rId12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0"/>
    <w:bookmarkStart w:id="132" w:name="ref-esteve2025"/>
    <w:p>
      <w:pPr>
        <w:pStyle w:val="Bibliography"/>
      </w:pPr>
      <w:r>
        <w:t xml:space="preserve">Esteve, J. 2025.</w:t>
      </w:r>
      <w:r>
        <w:t xml:space="preserve"> </w:t>
      </w:r>
      <w:hyperlink r:id="rId131">
        <w:r>
          <w:rPr>
            <w:rStyle w:val="Hyperlink"/>
          </w:rPr>
          <w:t xml:space="preserve">When extinction expands morphospace: Lessons from trilobites</w:t>
        </w:r>
      </w:hyperlink>
      <w:r>
        <w:t xml:space="preserve">. Proceedings of the Royal Society B: Biological Sciences 292:20252245.</w:t>
      </w:r>
    </w:p>
    <w:bookmarkEnd w:id="132"/>
    <w:bookmarkStart w:id="134" w:name="ref-etienne2011"/>
    <w:p>
      <w:pPr>
        <w:pStyle w:val="Bibliography"/>
      </w:pPr>
      <w:r>
        <w:t xml:space="preserve">Etienne, R. S., B. Haegeman, T. Stadler, T. Aze, P. N. Pearson, A. Purvis, and A. B. Phillimore. 2011.</w:t>
      </w:r>
      <w:r>
        <w:t xml:space="preserve"> </w:t>
      </w:r>
      <w:hyperlink r:id="rId133">
        <w:r>
          <w:rPr>
            <w:rStyle w:val="Hyperlink"/>
          </w:rPr>
          <w:t xml:space="preserve">Diversity-dependence brings molecular phylogenies closer to agreement with the fossil record</w:t>
        </w:r>
      </w:hyperlink>
      <w:r>
        <w:t xml:space="preserve">. Proceedings of the Royal Society B: Biological Sciences 279:1300–1309.</w:t>
      </w:r>
    </w:p>
    <w:bookmarkEnd w:id="134"/>
    <w:bookmarkStart w:id="136" w:name="ref-faurby2016"/>
    <w:p>
      <w:pPr>
        <w:pStyle w:val="Bibliography"/>
      </w:pPr>
      <w:r>
        <w:t xml:space="preserve">Faurby, S., and J.-C. Svenning. 2016.</w:t>
      </w:r>
      <w:r>
        <w:t xml:space="preserve"> </w:t>
      </w:r>
      <w:hyperlink r:id="rId135">
        <w:r>
          <w:rPr>
            <w:rStyle w:val="Hyperlink"/>
          </w:rPr>
          <w:t xml:space="preserve">Resurrection of the island rule: Human-driven extinctions have obscured a basic evolutionary pattern</w:t>
        </w:r>
      </w:hyperlink>
      <w:r>
        <w:t xml:space="preserve">. The American Naturalist 187:812–820.</w:t>
      </w:r>
    </w:p>
    <w:bookmarkEnd w:id="136"/>
    <w:bookmarkStart w:id="138" w:name="ref-fernicola2019"/>
    <w:p>
      <w:pPr>
        <w:pStyle w:val="Bibliography"/>
      </w:pPr>
      <w:r>
        <w:t xml:space="preserve">Fernicola, J. C., S. F. Vizcaíno, M. S. Bargo, R. F. Kay, and J. I. Cuitiño. 2019.</w:t>
      </w:r>
      <w:r>
        <w:t xml:space="preserve"> </w:t>
      </w:r>
      <w:hyperlink r:id="rId13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8"/>
    <w:bookmarkStart w:id="140" w:name="ref-flannery-sutherland2022"/>
    <w:p>
      <w:pPr>
        <w:pStyle w:val="Bibliography"/>
      </w:pPr>
      <w:r>
        <w:t xml:space="preserve">Flannery-Sutherland, J. T., D. Silvestro, and M. J. Benton. 2022.</w:t>
      </w:r>
      <w:r>
        <w:t xml:space="preserve"> </w:t>
      </w:r>
      <w:hyperlink r:id="rId139">
        <w:r>
          <w:rPr>
            <w:rStyle w:val="Hyperlink"/>
          </w:rPr>
          <w:t xml:space="preserve">Global diversity dynamics in the fossil record are regionally heterogeneous</w:t>
        </w:r>
      </w:hyperlink>
      <w:r>
        <w:t xml:space="preserve">. Nature Communications 13:2751.</w:t>
      </w:r>
    </w:p>
    <w:bookmarkEnd w:id="140"/>
    <w:bookmarkStart w:id="142" w:name="ref-foote1993"/>
    <w:p>
      <w:pPr>
        <w:pStyle w:val="Bibliography"/>
      </w:pPr>
      <w:r>
        <w:t xml:space="preserve">Foote, M. 1993.</w:t>
      </w:r>
      <w:r>
        <w:t xml:space="preserve"> </w:t>
      </w:r>
      <w:hyperlink r:id="rId141">
        <w:r>
          <w:rPr>
            <w:rStyle w:val="Hyperlink"/>
          </w:rPr>
          <w:t xml:space="preserve">Discordance and concordance between morphological and taxonomic diversity</w:t>
        </w:r>
      </w:hyperlink>
      <w:r>
        <w:t xml:space="preserve">. Paleobiology 19:185–204.</w:t>
      </w:r>
    </w:p>
    <w:bookmarkEnd w:id="142"/>
    <w:bookmarkStart w:id="144" w:name="ref-foote2007"/>
    <w:p>
      <w:pPr>
        <w:pStyle w:val="Bibliography"/>
      </w:pPr>
      <w:r>
        <w:t xml:space="preserve">Foote, M. 2007.</w:t>
      </w:r>
      <w:r>
        <w:t xml:space="preserve"> </w:t>
      </w:r>
      <w:hyperlink r:id="rId143">
        <w:r>
          <w:rPr>
            <w:rStyle w:val="Hyperlink"/>
          </w:rPr>
          <w:t xml:space="preserve">Symmetric waxing and waning of marine invertebrate genera</w:t>
        </w:r>
      </w:hyperlink>
      <w:r>
        <w:t xml:space="preserve">. Paleobiology 33:517–529.</w:t>
      </w:r>
    </w:p>
    <w:bookmarkEnd w:id="144"/>
    <w:bookmarkStart w:id="146" w:name="ref-foote1997"/>
    <w:p>
      <w:pPr>
        <w:pStyle w:val="Bibliography"/>
      </w:pPr>
      <w:r>
        <w:t xml:space="preserve">Foote, M. 1997.</w:t>
      </w:r>
      <w:r>
        <w:t xml:space="preserve"> </w:t>
      </w:r>
      <w:hyperlink r:id="rId145">
        <w:r>
          <w:rPr>
            <w:rStyle w:val="Hyperlink"/>
          </w:rPr>
          <w:t xml:space="preserve">The Evolution of Morphological Diversity</w:t>
        </w:r>
      </w:hyperlink>
      <w:r>
        <w:t xml:space="preserve">. Annual Review of Ecology, Evolution, and Systematics 28:129–152.</w:t>
      </w:r>
    </w:p>
    <w:bookmarkEnd w:id="146"/>
    <w:bookmarkStart w:id="148" w:name="ref-guayasamin2024"/>
    <w:p>
      <w:pPr>
        <w:pStyle w:val="Bibliography"/>
      </w:pPr>
      <w:r>
        <w:t xml:space="preserve">Guayasamin, J. M., C. C. Ribas, A. C. Carnaval, J. D. Carrillo, C. Hoorn, L. G. Lohmann, D. Riff, C. Ulloa Ulloa, and J. S. Albert. 2024.</w:t>
      </w:r>
      <w:r>
        <w:t xml:space="preserve"> </w:t>
      </w:r>
      <w:hyperlink r:id="rId147">
        <w:r>
          <w:rPr>
            <w:rStyle w:val="Hyperlink"/>
          </w:rPr>
          <w:t xml:space="preserve">Evolution of Amazonian biodiversity: A review</w:t>
        </w:r>
      </w:hyperlink>
      <w:r>
        <w:t xml:space="preserve">. Acta Amazonica 54:e54bc21360.</w:t>
      </w:r>
    </w:p>
    <w:bookmarkEnd w:id="148"/>
    <w:bookmarkStart w:id="150" w:name="ref-hagen2018"/>
    <w:p>
      <w:pPr>
        <w:pStyle w:val="Bibliography"/>
      </w:pPr>
      <w:r>
        <w:t xml:space="preserve">Hagen, O., T. Andermann, T. B. Quental, A. Antonelli, and D. Silvestro. 2018.</w:t>
      </w:r>
      <w:r>
        <w:t xml:space="preserve"> </w:t>
      </w:r>
      <w:hyperlink r:id="rId149">
        <w:r>
          <w:rPr>
            <w:rStyle w:val="Hyperlink"/>
          </w:rPr>
          <w:t xml:space="preserve">Estimating age-dependent extinction: Contrasting evidence from fossils and phylogenies</w:t>
        </w:r>
      </w:hyperlink>
      <w:r>
        <w:t xml:space="preserve">. Systematic Biology 67:458–474.</w:t>
      </w:r>
    </w:p>
    <w:bookmarkEnd w:id="150"/>
    <w:bookmarkStart w:id="152" w:name="ref-hauffe2024"/>
    <w:p>
      <w:pPr>
        <w:pStyle w:val="Bibliography"/>
      </w:pPr>
      <w:r>
        <w:t xml:space="preserve">Hauffe, T., J. L. Cantalapiedra, and D. Silvestro. 2024.</w:t>
      </w:r>
      <w:r>
        <w:t xml:space="preserve"> </w:t>
      </w:r>
      <w:hyperlink r:id="rId151">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2"/>
    <w:bookmarkStart w:id="154" w:name="ref-hernández2005"/>
    <w:p>
      <w:pPr>
        <w:pStyle w:val="Bibliography"/>
      </w:pPr>
      <w:r>
        <w:t xml:space="preserve">Hernández, R. M., T. E. Jordan, A. Dalenz Farjat, L. Echavarría, B. D. Idleman, and J. H. Reynolds. 2005.</w:t>
      </w:r>
      <w:r>
        <w:t xml:space="preserve"> </w:t>
      </w:r>
      <w:hyperlink r:id="rId153">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4"/>
    <w:bookmarkStart w:id="156" w:name="ref-hohmann2019"/>
    <w:p>
      <w:pPr>
        <w:pStyle w:val="Bibliography"/>
      </w:pPr>
      <w:r>
        <w:t xml:space="preserve">Hohmann, N., and E. Jarochowska. 2019.</w:t>
      </w:r>
      <w:r>
        <w:t xml:space="preserve"> </w:t>
      </w:r>
      <w:hyperlink r:id="rId155">
        <w:r>
          <w:rPr>
            <w:rStyle w:val="Hyperlink"/>
          </w:rPr>
          <w:t xml:space="preserve">Enforced symmetry: the necessity of symmetric waxing and waning</w:t>
        </w:r>
      </w:hyperlink>
      <w:r>
        <w:t xml:space="preserve">. PeerJ 7:e8011.</w:t>
      </w:r>
    </w:p>
    <w:bookmarkEnd w:id="156"/>
    <w:bookmarkStart w:id="157" w:name="ref-homerocamacho1967"/>
    <w:p>
      <w:pPr>
        <w:pStyle w:val="Bibliography"/>
      </w:pPr>
      <w:r>
        <w:t xml:space="preserve">Homero Camacho, H. 1967. Las transgresiones del cretácico superior y terciario de la argentina. Revista de la Asociación Geológica Argentina 22:253–280.</w:t>
      </w:r>
    </w:p>
    <w:bookmarkEnd w:id="157"/>
    <w:bookmarkStart w:id="159" w:name="ref-hoorn2022"/>
    <w:p>
      <w:pPr>
        <w:pStyle w:val="Bibliography"/>
      </w:pPr>
      <w:r>
        <w:t xml:space="preserve">Hoorn, C., L. M. Boschman, T. Kukla, M. Sciumbata, and P. Val. 2022.</w:t>
      </w:r>
      <w:r>
        <w:t xml:space="preserve"> </w:t>
      </w:r>
      <w:hyperlink r:id="rId158">
        <w:r>
          <w:rPr>
            <w:rStyle w:val="Hyperlink"/>
          </w:rPr>
          <w:t xml:space="preserve">The miocene wetland of western amazonia and its role in neotropical biogeography</w:t>
        </w:r>
      </w:hyperlink>
      <w:r>
        <w:t xml:space="preserve">. Botanical Journal of the Linnean Society 199:25–35.</w:t>
      </w:r>
    </w:p>
    <w:bookmarkEnd w:id="159"/>
    <w:bookmarkStart w:id="161" w:name="ref-hoorn1995"/>
    <w:p>
      <w:pPr>
        <w:pStyle w:val="Bibliography"/>
      </w:pPr>
      <w:r>
        <w:t xml:space="preserve">Hoorn, C., J. Guerrero, G. A. Sarmiento, and M. A. Lorente. 1995.</w:t>
      </w:r>
      <w:r>
        <w:t xml:space="preserve"> </w:t>
      </w:r>
      <w:hyperlink r:id="rId160">
        <w:r>
          <w:rPr>
            <w:rStyle w:val="Hyperlink"/>
          </w:rPr>
          <w:t xml:space="preserve">Andean tectonics as a cause for changing drainage patterns in Miocene northern South America</w:t>
        </w:r>
      </w:hyperlink>
      <w:r>
        <w:t xml:space="preserve">. Geology 23:237.</w:t>
      </w:r>
    </w:p>
    <w:bookmarkEnd w:id="161"/>
    <w:bookmarkStart w:id="163"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2">
        <w:r>
          <w:rPr>
            <w:rStyle w:val="Hyperlink"/>
          </w:rPr>
          <w:t xml:space="preserve">Amazonia through time: Andean uplift, climate change, landscape evolution, and biodiversity</w:t>
        </w:r>
      </w:hyperlink>
      <w:r>
        <w:t xml:space="preserve">. Science 330:927–931.</w:t>
      </w:r>
    </w:p>
    <w:bookmarkEnd w:id="163"/>
    <w:bookmarkStart w:id="165" w:name="ref-hullot2025"/>
    <w:p>
      <w:pPr>
        <w:pStyle w:val="Bibliography"/>
      </w:pPr>
      <w:r>
        <w:t xml:space="preserve">Hullot, M., C. Robinet, Q. Vautrin, R. Tabuce, P.-O. Antoine, G. Merceron, and F. Lihoreau. 2025.</w:t>
      </w:r>
      <w:r>
        <w:t xml:space="preserve"> </w:t>
      </w:r>
      <w:hyperlink r:id="rId164">
        <w:r>
          <w:rPr>
            <w:rStyle w:val="Hyperlink"/>
          </w:rPr>
          <w:t xml:space="preserve">Evolution of dietary preferences of the lophiodontidae (mammalia, perissodactyla) from southern france</w:t>
        </w:r>
      </w:hyperlink>
      <w:r>
        <w:t xml:space="preserve">. Palaeogeography, Palaeoclimatology, Palaeoecology 675:113076.</w:t>
      </w:r>
    </w:p>
    <w:bookmarkEnd w:id="165"/>
    <w:bookmarkStart w:id="166"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6"/>
    <w:bookmarkStart w:id="168"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7">
        <w:r>
          <w:rPr>
            <w:rStyle w:val="Hyperlink"/>
          </w:rPr>
          <w:t xml:space="preserve">Miocene flooding events of western amazonia</w:t>
        </w:r>
      </w:hyperlink>
      <w:r>
        <w:t xml:space="preserve">. Science Advances 3:e1601693.</w:t>
      </w:r>
    </w:p>
    <w:bookmarkEnd w:id="168"/>
    <w:bookmarkStart w:id="170" w:name="ref-jardine2012"/>
    <w:p>
      <w:pPr>
        <w:pStyle w:val="Bibliography"/>
      </w:pPr>
      <w:r>
        <w:t xml:space="preserve">Jardine, P. E., C. M. Janis, S. Sahney, and M. J. Benton. 2012.</w:t>
      </w:r>
      <w:r>
        <w:t xml:space="preserve"> </w:t>
      </w:r>
      <w:hyperlink r:id="rId169">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0"/>
    <w:bookmarkStart w:id="172" w:name="ref-kass1995"/>
    <w:p>
      <w:pPr>
        <w:pStyle w:val="Bibliography"/>
      </w:pPr>
      <w:r>
        <w:t xml:space="preserve">Kass, R. E., and A. E. Raftery. 1995.</w:t>
      </w:r>
      <w:r>
        <w:t xml:space="preserve"> </w:t>
      </w:r>
      <w:hyperlink r:id="rId171">
        <w:r>
          <w:rPr>
            <w:rStyle w:val="Hyperlink"/>
          </w:rPr>
          <w:t xml:space="preserve">Bayes factors</w:t>
        </w:r>
      </w:hyperlink>
      <w:r>
        <w:t xml:space="preserve">. Journal of the American Statistical Association 90:773–795.</w:t>
      </w:r>
    </w:p>
    <w:bookmarkEnd w:id="172"/>
    <w:bookmarkStart w:id="174" w:name="ref-lehtonen2017"/>
    <w:p>
      <w:pPr>
        <w:pStyle w:val="Bibliography"/>
      </w:pPr>
      <w:r>
        <w:t xml:space="preserve">Lehtonen, S., D. Silvestro, D. N. Karger, C. Scotese, H. Tuomisto, M. Kessler, C. Peña, N. Wahlberg, and A. Antonelli. 2017.</w:t>
      </w:r>
      <w:r>
        <w:t xml:space="preserve"> </w:t>
      </w:r>
      <w:hyperlink r:id="rId173">
        <w:r>
          <w:rPr>
            <w:rStyle w:val="Hyperlink"/>
          </w:rPr>
          <w:t xml:space="preserve">Environmentally driven extinction and opportunistic origination explain fern diversification patterns</w:t>
        </w:r>
      </w:hyperlink>
      <w:r>
        <w:t xml:space="preserve">. Scientific Reports 7:4831.</w:t>
      </w:r>
    </w:p>
    <w:bookmarkEnd w:id="174"/>
    <w:bookmarkStart w:id="176" w:name="ref-liow2008"/>
    <w:p>
      <w:pPr>
        <w:pStyle w:val="Bibliography"/>
      </w:pPr>
      <w:r>
        <w:t xml:space="preserve">Liow, L. H., M. Fortelius, E. Bingham, K. Lintulaakso, H. Mannila, L. Flynn, and N. Chr. Stenseth. 2008.</w:t>
      </w:r>
      <w:r>
        <w:t xml:space="preserve"> </w:t>
      </w:r>
      <w:hyperlink r:id="rId175">
        <w:r>
          <w:rPr>
            <w:rStyle w:val="Hyperlink"/>
          </w:rPr>
          <w:t xml:space="preserve">Higher origination and extinction rates in larger mammals</w:t>
        </w:r>
      </w:hyperlink>
      <w:r>
        <w:t xml:space="preserve">. Proceedings of the National Academy of Sciences 105:6097–6102.</w:t>
      </w:r>
    </w:p>
    <w:bookmarkEnd w:id="176"/>
    <w:bookmarkStart w:id="178" w:name="ref-liow2010"/>
    <w:p>
      <w:pPr>
        <w:pStyle w:val="Bibliography"/>
      </w:pPr>
      <w:r>
        <w:t xml:space="preserve">Liow, L. H., T. B. Quental, and C. R. Marshall. 2010.</w:t>
      </w:r>
      <w:r>
        <w:t xml:space="preserve"> </w:t>
      </w:r>
      <w:hyperlink r:id="rId177">
        <w:r>
          <w:rPr>
            <w:rStyle w:val="Hyperlink"/>
          </w:rPr>
          <w:t xml:space="preserve">When can decreasing diversification rates be detected with molecular phylogenies and the fossil record?</w:t>
        </w:r>
      </w:hyperlink>
      <w:r>
        <w:t xml:space="preserve"> Systematic Biology 59:646–659.</w:t>
      </w:r>
    </w:p>
    <w:bookmarkEnd w:id="178"/>
    <w:bookmarkStart w:id="180" w:name="ref-lomolino2005"/>
    <w:p>
      <w:pPr>
        <w:pStyle w:val="Bibliography"/>
      </w:pPr>
      <w:r>
        <w:t xml:space="preserve">Lomolino, M. V. 2005.</w:t>
      </w:r>
      <w:r>
        <w:t xml:space="preserve"> </w:t>
      </w:r>
      <w:hyperlink r:id="rId179">
        <w:r>
          <w:rPr>
            <w:rStyle w:val="Hyperlink"/>
          </w:rPr>
          <w:t xml:space="preserve">Body size evolution in insular vertebrates: Generality of the island rule</w:t>
        </w:r>
      </w:hyperlink>
      <w:r>
        <w:t xml:space="preserve">. Journal of Biogeography 32:1683–1699.</w:t>
      </w:r>
    </w:p>
    <w:bookmarkEnd w:id="180"/>
    <w:bookmarkStart w:id="182" w:name="ref-macfadden2000"/>
    <w:p>
      <w:pPr>
        <w:pStyle w:val="Bibliography"/>
      </w:pPr>
      <w:r>
        <w:t xml:space="preserve">MacFadden, B. J. 2000.</w:t>
      </w:r>
      <w:r>
        <w:t xml:space="preserve"> </w:t>
      </w:r>
      <w:hyperlink r:id="rId181">
        <w:r>
          <w:rPr>
            <w:rStyle w:val="Hyperlink"/>
          </w:rPr>
          <w:t xml:space="preserve">Cenozoic mammalian herbivores from the americas: Reconstructing ancient diets and terrestrial communities</w:t>
        </w:r>
      </w:hyperlink>
      <w:r>
        <w:t xml:space="preserve">. Annual Review of Ecology and Systematics 31:33–59.</w:t>
      </w:r>
    </w:p>
    <w:bookmarkEnd w:id="182"/>
    <w:bookmarkStart w:id="184" w:name="ref-macphee2011"/>
    <w:p>
      <w:pPr>
        <w:pStyle w:val="Bibliography"/>
      </w:pPr>
      <w:r>
        <w:t xml:space="preserve">MacPhee, R. D. E. 2011.</w:t>
      </w:r>
      <w:r>
        <w:t xml:space="preserve"> </w:t>
      </w:r>
      <w:hyperlink r:id="rId183">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4"/>
    <w:bookmarkStart w:id="186" w:name="ref-marion_bioluminescence_2025"/>
    <w:p>
      <w:pPr>
        <w:pStyle w:val="Bibliography"/>
      </w:pPr>
      <w:r>
        <w:t xml:space="preserve">Marion, A. F. P., F. L. Condamine, and G. Guinot. 2025.</w:t>
      </w:r>
      <w:r>
        <w:t xml:space="preserve"> </w:t>
      </w:r>
      <w:hyperlink r:id="rId185">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6"/>
    <w:bookmarkStart w:id="188" w:name="ref-marivaux2022"/>
    <w:p>
      <w:pPr>
        <w:pStyle w:val="Bibliography"/>
      </w:pPr>
      <w:r>
        <w:t xml:space="preserve">Marivaux, L., L. W. V. López, M. Boivin, L. Da Cunha, P.-H. Fabre, R. Joannes-Boyau, G. Maincent, P. Münch, N. S. Stutz, J. Vélez-Juarbe, and P.-O. Antoine. 2022.</w:t>
      </w:r>
      <w:r>
        <w:t xml:space="preserve"> </w:t>
      </w:r>
      <w:hyperlink r:id="rId187">
        <w:r>
          <w:rPr>
            <w:rStyle w:val="Hyperlink"/>
          </w:rPr>
          <w:t xml:space="preserve">Incisor enamel microstructure of West Indian caviomorph hystricognathous rodents (Octodontoidea and Chinchilloidea)</w:t>
        </w:r>
      </w:hyperlink>
      <w:r>
        <w:t xml:space="preserve">. Journal of Mammalian Evolution 29:969–995.</w:t>
      </w:r>
    </w:p>
    <w:bookmarkEnd w:id="188"/>
    <w:bookmarkStart w:id="190"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89">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0"/>
    <w:bookmarkStart w:id="192" w:name="ref-marshall1982"/>
    <w:p>
      <w:pPr>
        <w:pStyle w:val="Bibliography"/>
      </w:pPr>
      <w:r>
        <w:t xml:space="preserve">Marshall, L. G., S. D. Webb, J. J. Sepkoski, and D. M. Raup. 1982.</w:t>
      </w:r>
      <w:r>
        <w:t xml:space="preserve"> </w:t>
      </w:r>
      <w:hyperlink r:id="rId191">
        <w:r>
          <w:rPr>
            <w:rStyle w:val="Hyperlink"/>
          </w:rPr>
          <w:t xml:space="preserve">Mammalian evolution and the great american interchange</w:t>
        </w:r>
      </w:hyperlink>
      <w:r>
        <w:t xml:space="preserve">. Science 215:1351–1357.</w:t>
      </w:r>
    </w:p>
    <w:bookmarkEnd w:id="192"/>
    <w:bookmarkStart w:id="194" w:name="ref-mcfarlane1998"/>
    <w:p>
      <w:pPr>
        <w:pStyle w:val="Bibliography"/>
      </w:pPr>
      <w:r>
        <w:t xml:space="preserve">McFarlane, D. A., R. D. E. MacPhee, and D. C. Ford. 1998.</w:t>
      </w:r>
      <w:r>
        <w:t xml:space="preserve"> </w:t>
      </w:r>
      <w:hyperlink r:id="rId193">
        <w:r>
          <w:rPr>
            <w:rStyle w:val="Hyperlink"/>
          </w:rPr>
          <w:t xml:space="preserve">Body Size Variability and a Sangamonian Extinction Model for Amblyrhiza,a West Indian Megafaunal Rodent</w:t>
        </w:r>
      </w:hyperlink>
      <w:r>
        <w:t xml:space="preserve">. Quaternary Research 50:80–89.</w:t>
      </w:r>
    </w:p>
    <w:bookmarkEnd w:id="194"/>
    <w:bookmarkStart w:id="196" w:name="ref-meiri2007"/>
    <w:p>
      <w:pPr>
        <w:pStyle w:val="Bibliography"/>
      </w:pPr>
      <w:r>
        <w:t xml:space="preserve">Meiri, S., N. Cooper, and A. Purvis. 2007.</w:t>
      </w:r>
      <w:r>
        <w:t xml:space="preserve"> </w:t>
      </w:r>
      <w:hyperlink r:id="rId195">
        <w:r>
          <w:rPr>
            <w:rStyle w:val="Hyperlink"/>
          </w:rPr>
          <w:t xml:space="preserve">The island rule: Made to be broken?</w:t>
        </w:r>
      </w:hyperlink>
      <w:r>
        <w:t xml:space="preserve"> Proceedings of the Royal Society B: Biological Sciences 275:141–148.</w:t>
      </w:r>
    </w:p>
    <w:bookmarkEnd w:id="196"/>
    <w:bookmarkStart w:id="198" w:name="ref-miller2020"/>
    <w:p>
      <w:pPr>
        <w:pStyle w:val="Bibliography"/>
      </w:pPr>
      <w:r>
        <w:t xml:space="preserve">Miller, K. G., J. V. Browning, W. J. Schmelz, R. E. Kopp, G. S. Mountain, and J. D. Wright. 2020.</w:t>
      </w:r>
      <w:r>
        <w:t xml:space="preserve"> </w:t>
      </w:r>
      <w:hyperlink r:id="rId197">
        <w:r>
          <w:rPr>
            <w:rStyle w:val="Hyperlink"/>
          </w:rPr>
          <w:t xml:space="preserve">Cenozoic sea-level and cryospheric evolution from deep-sea geochemical and continental margin records</w:t>
        </w:r>
      </w:hyperlink>
      <w:r>
        <w:t xml:space="preserve">. Science Advances 6:eaaz1346.</w:t>
      </w:r>
    </w:p>
    <w:bookmarkEnd w:id="198"/>
    <w:bookmarkStart w:id="200" w:name="ref-mones1982"/>
    <w:p>
      <w:pPr>
        <w:pStyle w:val="Bibliography"/>
      </w:pPr>
      <w:r>
        <w:t xml:space="preserve">Mones, A. 1982.</w:t>
      </w:r>
      <w:r>
        <w:t xml:space="preserve"> </w:t>
      </w:r>
      <w:hyperlink r:id="rId199">
        <w:r>
          <w:rPr>
            <w:rStyle w:val="Hyperlink"/>
          </w:rPr>
          <w:t xml:space="preserve">An equivocal nomenclature: What means hypsodonty?</w:t>
        </w:r>
      </w:hyperlink>
      <w:r>
        <w:t xml:space="preserve"> Paläontologische Zeitschrift 56:107–111.</w:t>
      </w:r>
    </w:p>
    <w:bookmarkEnd w:id="200"/>
    <w:bookmarkStart w:id="202"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1">
        <w:r>
          <w:rPr>
            <w:rStyle w:val="Hyperlink"/>
          </w:rPr>
          <w:t xml:space="preserve">10.1146/annurev-ecolsys-102722-020508</w:t>
        </w:r>
      </w:hyperlink>
      <w:r>
        <w:t xml:space="preserve">.</w:t>
      </w:r>
    </w:p>
    <w:bookmarkEnd w:id="202"/>
    <w:bookmarkStart w:id="204" w:name="ref-muñoz2023"/>
    <w:p>
      <w:pPr>
        <w:pStyle w:val="Bibliography"/>
      </w:pPr>
      <w:r>
        <w:t xml:space="preserve">Muñoz, C. O. R., R. Bonini, S. Hemming, M. Cenizo, U. F. J. Pardiñas, and F. J. Prevosti. 2023.</w:t>
      </w:r>
      <w:r>
        <w:t xml:space="preserve"> </w:t>
      </w:r>
      <w:hyperlink r:id="rId203">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4"/>
    <w:bookmarkStart w:id="205"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5"/>
    <w:bookmarkStart w:id="207" w:name="ref-neige2026"/>
    <w:p>
      <w:pPr>
        <w:pStyle w:val="Bibliography"/>
      </w:pPr>
      <w:r>
        <w:t xml:space="preserve">Neige, P., and T. van Tiel. 2026.</w:t>
      </w:r>
      <w:r>
        <w:t xml:space="preserve"> </w:t>
      </w:r>
      <w:hyperlink r:id="rId206">
        <w:r>
          <w:rPr>
            <w:rStyle w:val="Hyperlink"/>
          </w:rPr>
          <w:t xml:space="preserve">Background extinction due to species specialization? Insights from a high-resolution Jurassic ammonoid case study (Dactylioceratidae)</w:t>
        </w:r>
      </w:hyperlink>
      <w:r>
        <w:t xml:space="preserve">. Paleobiology 1–17.</w:t>
      </w:r>
    </w:p>
    <w:bookmarkEnd w:id="207"/>
    <w:bookmarkStart w:id="209" w:name="ref-ogg2020"/>
    <w:p>
      <w:pPr>
        <w:pStyle w:val="Bibliography"/>
      </w:pPr>
      <w:r>
        <w:t xml:space="preserve">Ogg, J. G. 2020.</w:t>
      </w:r>
      <w:r>
        <w:t xml:space="preserve"> </w:t>
      </w:r>
      <w:hyperlink r:id="rId208">
        <w:r>
          <w:rPr>
            <w:rStyle w:val="Hyperlink"/>
          </w:rPr>
          <w:t xml:space="preserve">Geomagnetic polarity time scale</w:t>
        </w:r>
      </w:hyperlink>
      <w:r>
        <w:t xml:space="preserve">. Pp. 159–192</w:t>
      </w:r>
      <w:r>
        <w:t xml:space="preserve"> </w:t>
      </w:r>
      <w:r>
        <w:rPr>
          <w:i/>
          <w:iCs/>
        </w:rPr>
        <w:t xml:space="preserve">in</w:t>
      </w:r>
      <w:r>
        <w:t xml:space="preserve">. Elsevier.</w:t>
      </w:r>
    </w:p>
    <w:bookmarkEnd w:id="209"/>
    <w:bookmarkStart w:id="211" w:name="ref-paiva2026"/>
    <w:p>
      <w:pPr>
        <w:pStyle w:val="Bibliography"/>
      </w:pPr>
      <w:r>
        <w:t xml:space="preserve">Paiva, A. L., P. Godoy, D. dos Santos, M. Langer, and P. Mannion. 2026.</w:t>
      </w:r>
      <w:r>
        <w:t xml:space="preserve"> </w:t>
      </w:r>
      <w:hyperlink r:id="rId210">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1"/>
    <w:bookmarkStart w:id="213" w:name="ref-palazzesi2012"/>
    <w:p>
      <w:pPr>
        <w:pStyle w:val="Bibliography"/>
      </w:pPr>
      <w:r>
        <w:t xml:space="preserve">Palazzesi, L., and V. Barreda. 2012.</w:t>
      </w:r>
      <w:r>
        <w:t xml:space="preserve"> </w:t>
      </w:r>
      <w:hyperlink r:id="rId212">
        <w:r>
          <w:rPr>
            <w:rStyle w:val="Hyperlink"/>
          </w:rPr>
          <w:t xml:space="preserve">Fossil pollen records reveal a late rise of open-habitat ecosystems in Patagonia</w:t>
        </w:r>
      </w:hyperlink>
      <w:r>
        <w:t xml:space="preserve">. Nature Communications 3:1294.</w:t>
      </w:r>
    </w:p>
    <w:bookmarkEnd w:id="213"/>
    <w:bookmarkStart w:id="214" w:name="ref-pascual1996"/>
    <w:p>
      <w:pPr>
        <w:pStyle w:val="Bibliography"/>
      </w:pPr>
      <w:r>
        <w:t xml:space="preserve">Pascual, R., E. Ortiz-Jaureguizar, and J. L. Prado. 1996. Land mammals: Paradigm for cenozoic south american geobiotic evolution.</w:t>
      </w:r>
    </w:p>
    <w:bookmarkEnd w:id="214"/>
    <w:bookmarkStart w:id="216" w:name="ref-patton2015"/>
    <w:p>
      <w:pPr>
        <w:pStyle w:val="Bibliography"/>
      </w:pPr>
      <w:r>
        <w:t xml:space="preserve">Patton, J. L., U. F. J. Pardiñas, and G. D’Elía. 2015.</w:t>
      </w:r>
      <w:r>
        <w:t xml:space="preserve"> </w:t>
      </w:r>
      <w:hyperlink r:id="rId215">
        <w:r>
          <w:rPr>
            <w:rStyle w:val="Hyperlink"/>
          </w:rPr>
          <w:t xml:space="preserve">Mammals of South America, Volume 2: Rodents</w:t>
        </w:r>
      </w:hyperlink>
      <w:r>
        <w:t xml:space="preserve">. University of Chicago Press, Chicago, IL.</w:t>
      </w:r>
    </w:p>
    <w:bookmarkEnd w:id="216"/>
    <w:bookmarkStart w:id="218" w:name="ref-pérez_new_2010"/>
    <w:p>
      <w:pPr>
        <w:pStyle w:val="Bibliography"/>
      </w:pPr>
      <w:r>
        <w:t xml:space="preserve">Pérez, M. E. 2010.</w:t>
      </w:r>
      <w:r>
        <w:t xml:space="preserve"> </w:t>
      </w:r>
      <w:hyperlink r:id="rId217">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8"/>
    <w:bookmarkStart w:id="220" w:name="ref-pimiento2019"/>
    <w:p>
      <w:pPr>
        <w:pStyle w:val="Bibliography"/>
      </w:pPr>
      <w:r>
        <w:t xml:space="preserve">Pimiento, C., J. L. Cantalapiedra, K. Shimada, D. J. Field, and J. B. Smaers. 2019.</w:t>
      </w:r>
      <w:r>
        <w:t xml:space="preserve"> </w:t>
      </w:r>
      <w:hyperlink r:id="rId219">
        <w:r>
          <w:rPr>
            <w:rStyle w:val="Hyperlink"/>
          </w:rPr>
          <w:t xml:space="preserve">Evolutionary pathways toward gigantism in sharks and rays</w:t>
        </w:r>
      </w:hyperlink>
      <w:r>
        <w:t xml:space="preserve">. Evolution 73:588–599.</w:t>
      </w:r>
    </w:p>
    <w:bookmarkEnd w:id="220"/>
    <w:bookmarkStart w:id="222" w:name="ref-quental2013"/>
    <w:p>
      <w:pPr>
        <w:pStyle w:val="Bibliography"/>
      </w:pPr>
      <w:r>
        <w:t xml:space="preserve">Quental, T. B., and C. R. Marshall. 2013.</w:t>
      </w:r>
      <w:r>
        <w:t xml:space="preserve"> </w:t>
      </w:r>
      <w:hyperlink r:id="rId221">
        <w:r>
          <w:rPr>
            <w:rStyle w:val="Hyperlink"/>
          </w:rPr>
          <w:t xml:space="preserve">How the red queen drives terrestrial mammals to extinction</w:t>
        </w:r>
      </w:hyperlink>
      <w:r>
        <w:t xml:space="preserve">. Science 341:290–292.</w:t>
      </w:r>
    </w:p>
    <w:bookmarkEnd w:id="222"/>
    <w:bookmarkStart w:id="224" w:name="ref-quintero_loss_2025"/>
    <w:p>
      <w:pPr>
        <w:pStyle w:val="Bibliography"/>
      </w:pPr>
      <w:r>
        <w:t xml:space="preserve">Quintero, I., J. Andréoletti, D. Silvestro, and H. Morlon. 2025.</w:t>
      </w:r>
      <w:r>
        <w:t xml:space="preserve"> </w:t>
      </w:r>
      <w:hyperlink r:id="rId223">
        <w:r>
          <w:rPr>
            <w:rStyle w:val="Hyperlink"/>
          </w:rPr>
          <w:t xml:space="preserve">Loss of macroevolutionary species fitness explains the rise and fall of clades</w:t>
        </w:r>
      </w:hyperlink>
      <w:r>
        <w:t xml:space="preserve">. Nat Ecol Evol 1–12. Nature Publishing Group.</w:t>
      </w:r>
    </w:p>
    <w:bookmarkEnd w:id="224"/>
    <w:bookmarkStart w:id="226" w:name="ref-rasia_reappraisal_2018"/>
    <w:p>
      <w:pPr>
        <w:pStyle w:val="Bibliography"/>
      </w:pPr>
      <w:r>
        <w:t xml:space="preserve">Rasia, L. L., and A. M. Candela. 2018.</w:t>
      </w:r>
      <w:r>
        <w:t xml:space="preserve"> </w:t>
      </w:r>
      <w:hyperlink r:id="rId225">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6"/>
    <w:bookmarkStart w:id="228" w:name="ref-rasia_comprehensive_2021"/>
    <w:p>
      <w:pPr>
        <w:pStyle w:val="Bibliography"/>
      </w:pPr>
      <w:r>
        <w:t xml:space="preserve">Rasia, L. L., A. M. Candela, and C. Cañón. 2021.</w:t>
      </w:r>
      <w:r>
        <w:t xml:space="preserve"> </w:t>
      </w:r>
      <w:hyperlink r:id="rId227">
        <w:r>
          <w:rPr>
            <w:rStyle w:val="Hyperlink"/>
          </w:rPr>
          <w:t xml:space="preserve">Comprehensive total evidence phylogeny of chinchillids (rodentia, caviomorpha): Cheek teeth anatomy and evolution</w:t>
        </w:r>
      </w:hyperlink>
      <w:r>
        <w:t xml:space="preserve">. Journal of Anatomy 239:405–423.</w:t>
      </w:r>
    </w:p>
    <w:bookmarkEnd w:id="228"/>
    <w:bookmarkStart w:id="230" w:name="ref-rasia2024"/>
    <w:p>
      <w:pPr>
        <w:pStyle w:val="Bibliography"/>
      </w:pPr>
      <w:r>
        <w:t xml:space="preserve">Rasia, L. L., C. I. Montalvo, R. Sostillo, L. Kerber, and R. L. Tomassini. 2024.</w:t>
      </w:r>
      <w:r>
        <w:t xml:space="preserve"> </w:t>
      </w:r>
      <w:hyperlink r:id="rId229">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0"/>
    <w:bookmarkStart w:id="232" w:name="ref-rinderknecht2008"/>
    <w:p>
      <w:pPr>
        <w:pStyle w:val="Bibliography"/>
      </w:pPr>
      <w:r>
        <w:t xml:space="preserve">Rinderknecht, A., and R. E. Blanco. 2008.</w:t>
      </w:r>
      <w:r>
        <w:t xml:space="preserve"> </w:t>
      </w:r>
      <w:hyperlink r:id="rId231">
        <w:r>
          <w:rPr>
            <w:rStyle w:val="Hyperlink"/>
          </w:rPr>
          <w:t xml:space="preserve">The largest fossil rodent</w:t>
        </w:r>
      </w:hyperlink>
      <w:r>
        <w:t xml:space="preserve">. Proceedings of the Royal Society B: Biological Sciences 275:923–928.</w:t>
      </w:r>
    </w:p>
    <w:bookmarkEnd w:id="232"/>
    <w:bookmarkStart w:id="234" w:name="ref-robinet2020"/>
    <w:p>
      <w:pPr>
        <w:pStyle w:val="Bibliography"/>
      </w:pPr>
      <w:r>
        <w:t xml:space="preserve">Robinet, C., G. Merceron, A. M. Candela, and L. Marivaux. 2020.</w:t>
      </w:r>
      <w:r>
        <w:t xml:space="preserve"> </w:t>
      </w:r>
      <w:hyperlink r:id="rId233">
        <w:r>
          <w:rPr>
            <w:rStyle w:val="Hyperlink"/>
          </w:rPr>
          <w:t xml:space="preserve">Dental microwear texture analysis and diet in caviomorphs (rodentia) from the serra do mar atlantic forest (brazil)</w:t>
        </w:r>
      </w:hyperlink>
      <w:r>
        <w:t xml:space="preserve">. Journal of Mammalogy 101:386–402.</w:t>
      </w:r>
    </w:p>
    <w:bookmarkEnd w:id="234"/>
    <w:bookmarkStart w:id="236" w:name="ref-salas-gismondi2015"/>
    <w:p>
      <w:pPr>
        <w:pStyle w:val="Bibliography"/>
      </w:pPr>
      <w:r>
        <w:t xml:space="preserve">Salas-Gismondi, R., J. J. Flynn, P. Baby, J. V. Tejada-Lara, F. P. Wesselingh, and P.-O. Antoine. 2015.</w:t>
      </w:r>
      <w:r>
        <w:t xml:space="preserve"> </w:t>
      </w:r>
      <w:hyperlink r:id="rId235">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6"/>
    <w:bookmarkStart w:id="238" w:name="ref-sánchez-villagra2003"/>
    <w:p>
      <w:pPr>
        <w:pStyle w:val="Bibliography"/>
      </w:pPr>
      <w:r>
        <w:t xml:space="preserve">Sánchez-Villagra, M. R., O. Aguilera, and I. Horovitz. 2003.</w:t>
      </w:r>
      <w:r>
        <w:t xml:space="preserve"> </w:t>
      </w:r>
      <w:hyperlink r:id="rId237">
        <w:r>
          <w:rPr>
            <w:rStyle w:val="Hyperlink"/>
          </w:rPr>
          <w:t xml:space="preserve">The anatomy of the world’s largest extinct rodent</w:t>
        </w:r>
      </w:hyperlink>
      <w:r>
        <w:t xml:space="preserve">. Science 301:1708–1710.</w:t>
      </w:r>
    </w:p>
    <w:bookmarkEnd w:id="238"/>
    <w:bookmarkStart w:id="240"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39">
        <w:r>
          <w:rPr>
            <w:rStyle w:val="Hyperlink"/>
          </w:rPr>
          <w:t xml:space="preserve">Biology of the sauropod dinosaurs: the evolution of gigantism</w:t>
        </w:r>
      </w:hyperlink>
      <w:r>
        <w:t xml:space="preserve">. Biological Reviews 86:117–155.</w:t>
      </w:r>
    </w:p>
    <w:bookmarkEnd w:id="240"/>
    <w:bookmarkStart w:id="242" w:name="ref-silvestro2015"/>
    <w:p>
      <w:pPr>
        <w:pStyle w:val="Bibliography"/>
      </w:pPr>
      <w:r>
        <w:t xml:space="preserve">Silvestro, D., A. Antonelli, N. Salamin, and T. B. Quental. 2015.</w:t>
      </w:r>
      <w:r>
        <w:t xml:space="preserve"> </w:t>
      </w:r>
      <w:hyperlink r:id="rId241">
        <w:r>
          <w:rPr>
            <w:rStyle w:val="Hyperlink"/>
          </w:rPr>
          <w:t xml:space="preserve">The role of clade competition in the diversification of North American canids</w:t>
        </w:r>
      </w:hyperlink>
      <w:r>
        <w:t xml:space="preserve">. Proceedings of the National Academy of Sciences 112:8684–8689.</w:t>
      </w:r>
    </w:p>
    <w:bookmarkEnd w:id="242"/>
    <w:bookmarkStart w:id="244" w:name="ref-silvestro2019"/>
    <w:p>
      <w:pPr>
        <w:pStyle w:val="Bibliography"/>
      </w:pPr>
      <w:r>
        <w:t xml:space="preserve">Silvestro, D., N. Salamin, A. Antonelli, and X. Meyer. 2019.</w:t>
      </w:r>
      <w:r>
        <w:t xml:space="preserve"> </w:t>
      </w:r>
      <w:hyperlink r:id="rId243">
        <w:r>
          <w:rPr>
            <w:rStyle w:val="Hyperlink"/>
          </w:rPr>
          <w:t xml:space="preserve">Improved estimation of macroevolutionary rates from fossil data using a Bayesian framework</w:t>
        </w:r>
      </w:hyperlink>
      <w:r>
        <w:t xml:space="preserve">. Paleobiology 45:546–570.</w:t>
      </w:r>
    </w:p>
    <w:bookmarkEnd w:id="244"/>
    <w:bookmarkStart w:id="246" w:name="ref-silvestro2014"/>
    <w:p>
      <w:pPr>
        <w:pStyle w:val="Bibliography"/>
      </w:pPr>
      <w:r>
        <w:t xml:space="preserve">Silvestro, D., N. Salamin, and J. Schnitzler. 2014.</w:t>
      </w:r>
      <w:r>
        <w:t xml:space="preserve"> </w:t>
      </w:r>
      <w:hyperlink r:id="rId245">
        <w:r>
          <w:rPr>
            <w:rStyle w:val="Hyperlink"/>
          </w:rPr>
          <w:t xml:space="preserve">PyRate: a new program to estimate speciation and extinction rates from incomplete fossil data</w:t>
        </w:r>
      </w:hyperlink>
      <w:r>
        <w:t xml:space="preserve">. Methods in Ecology and Evolution 5:1126–1131.</w:t>
      </w:r>
    </w:p>
    <w:bookmarkEnd w:id="246"/>
    <w:bookmarkStart w:id="247" w:name="ref-simpson1980"/>
    <w:p>
      <w:pPr>
        <w:pStyle w:val="Bibliography"/>
      </w:pPr>
      <w:r>
        <w:t xml:space="preserve">Simpson, G. G. 1980. Splendid isolation : The curious history of south american mammals. Yale University Press, New Haven.</w:t>
      </w:r>
    </w:p>
    <w:bookmarkEnd w:id="247"/>
    <w:bookmarkStart w:id="248" w:name="ref-simpson1944"/>
    <w:p>
      <w:pPr>
        <w:pStyle w:val="Bibliography"/>
      </w:pPr>
      <w:r>
        <w:t xml:space="preserve">Simpson, G. G. 1944. Tempo and mode in evolution. Columbia University Press.</w:t>
      </w:r>
    </w:p>
    <w:bookmarkEnd w:id="248"/>
    <w:bookmarkStart w:id="250"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49">
        <w:r>
          <w:rPr>
            <w:rStyle w:val="Hyperlink"/>
          </w:rPr>
          <w:t xml:space="preserve">10.1016/j.gr.2024.08.002</w:t>
        </w:r>
      </w:hyperlink>
      <w:r>
        <w:t xml:space="preserve">.</w:t>
      </w:r>
    </w:p>
    <w:bookmarkEnd w:id="250"/>
    <w:bookmarkStart w:id="251"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1"/>
    <w:bookmarkStart w:id="253" w:name="ref-stenseth_coevolution_1984"/>
    <w:p>
      <w:pPr>
        <w:pStyle w:val="Bibliography"/>
      </w:pPr>
      <w:r>
        <w:t xml:space="preserve">Stenseth, N. Chr., and J. M. Smith. 1984.</w:t>
      </w:r>
      <w:r>
        <w:t xml:space="preserve"> </w:t>
      </w:r>
      <w:hyperlink r:id="rId252">
        <w:r>
          <w:rPr>
            <w:rStyle w:val="Hyperlink"/>
          </w:rPr>
          <w:t xml:space="preserve">Coevolution in ecosystems: Red queen or evolutionary stasis?</w:t>
        </w:r>
      </w:hyperlink>
      <w:r>
        <w:t xml:space="preserve"> Evol 38:870–880.</w:t>
      </w:r>
    </w:p>
    <w:bookmarkEnd w:id="253"/>
    <w:bookmarkStart w:id="255" w:name="ref-strömberg2013"/>
    <w:p>
      <w:pPr>
        <w:pStyle w:val="Bibliography"/>
      </w:pPr>
      <w:r>
        <w:t xml:space="preserve">Strömberg, C. A. E., R. E. Dunn, R. H. Madden, M. J. Kohn, and A. A. Carlini. 2013.</w:t>
      </w:r>
      <w:r>
        <w:t xml:space="preserve"> </w:t>
      </w:r>
      <w:hyperlink r:id="rId254">
        <w:r>
          <w:rPr>
            <w:rStyle w:val="Hyperlink"/>
          </w:rPr>
          <w:t xml:space="preserve">Decoupling the spread of grasslands from the evolution of grazer-type herbivores in South America</w:t>
        </w:r>
      </w:hyperlink>
      <w:r>
        <w:t xml:space="preserve">. Nature Communications 4:1478.</w:t>
      </w:r>
    </w:p>
    <w:bookmarkEnd w:id="255"/>
    <w:bookmarkStart w:id="257" w:name="ref-tardif2025"/>
    <w:p>
      <w:pPr>
        <w:pStyle w:val="Bibliography"/>
      </w:pPr>
      <w:r>
        <w:t xml:space="preserve">Tardif, D., F. L. Condamine, S. J. R. Streiff, P. Sepulchre, and T. L. P. Couvreur. 2025.</w:t>
      </w:r>
      <w:r>
        <w:t xml:space="preserve"> </w:t>
      </w:r>
      <w:hyperlink r:id="rId25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7"/>
    <w:bookmarkStart w:id="259" w:name="ref-tarquini2022"/>
    <w:p>
      <w:pPr>
        <w:pStyle w:val="Bibliography"/>
      </w:pPr>
      <w:r>
        <w:t xml:space="preserve">Tarquini, S. D., S. Ladevèze, and F. J. Prevosti. 2022.</w:t>
      </w:r>
      <w:r>
        <w:t xml:space="preserve"> </w:t>
      </w:r>
      <w:hyperlink r:id="rId258">
        <w:r>
          <w:rPr>
            <w:rStyle w:val="Hyperlink"/>
          </w:rPr>
          <w:t xml:space="preserve">The multicausal twilight of South American native mammalian predators (Metatheria, Sparassodonta)</w:t>
        </w:r>
      </w:hyperlink>
      <w:r>
        <w:t xml:space="preserve">. Scientific Reports 12:1224.</w:t>
      </w:r>
    </w:p>
    <w:bookmarkEnd w:id="259"/>
    <w:bookmarkStart w:id="261" w:name="ref-database"/>
    <w:p>
      <w:pPr>
        <w:pStyle w:val="Bibliography"/>
      </w:pPr>
      <w:r>
        <w:t xml:space="preserve">Upham, N., C. Burgin, J. Widness, S. Liphardt, C. Parker, M. Becker, I. Rochon, D. Huckaby, and J. Zijlstra. 2026.</w:t>
      </w:r>
      <w:r>
        <w:t xml:space="preserve"> </w:t>
      </w:r>
      <w:hyperlink r:id="rId260">
        <w:r>
          <w:rPr>
            <w:rStyle w:val="Hyperlink"/>
          </w:rPr>
          <w:t xml:space="preserve">Mammal Diversity Database v2.4</w:t>
        </w:r>
      </w:hyperlink>
      <w:r>
        <w:t xml:space="preserve">.</w:t>
      </w:r>
    </w:p>
    <w:bookmarkEnd w:id="261"/>
    <w:bookmarkStart w:id="26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3"/>
    <w:bookmarkStart w:id="265" w:name="ref-vanvalen1960"/>
    <w:p>
      <w:pPr>
        <w:pStyle w:val="Bibliography"/>
      </w:pPr>
      <w:r>
        <w:t xml:space="preserve">Van Valen, L. 1960.</w:t>
      </w:r>
      <w:r>
        <w:t xml:space="preserve"> </w:t>
      </w:r>
      <w:hyperlink r:id="rId264">
        <w:r>
          <w:rPr>
            <w:rStyle w:val="Hyperlink"/>
          </w:rPr>
          <w:t xml:space="preserve">A functional index of hypsodonty</w:t>
        </w:r>
      </w:hyperlink>
      <w:r>
        <w:t xml:space="preserve">. Evolution 14:531–532.</w:t>
      </w:r>
    </w:p>
    <w:bookmarkEnd w:id="265"/>
    <w:bookmarkStart w:id="266" w:name="ref-vanvalen1973"/>
    <w:p>
      <w:pPr>
        <w:pStyle w:val="Bibliography"/>
      </w:pPr>
      <w:r>
        <w:t xml:space="preserve">Van Valen, L. 1973a. A new evolutionary law. Evolutionary Theory 1–30.</w:t>
      </w:r>
    </w:p>
    <w:bookmarkEnd w:id="266"/>
    <w:bookmarkStart w:id="267" w:name="ref-van_valen_pattern_1973"/>
    <w:p>
      <w:pPr>
        <w:pStyle w:val="Bibliography"/>
      </w:pPr>
      <w:r>
        <w:t xml:space="preserve">Van Valen, L. 1973b. Pattern and the balance of nature. Evol. Theory 1:31–49.</w:t>
      </w:r>
    </w:p>
    <w:bookmarkEnd w:id="267"/>
    <w:bookmarkStart w:id="268"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68"/>
    <w:bookmarkStart w:id="269" w:name="ref-vrba1993"/>
    <w:p>
      <w:pPr>
        <w:pStyle w:val="Bibliography"/>
      </w:pPr>
      <w:r>
        <w:t xml:space="preserve">Vrba, E. S. 1993. Turnover-pulses, the red queen and related topics. American Journal of Science 293:418–452.</w:t>
      </w:r>
    </w:p>
    <w:bookmarkEnd w:id="269"/>
    <w:bookmarkStart w:id="270"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70"/>
    <w:bookmarkStart w:id="271" w:name="ref-webb1985"/>
    <w:p>
      <w:pPr>
        <w:pStyle w:val="Bibliography"/>
      </w:pPr>
      <w:r>
        <w:t xml:space="preserve">Webb, S. D. 1985. Late cenozoic mammal dispersals between the americas.</w:t>
      </w:r>
    </w:p>
    <w:bookmarkEnd w:id="271"/>
    <w:bookmarkStart w:id="273" w:name="ref-weppe2023"/>
    <w:p>
      <w:pPr>
        <w:pStyle w:val="Bibliography"/>
      </w:pPr>
      <w:r>
        <w:t xml:space="preserve">Weppe, R., F. L. Condamine, G. Guinot, J. Maugoust, and M. J. Orliac. 2023.</w:t>
      </w:r>
      <w:r>
        <w:t xml:space="preserve"> </w:t>
      </w:r>
      <w:hyperlink r:id="rId27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3"/>
    <w:bookmarkStart w:id="27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5"/>
    <w:bookmarkStart w:id="277" w:name="ref-woods2021"/>
    <w:p>
      <w:pPr>
        <w:pStyle w:val="Bibliography"/>
      </w:pPr>
      <w:r>
        <w:t xml:space="preserve">Woods, R., I. Barnes, S. Brace, and S. T. Turvey. 2021.</w:t>
      </w:r>
      <w:r>
        <w:t xml:space="preserve"> </w:t>
      </w:r>
      <w:hyperlink r:id="rId276">
        <w:r>
          <w:rPr>
            <w:rStyle w:val="Hyperlink"/>
          </w:rPr>
          <w:t xml:space="preserve">Ancient DNA suggests single colonization and within-archipelago diversification of caribbean caviomorph rodents</w:t>
        </w:r>
      </w:hyperlink>
      <w:r>
        <w:t xml:space="preserve">. Molecular Biology and Evolution 38:84–95.</w:t>
      </w:r>
    </w:p>
    <w:bookmarkEnd w:id="277"/>
    <w:bookmarkEnd w:id="278"/>
    <w:p>
      <w:r>
        <w:br w:type="page"/>
      </w:r>
    </w:p>
    <w:bookmarkEnd w:id="279"/>
    <w:bookmarkStart w:id="301"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4" w:name="fig-ExtSampl"/>
          <w:p>
            <w:pPr>
              <w:pStyle w:val="Compact"/>
              <w:jc w:val="center"/>
            </w:pPr>
            <w:r>
              <w:drawing>
                <wp:inline>
                  <wp:extent cx="5943600" cy="1635861"/>
                  <wp:effectExtent b="0" l="0" r="0" t="0"/>
                  <wp:docPr descr="" title="" id="281" name="Picture"/>
                  <a:graphic>
                    <a:graphicData uri="http://schemas.openxmlformats.org/drawingml/2006/picture">
                      <pic:pic>
                        <pic:nvPicPr>
                          <pic:cNvPr descr="../Figures/Main/extant_sampling/extant_sampling.png" id="282" name="Picture"/>
                          <pic:cNvPicPr>
                            <a:picLocks noChangeArrowheads="1" noChangeAspect="1"/>
                          </pic:cNvPicPr>
                        </pic:nvPicPr>
                        <pic:blipFill>
                          <a:blip r:embed="rId280"/>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3">
              <w:r>
                <w:rPr>
                  <w:rStyle w:val="Hyperlink"/>
                </w:rPr>
                <w:t xml:space="preserve">Phylopic</w:t>
              </w:r>
            </w:hyperlink>
            <w:r>
              <w:t xml:space="preserve">, see Tab. S3 for additional information.</w:t>
            </w:r>
          </w:p>
          <w:bookmarkEnd w:id="284"/>
        </w:tc>
      </w:tr>
    </w:tbl>
    <w:tbl>
      <w:tblPr>
        <w:tblStyle w:val="Table"/>
        <w:tblW w:type="pct" w:w="5000"/>
        <w:tblLayout w:type="fixed"/>
        <w:tblLook w:firstRow="0" w:lastRow="0" w:firstColumn="0" w:lastColumn="0" w:noHBand="0" w:noVBand="0" w:val="0000"/>
      </w:tblPr>
      <w:tblGrid>
        <w:gridCol w:w="7920"/>
      </w:tblGrid>
      <w:tr>
        <w:tc>
          <w:tcPr/>
          <w:bookmarkStart w:id="288" w:name="fig-diversityBM"/>
          <w:p>
            <w:pPr>
              <w:pStyle w:val="Compact"/>
              <w:jc w:val="center"/>
            </w:pPr>
            <w:r>
              <w:drawing>
                <wp:inline>
                  <wp:extent cx="2519999" cy="7199999"/>
                  <wp:effectExtent b="0" l="0" r="0" t="0"/>
                  <wp:docPr descr="" title="" id="286" name="Picture"/>
                  <a:graphic>
                    <a:graphicData uri="http://schemas.openxmlformats.org/drawingml/2006/picture">
                      <pic:pic>
                        <pic:nvPicPr>
                          <pic:cNvPr descr="../Figures/Main/Diversity_and_BM_through_time.png" id="287" name="Picture"/>
                          <pic:cNvPicPr>
                            <a:picLocks noChangeArrowheads="1" noChangeAspect="1"/>
                          </pic:cNvPicPr>
                        </pic:nvPicPr>
                        <pic:blipFill>
                          <a:blip r:embed="rId285"/>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3</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88"/>
        </w:tc>
      </w:tr>
    </w:tbl>
    <w:tbl>
      <w:tblPr>
        <w:tblStyle w:val="Table"/>
        <w:tblW w:type="pct" w:w="5000"/>
        <w:tblLayout w:type="fixed"/>
        <w:tblLook w:firstRow="0" w:lastRow="0" w:firstColumn="0" w:lastColumn="0" w:noHBand="0" w:noVBand="0" w:val="0000"/>
      </w:tblPr>
      <w:tblGrid>
        <w:gridCol w:w="7920"/>
      </w:tblGrid>
      <w:tr>
        <w:tc>
          <w:tcPr/>
          <w:bookmarkStart w:id="292" w:name="fig-lifespans"/>
          <w:p>
            <w:pPr>
              <w:pStyle w:val="Compact"/>
              <w:jc w:val="center"/>
            </w:pPr>
            <w:r>
              <w:drawing>
                <wp:inline>
                  <wp:extent cx="5399999" cy="6839999"/>
                  <wp:effectExtent b="0" l="0" r="0" t="0"/>
                  <wp:docPr descr="" title="" id="290" name="Picture"/>
                  <a:graphic>
                    <a:graphicData uri="http://schemas.openxmlformats.org/drawingml/2006/picture">
                      <pic:pic>
                        <pic:nvPicPr>
                          <pic:cNvPr descr="../Figures/Main/Lifespans/lifespans_distribs.png" id="291" name="Picture"/>
                          <pic:cNvPicPr>
                            <a:picLocks noChangeArrowheads="1" noChangeAspect="1"/>
                          </pic:cNvPicPr>
                        </pic:nvPicPr>
                        <pic:blipFill>
                          <a:blip r:embed="rId289"/>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1</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2"/>
        </w:tc>
      </w:tr>
    </w:tbl>
    <w:tbl>
      <w:tblPr>
        <w:tblStyle w:val="Table"/>
        <w:tblW w:type="pct" w:w="5000"/>
        <w:tblLayout w:type="fixed"/>
        <w:tblLook w:firstRow="0" w:lastRow="0" w:firstColumn="0" w:lastColumn="0" w:noHBand="0" w:noVBand="0" w:val="0000"/>
      </w:tblPr>
      <w:tblGrid>
        <w:gridCol w:w="7920"/>
      </w:tblGrid>
      <w:tr>
        <w:tc>
          <w:tcPr/>
          <w:bookmarkStart w:id="296" w:name="fig-diversification"/>
          <w:p>
            <w:pPr>
              <w:pStyle w:val="Compact"/>
              <w:jc w:val="center"/>
            </w:pPr>
            <w:r>
              <w:drawing>
                <wp:inline>
                  <wp:extent cx="5399999" cy="3959999"/>
                  <wp:effectExtent b="0" l="0" r="0" t="0"/>
                  <wp:docPr descr="" title="" id="294" name="Picture"/>
                  <a:graphic>
                    <a:graphicData uri="http://schemas.openxmlformats.org/drawingml/2006/picture">
                      <pic:pic>
                        <pic:nvPicPr>
                          <pic:cNvPr descr="../Figures/Main/Diversification_rates.png" id="295" name="Picture"/>
                          <pic:cNvPicPr>
                            <a:picLocks noChangeArrowheads="1" noChangeAspect="1"/>
                          </pic:cNvPicPr>
                        </pic:nvPicPr>
                        <pic:blipFill>
                          <a:blip r:embed="rId293"/>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S10-11). The right column</w:t>
            </w:r>
            <w:r>
              <w:t xml:space="preserve"> </w:t>
            </w:r>
            <w:r>
              <w:rPr>
                <w:b/>
                <w:bCs/>
              </w:rPr>
              <w:t xml:space="preserve">(E-F)</w:t>
            </w:r>
            <w:r>
              <w:t xml:space="preserve"> </w:t>
            </w:r>
            <w:r>
              <w:t xml:space="preserve">shows the rates through time estimated by the MBD model.</w:t>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extinctionBDNN"/>
          <w:p>
            <w:pPr>
              <w:pStyle w:val="Compact"/>
              <w:jc w:val="center"/>
            </w:pPr>
            <w:r>
              <w:drawing>
                <wp:inline>
                  <wp:extent cx="4679999" cy="4679999"/>
                  <wp:effectExtent b="0" l="0" r="0" t="0"/>
                  <wp:docPr descr="" title="" id="298" name="Picture"/>
                  <a:graphic>
                    <a:graphicData uri="http://schemas.openxmlformats.org/drawingml/2006/picture">
                      <pic:pic>
                        <pic:nvPicPr>
                          <pic:cNvPr descr="../Figures/Main/Drivers/BDNN_extinction_correlates.pdf" id="299" name="Picture"/>
                          <pic:cNvPicPr>
                            <a:picLocks noChangeArrowheads="1" noChangeAspect="1"/>
                          </pic:cNvPicPr>
                        </pic:nvPicPr>
                        <pic:blipFill>
                          <a:blip r:embed="rId297"/>
                          <a:stretch>
                            <a:fillRect/>
                          </a:stretch>
                        </pic:blipFill>
                        <pic:spPr bwMode="auto">
                          <a:xfrm>
                            <a:off x="0" y="0"/>
                            <a:ext cx="4679999" cy="46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main drivers of chinchilloid extinction rate variations as estimated by BDNN. Predictor ranking was made using a consensus of explainable AI metrics. Extinction rates differed 2.37-fold (Table S7) across body mass categories</w:t>
            </w:r>
            <w:r>
              <w:t xml:space="preserve"> </w:t>
            </w:r>
            <w:r>
              <w:rPr>
                <w:b/>
                <w:bCs/>
              </w:rPr>
              <w:t xml:space="preserve">(A)</w:t>
            </w:r>
            <w:r>
              <w:t xml:space="preserve">, and 1.6-fold (Table S7) between tropical and extratropical lineages</w:t>
            </w:r>
            <w:r>
              <w:t xml:space="preserve"> </w:t>
            </w:r>
            <w:r>
              <w:rPr>
                <w:b/>
                <w:bCs/>
              </w:rPr>
              <w:t xml:space="preserve">(B)</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A positive non-linear dependency was found between extinction rate and the Andean elevation</w:t>
            </w:r>
            <w:r>
              <w:t xml:space="preserve"> </w:t>
            </w:r>
            <w:r>
              <w:rPr>
                <w:b/>
                <w:bCs/>
              </w:rPr>
              <w:t xml:space="preserve">(C)</w:t>
            </w:r>
            <w:r>
              <w:t xml:space="preserve">, whereas we retrieved a trend towards decreasing extinction rates with increasing self-diversity</w:t>
            </w:r>
            <w:r>
              <w:t xml:space="preserve"> </w:t>
            </w:r>
            <w:r>
              <w:rPr>
                <w:b/>
                <w:bCs/>
              </w:rPr>
              <w:t xml:space="preserve">(D)</w:t>
            </w:r>
            <w:r>
              <w:t xml:space="preserve">.</w:t>
            </w:r>
          </w:p>
          <w:bookmarkEnd w:id="300"/>
        </w:tc>
      </w:tr>
    </w:tbl>
    <w:bookmarkEnd w:id="301"/>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hypsodonty reconstructions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3" Target="media/rId293.png" /><Relationship Type="http://schemas.openxmlformats.org/officeDocument/2006/relationships/image" Id="rId285" Target="media/rId285.png" /><Relationship Type="http://schemas.openxmlformats.org/officeDocument/2006/relationships/image" Id="rId297" Target="media/rId297.pdf" /><Relationship Type="http://schemas.openxmlformats.org/officeDocument/2006/relationships/image" Id="rId289" Target="media/rId289.png" /><Relationship Type="http://schemas.openxmlformats.org/officeDocument/2006/relationships/image" Id="rId280" Target="media/rId280.png" /><Relationship Type="http://schemas.openxmlformats.org/officeDocument/2006/relationships/hyperlink" Id="rId210"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8"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6"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2"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3"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7"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9"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1"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5"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3"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0"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8"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6"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2"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3"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7"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9"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1"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5"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3"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Boivin^{2,3,4}*, Alicia Álvarez^{2,3,4}, Fabien L. Condamine¹, Laurent Marivaux¹</dc:creator>
  <cp:keywords/>
  <dcterms:created xsi:type="dcterms:W3CDTF">2026-03-26T15:02:42Z</dcterms:created>
  <dcterms:modified xsi:type="dcterms:W3CDTF">2026-03-26T15:02:42Z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