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5.png" ContentType="image/png"/>
  <Override PartName="/word/media/rId287.png" ContentType="image/png"/>
  <Override PartName="/word/media/rId291.png" ContentType="image/png"/>
  <Override PartName="/word/media/rId2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Instituto de Ecorregiones Andinas (INECOA), Universidad Nacional de Jujuy, CONICET, IdGyM,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Fossil Record;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evolutionary biologists</w:t>
      </w:r>
      <w:r>
        <w:t xml:space="preserve"> </w:t>
      </w:r>
      <w:r>
        <w:t xml:space="preserve">(Simpson 1944)</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(Pimiento et al. 2019; Boessenecker et al. 2019; Chiarenza et al. 2020; Boscaini et al. 2025)</w:t>
      </w:r>
      <w:r>
        <w:t xml:space="preserve">. Two classes of factors are usually invoked to explain the long-term dynamics of biological diversity. On one side,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 such as inter-clade competition</w:t>
      </w:r>
      <w:r>
        <w:t xml:space="preserve"> </w:t>
      </w:r>
      <w:r>
        <w:t xml:space="preserve">(</w:t>
      </w:r>
      <w:r>
        <w:rPr>
          <w:i/>
          <w:iCs/>
        </w:rPr>
        <w:t xml:space="preserve">e</w:t>
      </w:r>
      <w:r>
        <w:t xml:space="preserve">.</w:t>
      </w:r>
      <w:r>
        <w:rPr>
          <w:i/>
          <w:iCs/>
        </w:rPr>
        <w:t xml:space="preserve">g</w:t>
      </w:r>
      <w:r>
        <w:t xml:space="preserve">., Silvestro et al. 2015; Drury et al. 2016)</w:t>
      </w:r>
      <w:r>
        <w:t xml:space="preserve">. On the other hand, a wealth of hypotheses summarised under the</w:t>
      </w:r>
      <w:r>
        <w:t xml:space="preserve"> </w:t>
      </w:r>
      <w:r>
        <w:t xml:space="preserve">‘</w:t>
      </w:r>
      <w:r>
        <w:t xml:space="preserve">Court Jester</w:t>
      </w:r>
      <w:r>
        <w:t xml:space="preserve">’</w:t>
      </w:r>
      <w:r>
        <w:t xml:space="preserve"> </w:t>
      </w:r>
      <w:r>
        <w:t xml:space="preserve">model</w:t>
      </w:r>
      <w:r>
        <w:t xml:space="preserve"> </w:t>
      </w:r>
      <w:r>
        <w:t xml:space="preserve">(Barnosky 2001)</w:t>
      </w:r>
      <w:r>
        <w:t xml:space="preserve"> </w:t>
      </w:r>
      <w:r>
        <w:t xml:space="preserve">rather place the emphasis on abiotic factors as a primary driver of evolutionary changes</w:t>
      </w:r>
      <w:r>
        <w:t xml:space="preserve"> </w:t>
      </w:r>
      <w:r>
        <w:t xml:space="preserve">(</w:t>
      </w:r>
      <w:r>
        <w:rPr>
          <w:i/>
          <w:iCs/>
        </w:rPr>
        <w:t xml:space="preserve">e</w:t>
      </w:r>
      <w:r>
        <w:t xml:space="preserve">.</w:t>
      </w:r>
      <w:r>
        <w:rPr>
          <w:i/>
          <w:iCs/>
        </w:rPr>
        <w:t xml:space="preserve">g</w:t>
      </w:r>
      <w:r>
        <w:t xml:space="preserve">., Stenseth and Smith 1984; Vrba 1993, 1995)</w:t>
      </w:r>
      <w:r>
        <w:t xml:space="preserve">. Deciphering how these factors shape speciation and extinction dynamics as well as the evolution of phenotypes is a central aim of macroevolutionary research</w:t>
      </w:r>
      <w:r>
        <w:t xml:space="preserve"> </w:t>
      </w:r>
      <w:r>
        <w:t xml:space="preserve">(</w:t>
      </w:r>
      <w:r>
        <w:rPr>
          <w:i/>
          <w:iCs/>
        </w:rPr>
        <w:t xml:space="preserve">e</w:t>
      </w:r>
      <w:r>
        <w:t xml:space="preserve">.</w:t>
      </w:r>
      <w:r>
        <w:rPr>
          <w:i/>
          <w:iCs/>
        </w:rPr>
        <w:t xml:space="preserve">g</w:t>
      </w:r>
      <w:r>
        <w:t xml:space="preserve">., Benton 2009; Quental and Marshall 2013; Condamine et al. 2018)</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 rodents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Moreover,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medium-to-large-sized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 (</w:t>
      </w:r>
      <w:r>
        <w:rPr>
          <w:i/>
          <w:iCs/>
        </w:rPr>
        <w:t xml:space="preserve">i</w:t>
      </w:r>
      <w:r>
        <w:t xml:space="preserve">.</w:t>
      </w:r>
      <w:r>
        <w:rPr>
          <w:i/>
          <w:iCs/>
        </w:rPr>
        <w:t xml:space="preserve">e</w:t>
      </w:r>
      <w:r>
        <w:t xml:space="preserve">., hypsodonty;</w:t>
      </w:r>
      <w:r>
        <w:t xml:space="preserve"> </w:t>
      </w:r>
      <w:r>
        <w:rPr>
          <w:i/>
          <w:iCs/>
        </w:rPr>
        <w:t xml:space="preserve">e</w:t>
      </w:r>
      <w:r>
        <w:t xml:space="preserve">.</w:t>
      </w:r>
      <w:r>
        <w:rPr>
          <w:i/>
          <w:iCs/>
        </w:rPr>
        <w:t xml:space="preserve">g</w:t>
      </w:r>
      <w:r>
        <w:t xml:space="preserve">.,</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n.d.)</w:t>
      </w:r>
      <w:r>
        <w:t xml:space="preserve">.</w:t>
      </w:r>
    </w:p>
    <w:p>
      <w:pPr>
        <w:pStyle w:val="BodyText"/>
      </w:pPr>
      <w:r>
        <w:t xml:space="preserve">Several hypotheses have been advocated to explain chinchilloid’s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parcellar. Previous studies relying on a phylogenetic framework illustrated that the dynamics of chinchilloid diversity and body mass evolution were decoupled</w:t>
      </w:r>
      <w:r>
        <w:t xml:space="preserve"> </w:t>
      </w:r>
      <w:r>
        <w:t xml:space="preserve">(Álvarez et al. 2017; Carrillo et al. n.d.)</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Morlon et al. 2024 and literature therein)</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129 species. In parallel, we collected dental traits and measurements in order to carry out body mass reconstructions based on recently-published sets of predictive equations, and reconstructed hypsodonty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hypsodonty categories.</w:t>
      </w:r>
    </w:p>
    <w:bookmarkEnd w:id="22"/>
    <w:bookmarkStart w:id="34"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pPr>
      <w:r>
        <w:t xml:space="preserve">We developed a simple approach relying on an exhaustive dated phylogeny extracted from VertLife (</w:t>
      </w:r>
      <w:r>
        <w:rPr>
          <w:i/>
          <w:iCs/>
        </w:rPr>
        <w:t xml:space="preserve">add more info</w:t>
      </w:r>
      <w:r>
        <w:t xml:space="preserve">)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1</w:t>
        </w:r>
      </w:hyperlink>
      <w:r>
        <w:t xml:space="preserve">). Such an incorporation avoided the artificial speciation rate inflation towards the present that we obtained when constraining ourselves to assign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each of these taxa. Combining information from the fossil record and molecular phylogenies for macroevolutionary inference was already done for groups where a large proportion of the extant diversity is absent from the fossil record, like the elasmobranchs</w:t>
      </w:r>
      <w:r>
        <w:t xml:space="preserve"> </w:t>
      </w:r>
      <w:r>
        <w:t xml:space="preserve">(Brée et al. 2022;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times of origination (</w:t>
      </w:r>
      <m:oMath>
        <m:sSub>
          <m:e>
            <m:r>
              <m:t>T</m:t>
            </m:r>
          </m:e>
          <m:sub>
            <m:r>
              <m:t>s</m:t>
            </m:r>
            <m:r>
              <m:rPr>
                <m:sty m:val="p"/>
              </m:rPr>
              <m:t>,</m:t>
            </m:r>
            <m:r>
              <m:t>i</m:t>
            </m:r>
          </m:sub>
        </m:sSub>
      </m:oMath>
      <w:r>
        <w:t xml:space="preserve">), and carried out their macroevolutionary inference out of a single combined origination and extinction times dataset − acknowledging that extant species’ times of extinction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1</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practise,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(540 occurrences, 129 species, including 65 singletons) and one genus-level database (771 occurrences, 62 genera, including 19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This spatial binning was conducted to guide the simulation step of DeepDive – see next sections.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p>
      <w:pPr>
        <w:pStyle w:val="BodyText"/>
      </w:pPr>
      <w:r>
        <w:t xml:space="preserve">In the end, body mass and HI estimates were obtained for nearly all species represented in our dataset (resp. 94% and 96%).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Genus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S2).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To evaluate the robustness of our analyses, we conducted sensitivity analyses by either removing singletons from the input occurrence database or subsampling to unique locality-lineage combinations, as done in</w:t>
      </w:r>
      <w:r>
        <w:t xml:space="preserve"> </w:t>
      </w:r>
      <w:r>
        <w:t xml:space="preserve">Buffan et al. (2025)</w:t>
      </w:r>
      <w:r>
        <w:t xml:space="preserve"> </w:t>
      </w:r>
      <w:r>
        <w:t xml:space="preserve">(</w:t>
      </w:r>
      <w:r>
        <w:rPr>
          <w:b/>
          <w:bCs/>
        </w:rPr>
        <w:t xml:space="preserve">Supp. Fig. XX</w:t>
      </w:r>
      <w:r>
        <w:t xml:space="preserve"> </w:t>
      </w:r>
      <w:r>
        <w:t xml:space="preserve">and</w:t>
      </w:r>
      <w:r>
        <w:t xml:space="preserve"> </w:t>
      </w:r>
      <w:r>
        <w:rPr>
          <w:b/>
          <w:bCs/>
        </w:rPr>
        <w:t xml:space="preserve">YY</w:t>
      </w:r>
      <w:r>
        <w:t xml:space="preserve">).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SAM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palaoediversity reconstruction framework implemented in DeepDive v1.0.28</w:t>
      </w:r>
      <w:r>
        <w:t xml:space="preserve"> </w:t>
      </w:r>
      <w:r>
        <w:t xml:space="preserve">(Cooper et al. 2024)</w:t>
      </w:r>
      <w:r>
        <w:t xml:space="preserve">. DeepDive uses a spatially-explicit biodiversity simulator coupled with a fossilisation process to simulate fossil occurrences under a wide range of scenarios. Simulation parameters (</w:t>
      </w:r>
      <w:r>
        <w:rPr>
          <w:i/>
          <w:iCs/>
        </w:rPr>
        <w:t xml:space="preserve">e</w:t>
      </w:r>
      <w:r>
        <w:t xml:space="preserve">.</w:t>
      </w:r>
      <w:r>
        <w:rPr>
          <w:i/>
          <w:iCs/>
        </w:rPr>
        <w:t xml:space="preserve">g</w:t>
      </w:r>
      <w:r>
        <w:t xml:space="preserve">.,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 xml:space="preserve">e</w:t>
      </w:r>
      <w:r>
        <w:t xml:space="preserve">.</w:t>
      </w:r>
      <w:r>
        <w:rPr>
          <w:i/>
          <w:iCs/>
        </w:rPr>
        <w:t xml:space="preserve">g</w:t>
      </w:r>
      <w:r>
        <w:t xml:space="preserve">., number of singletons, range-through diversity, …), within a user-defined set of time bins. We are therefore in a case of supervised learning. Once the model achieves a satisfying training level (quantified with a loss function, see Table S1),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Our retained network architecture comprised two LSTM layers (64 and 32 nodes) coupled with one dense layer (32 nodes) (Figure SX-Y and Table S1).</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3" w:name="Xe57631aa6071154f2080e5d1af65f26f612edcb"/>
    <w:p>
      <w:pPr>
        <w:pStyle w:val="Heading2"/>
      </w:pPr>
      <w:r>
        <w:t xml:space="preserve">Drivers behind macroevolutionary patterns</w:t>
      </w:r>
    </w:p>
    <w:bookmarkStart w:id="28"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(Etienne et al. 2011; Condamine et al. 2019a, 2020)</w:t>
      </w:r>
      <w:r>
        <w:t xml:space="preserve"> </w:t>
      </w:r>
      <w:r>
        <w:t xml:space="preserve">in a wide range of clades. Therefore, we allowed for diversity-dependence in our environment-dependent diversification (EDD) analyses.</w:t>
      </w:r>
    </w:p>
    <w:bookmarkEnd w:id="28"/>
    <w:bookmarkStart w:id="29"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using,the pymc 5.9.2 python library.</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p>
    <w:bookmarkEnd w:id="29"/>
    <w:bookmarkStart w:id="31" w:name="X4354b30efd5e7c4fb4ef9647c79b96606b13c61"/>
    <w:p>
      <w:pPr>
        <w:pStyle w:val="Heading3"/>
      </w:pPr>
      <w:r>
        <w:t xml:space="preserve">Birth-Death Neural Networks (BDNN) analyses</w:t>
      </w:r>
    </w:p>
    <w:p>
      <w:pPr>
        <w:pStyle w:val="FirstParagraph"/>
      </w:pPr>
      <w:r>
        <w:t xml:space="preserve">We consolidated our EDD analyses by using the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common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time effects of the BDNN and time-series – mediating the timing of speciation and extinction rate variations through time –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size or hypsodonty index reconstruction was not possible</w:t>
      </w:r>
      <w:r>
        <w:rPr>
          <w:rStyle w:val="FootnoteReference"/>
        </w:rPr>
        <w:footnoteReference w:id="30"/>
      </w:r>
      <w:r>
        <w:t xml:space="preserve">. For a given species, the imputation procedure consisted of sampling a trait value at random. Since the taxa in question were all younger than Middle Miocene and nested within clades not having contemporaneous species with small body sizes (XS and S) (</w:t>
      </w:r>
      <w:hyperlink w:anchor="fig-lifespans">
        <w:r>
          <w:rPr>
            <w:rStyle w:val="Hyperlink"/>
          </w:rPr>
          <w:t xml:space="preserve">Figure 3</w:t>
        </w:r>
      </w:hyperlink>
      <w:r>
        <w:t xml:space="preserve">) and hypsodonty index (brachydont and mesodont) (Fig. SX), we only allowed missing taxa to have moderate-to-large body sizes (M–XL) with high-crowned (un)rooted cheek teeth (protodont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1"/>
    <w:bookmarkStart w:id="32"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32"/>
    <w:bookmarkEnd w:id="33"/>
    <w:bookmarkEnd w:id="34"/>
    <w:bookmarkStart w:id="38" w:name="results"/>
    <w:p>
      <w:pPr>
        <w:pStyle w:val="Heading1"/>
      </w:pPr>
      <w:r>
        <w:t xml:space="preserve">Results</w:t>
      </w:r>
    </w:p>
    <w:bookmarkStart w:id="35" w:name="Xa1af8f99655f7af24f039c0e546ac07b26e5eba"/>
    <w:p>
      <w:pPr>
        <w:pStyle w:val="Heading2"/>
      </w:pPr>
      <w:r>
        <w:t xml:space="preserve">The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6.5 Ma (</w:t>
      </w:r>
      <w:hyperlink w:anchor="fig-diversityBM">
        <w:r>
          <w:rPr>
            <w:rStyle w:val="Hyperlink"/>
          </w:rPr>
          <w:t xml:space="preserve">Figure 2</w:t>
        </w:r>
      </w:hyperlink>
      <w:r>
        <w:t xml:space="preserve"> </w:t>
      </w:r>
      <w:r>
        <w:t xml:space="preserve">A–B). At their maximum, median sampled and corrected diversity exhibit a 3-fold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2</w:t>
        </w:r>
      </w:hyperlink>
      <w:r>
        <w:t xml:space="preserve"> </w:t>
      </w:r>
      <w:r>
        <w:t xml:space="preserve">A). These peaks are barely recovered from the corrected diversity curve (</w:t>
      </w:r>
      <w:hyperlink w:anchor="fig-diversityBM">
        <w:r>
          <w:rPr>
            <w:rStyle w:val="Hyperlink"/>
          </w:rPr>
          <w:t xml:space="preserve">Figure 2</w:t>
        </w:r>
      </w:hyperlink>
      <w:r>
        <w:t xml:space="preserve"> </w:t>
      </w:r>
      <w:r>
        <w:t xml:space="preserve">B).</w:t>
      </w:r>
    </w:p>
    <w:p>
      <w:pPr>
        <w:pStyle w:val="BodyText"/>
      </w:pPr>
      <w:r>
        <w:t xml:space="preserve">This diversity pattern elegantly matches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2</w:t>
        </w:r>
      </w:hyperlink>
      <w:r>
        <w:t xml:space="preserve"> </w:t>
      </w:r>
      <w:r>
        <w:t xml:space="preserve">C).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size increase among several chinchilloid lineages (</w:t>
      </w:r>
      <w:hyperlink w:anchor="fig-lifespans">
        <w:r>
          <w:rPr>
            <w:rStyle w:val="Hyperlink"/>
          </w:rPr>
          <w:t xml:space="preserve">Figure 3</w:t>
        </w:r>
      </w:hyperlink>
      <w:r>
        <w:t xml:space="preserve">). Small sizes (&lt; 1kg) are mostly found among basal forms restricted to the Palaeogene–Early Miocene, with the notable exception of the extant</w:t>
      </w:r>
      <w:r>
        <w:t xml:space="preserve"> </w:t>
      </w:r>
      <w:r>
        <w:rPr>
          <w:i/>
          <w:iCs/>
        </w:rPr>
        <w:t xml:space="preserve">Chinchilla</w:t>
      </w:r>
      <w:r>
        <w:t xml:space="preserve"> </w:t>
      </w:r>
      <w:r>
        <w:t xml:space="preserve">species. Then, from the early Middle to the latest Miocene, a gradual increase in body size is to be reported, mostly within the two families</w:t>
      </w:r>
      <w:r>
        <w:t xml:space="preserve"> </w:t>
      </w:r>
      <m:oMath>
        <m:r>
          <m:rPr>
            <m:sty m:val="p"/>
          </m:rPr>
          <m:t>†</m:t>
        </m:r>
      </m:oMath>
      <w:r>
        <w:t xml:space="preserve">Neoepiblemidae and Dinomyidae. Then, in continental South America, most of the giant taxa that were flourishing in the Miocene disappeared at</w:t>
      </w:r>
      <w:r>
        <w:t xml:space="preserve"> </w:t>
      </w:r>
      <w:r>
        <w:rPr>
          <w:i/>
          <w:iCs/>
        </w:rPr>
        <w:t xml:space="preserve">ca</w:t>
      </w:r>
      <w:r>
        <w:t xml:space="preserve">. 6.5 Ma, and only persisted the lineages that gave birth to the extant moderate-sized representatives of the group. In the West Indies, Quaternary deposits yielded remains of large-sized taxa (grouped into the likely paraphyletic family</w:t>
      </w:r>
      <w:r>
        <w:t xml:space="preserve"> </w:t>
      </w:r>
      <m:oMath>
        <m:r>
          <m:rPr>
            <m:sty m:val="p"/>
          </m:rPr>
          <m:t>†</m:t>
        </m:r>
      </m:oMath>
      <w:r>
        <w:rPr>
          <w:i/>
          <w:iCs/>
        </w:rPr>
        <w:t xml:space="preserve">?Heptaxodontidae</w:t>
      </w:r>
      <w:r>
        <w:t xml:space="preserve">), that went extinct very recently, thus well after the decline starting</w:t>
      </w:r>
      <w:r>
        <w:t xml:space="preserve"> </w:t>
      </w:r>
      <w:r>
        <w:rPr>
          <w:i/>
          <w:iCs/>
        </w:rPr>
        <w:t xml:space="preserve">ca</w:t>
      </w:r>
      <w:r>
        <w:t xml:space="preserve">. 6.5 Ma.</w:t>
      </w:r>
    </w:p>
    <w:p>
      <w:pPr>
        <w:pStyle w:val="BodyText"/>
      </w:pPr>
      <w:r>
        <w:t xml:space="preserve">Thus, we highlight the synchronous character of body size evolution and diversity dynamics throughout the evolutionary history of Chinchilloidea.</w:t>
      </w:r>
    </w:p>
    <w:bookmarkEnd w:id="35"/>
    <w:bookmarkStart w:id="36" w:name="Xec638aa7a0e33144ab295a8898aab3f898bef7d"/>
    <w:p>
      <w:pPr>
        <w:pStyle w:val="Heading2"/>
      </w:pPr>
      <w:r>
        <w:t xml:space="preserve">Heterogeneous extinction selectivity across body size classes and between tropical and non-tropical taxa, likely enhanced by the Andean uplift, shaped the decline of Chinchilloidea</w:t>
      </w:r>
    </w:p>
    <w:p>
      <w:pPr>
        <w:pStyle w:val="FirstParagraph"/>
      </w:pPr>
      <w:r>
        <w:t xml:space="preserve">Our findings revealed that the aforementioned changes in diversity were due to changes in extinction, not speciation rate during the history of the clade. Indeed, the joint estimation of the diversification process (together with species origination and extinction times, altogether forming the sampled diversity) made with PyRate using the rjMCMC algorithm did not evidence any significant speciation rate shift during the evolutionary history of the clade (</w:t>
      </w:r>
      <w:hyperlink w:anchor="fig-diversification">
        <w:r>
          <w:rPr>
            <w:rStyle w:val="Hyperlink"/>
          </w:rPr>
          <w:t xml:space="preserve">Figure 4</w:t>
        </w:r>
      </w:hyperlink>
      <w:r>
        <w:t xml:space="preserve"> </w:t>
      </w:r>
      <w:r>
        <w:t xml:space="preserve">A, Figure S6 A). Rather, according to this model, speciation rate remained constant, nearing 0.6 events/lineage/Myr over the entire study period (</w:t>
      </w:r>
      <w:hyperlink w:anchor="fig-diversification">
        <w:r>
          <w:rPr>
            <w:rStyle w:val="Hyperlink"/>
          </w:rPr>
          <w:t xml:space="preserve">Figure 4</w:t>
        </w:r>
      </w:hyperlink>
      <w:r>
        <w:t xml:space="preserve"> </w:t>
      </w:r>
      <w:r>
        <w:t xml:space="preserve">A). This result aligns with the output of the MBD model, where speciation rate estimated with exponential correlations with environmental variables also remained equal to 0.6 across the evolutionary history of the group (</w:t>
      </w:r>
      <w:hyperlink w:anchor="fig-diversification">
        <w:r>
          <w:rPr>
            <w:rStyle w:val="Hyperlink"/>
          </w:rPr>
          <w:t xml:space="preserve">Figure 4</w:t>
        </w:r>
      </w:hyperlink>
      <w:r>
        <w:t xml:space="preserve"> </w:t>
      </w:r>
      <w:r>
        <w:t xml:space="preserve">E), and was not found significantly associated with any of the variables (</w:t>
      </w:r>
      <w:r>
        <w:rPr>
          <w:b/>
          <w:bCs/>
        </w:rPr>
        <w:t xml:space="preserve">Figure Drivers</w:t>
      </w:r>
      <w:r>
        <w:t xml:space="preserve">). Conversely, the analyses conducted with the BDNN yielded a slightly different conclusion, as it provided evidence for significant speciation rate variation across lineages (Table S4).</w:t>
      </w:r>
    </w:p>
    <w:p>
      <w:pPr>
        <w:pStyle w:val="BodyText"/>
      </w:pPr>
      <w:r>
        <w:t xml:space="preserve">Positive net diversification rate until</w:t>
      </w:r>
      <w:r>
        <w:t xml:space="preserve"> </w:t>
      </w:r>
      <w:r>
        <w:rPr>
          <w:i/>
          <w:iCs/>
        </w:rPr>
        <w:t xml:space="preserve">ca</w:t>
      </w:r>
      <w:r>
        <w:t xml:space="preserve">. 6 Ma, decline and increase in extinction rate (cite figures accordingly).</w:t>
      </w:r>
    </w:p>
    <w:p>
      <w:pPr>
        <w:pStyle w:val="BodyText"/>
      </w:pPr>
      <w:r>
        <w:t xml:space="preserve">All DD architectures performed similarly, as long as they comprised at least one dense layer connecting the output of the LSTM layers to the output layer (</w:t>
      </w:r>
      <w:r>
        <w:rPr>
          <w:b/>
          <w:bCs/>
        </w:rPr>
        <w:t xml:space="preserve">Supp. Tab. 8</w:t>
      </w:r>
      <w:r>
        <w:t xml:space="preserve">).</w:t>
      </w:r>
    </w:p>
    <w:p>
      <w:pPr>
        <w:pStyle w:val="BodyText"/>
      </w:pPr>
      <w:r>
        <w:t xml:space="preserve">The coefficients of rate variations obtained for BDNN (resp. XX and XX) exceeded the thresholds inferred from analyses of 100 simulated datasets generated under a constant-rate birth-death model, matching our empirical data in terms of trait number, age of the clade and (approximately) number of species (resp. XX and XX). This therefore provides evidence for significant rate variations throughout the evolutionary history of Chinchilloidea.</w:t>
      </w:r>
    </w:p>
    <w:p>
      <w:pPr>
        <w:pStyle w:val="BodyText"/>
      </w:pPr>
      <w:r>
        <w:t xml:space="preserve">Speciation rate significantly differs across body size classes, with larger taxa achieving higher values (Fig. X and S5). According to the BDNN model, body size stands out as the first predictor explaining variations in speciation rate within Chinchilloidea, with a</w:t>
      </w:r>
      <w:r>
        <w:t xml:space="preserve"> </w:t>
      </w:r>
      <w:r>
        <w:rPr>
          <w:i/>
          <w:iCs/>
        </w:rPr>
        <w:t xml:space="preserve">ca</w:t>
      </w:r>
      <w:r>
        <w:t xml:space="preserve">. 2.5-fold change obtained between our two extrema (</w:t>
      </w:r>
      <w:r>
        <w:rPr>
          <w:i/>
          <w:iCs/>
        </w:rPr>
        <w:t xml:space="preserve">i</w:t>
      </w:r>
      <w:r>
        <w:t xml:space="preserve">.</w:t>
      </w:r>
      <w:r>
        <w:rPr>
          <w:i/>
          <w:iCs/>
        </w:rPr>
        <w:t xml:space="preserve">e</w:t>
      </w:r>
      <w:r>
        <w:t xml:space="preserve">., XS and XXL =&gt;</w:t>
      </w:r>
      <w:r>
        <w:t xml:space="preserve"> </w:t>
      </w:r>
      <w:r>
        <w:rPr>
          <w:b/>
          <w:bCs/>
        </w:rPr>
        <w:t xml:space="preserve">indicate on the violin plot</w:t>
      </w:r>
      <w:r>
        <w:t xml:space="preserve">).</w:t>
      </w:r>
    </w:p>
    <w:p>
      <w:pPr>
        <w:pStyle w:val="BodyText"/>
      </w:pPr>
      <w:r>
        <w:t xml:space="preserve">In our BDNN analyses, time is always ranked as the least important predictor, suggesting our environmental and trait variable effectively capture signals of rate variation.</w:t>
      </w:r>
    </w:p>
    <w:p>
      <w:pPr>
        <w:pStyle w:val="BodyText"/>
      </w:pPr>
      <w:r>
        <w:t xml:space="preserve">Higher extinction rates outside the tropics</w:t>
      </w:r>
    </w:p>
    <w:p>
      <w:pPr>
        <w:pStyle w:val="BodyText"/>
      </w:pPr>
      <w:r>
        <w:t xml:space="preserve">ADE</w:t>
      </w:r>
    </w:p>
    <w:bookmarkEnd w:id="36"/>
    <w:bookmarkStart w:id="37" w:name="side-notes"/>
    <w:p>
      <w:pPr>
        <w:pStyle w:val="Heading2"/>
      </w:pPr>
      <w:r>
        <w:t xml:space="preserve">Side notes</w:t>
      </w:r>
    </w:p>
    <w:p>
      <w:pPr>
        <w:pStyle w:val="FirstParagraph"/>
      </w:pPr>
      <w:r>
        <w:t xml:space="preserve">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pPr>
      <w:r>
        <w:t xml:space="preserve">Heterogeneity in lineage-specific diversification rates (example of lineages/groups of taxa).</w:t>
      </w:r>
    </w:p>
    <w:p>
      <w:pPr>
        <w:pStyle w:val="BodyText"/>
      </w:pPr>
      <w:r>
        <w:t xml:space="preserve">Also, tropical lineages appear to have overall lower origination and extinction rates, suggesting enhanced biotic turnover outside the tropics.</w:t>
      </w:r>
    </w:p>
    <w:p>
      <w:pPr>
        <w:pStyle w:val="BodyText"/>
      </w:pPr>
      <w:r>
        <w:t xml:space="preserve">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pPr>
      <w:r>
        <w:t xml:space="preserve">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pPr>
      <w:r>
        <w:t xml:space="preserve">Results robust to different network architectures.</w:t>
      </w:r>
    </w:p>
    <w:bookmarkEnd w:id="37"/>
    <w:bookmarkEnd w:id="38"/>
    <w:bookmarkStart w:id="47" w:name="discussion"/>
    <w:p>
      <w:pPr>
        <w:pStyle w:val="Heading1"/>
      </w:pPr>
      <w:r>
        <w:t xml:space="preserve">Discussion</w:t>
      </w:r>
    </w:p>
    <w:p>
      <w:pPr>
        <w:pStyle w:val="FirstParagraph"/>
      </w:pPr>
      <w:r>
        <w:t xml:space="preserve">ucetich2015 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(Nasif et al. 2013; 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(Nasif et al. 2013; 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n.d.)</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(n.d.)</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39" w:name="X1c85fa43b735b363d5a6571363e311d56701ff8"/>
    <w:p>
      <w:pPr>
        <w:pStyle w:val="Heading2"/>
      </w:pPr>
      <w:r>
        <w:t xml:space="preserve">A coupled diversity-disparity dynamic in the Chinchilloidea</w:t>
      </w:r>
    </w:p>
    <w:p>
      <w:pPr>
        <w:pStyle w:val="FirstParagraph"/>
      </w:pPr>
      <w:r>
        <w:t xml:space="preserve">The question of what governs clade-wise diversity dynamics remains hotly debated</w:t>
      </w:r>
      <w:r>
        <w:t xml:space="preserve"> </w:t>
      </w:r>
      <w:r>
        <w:t xml:space="preserve">(see Quintero et al. 2025 and literature therein)</w:t>
      </w:r>
      <w:r>
        <w:t xml:space="preserve">, and gains an additional layer of complexity when incorporating the dynamics of morphological disparity. Seminal works highlighted that clades could experience coordinated or decoupled diversity and disparity trajectories linked to biological diversification</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Here, our clade offers an example of coupled dynamics of disparity and diversity</w:t>
      </w:r>
      <w:r>
        <w:t xml:space="preserve"> </w:t>
      </w:r>
      <w:hyperlink w:anchor="fig-diversityBM">
        <w:r>
          <w:rPr>
            <w:rStyle w:val="Hyperlink"/>
          </w:rPr>
          <w:t xml:space="preserve">Figure 2</w:t>
        </w:r>
      </w:hyperlink>
      <w:r>
        <w:t xml:space="preserve">.</w:t>
      </w:r>
    </w:p>
    <w:p>
      <w:pPr>
        <w:pStyle w:val="BodyText"/>
      </w:pPr>
      <w:r>
        <w:t xml:space="preserve">Conspicuousness of the waxing-and-waning diversity pattern</w:t>
      </w:r>
      <w:r>
        <w:t xml:space="preserve"> </w:t>
      </w:r>
      <w:r>
        <w:t xml:space="preserve">(</w:t>
      </w:r>
      <w:r>
        <w:rPr>
          <w:i/>
          <w:iCs/>
        </w:rPr>
        <w:t xml:space="preserve">e</w:t>
      </w:r>
      <w:r>
        <w:t xml:space="preserve">.</w:t>
      </w:r>
      <w:r>
        <w:rPr>
          <w:i/>
          <w:iCs/>
        </w:rPr>
        <w:t xml:space="preserve">g</w:t>
      </w:r>
      <w:r>
        <w:t xml:space="preserve">., Foote 2007; Hohmann and Jarochowska 2019; Billaud et al. 2020; Quintero et al. 2025)</w:t>
      </w:r>
      <w:r>
        <w:t xml:space="preserve"> </w:t>
      </w:r>
      <m:oMath>
        <m:r>
          <m:rPr>
            <m:sty m:val="p"/>
          </m:rPr>
          <m:t>→</m:t>
        </m:r>
      </m:oMath>
      <w:r>
        <w:t xml:space="preserve"> </w:t>
      </w:r>
      <w:r>
        <w:rPr>
          <w:b/>
          <w:bCs/>
        </w:rPr>
        <w:t xml:space="preserve">read</w:t>
      </w:r>
      <w:r>
        <w:rPr>
          <w:b/>
          <w:bCs/>
        </w:rPr>
        <w:t xml:space="preserve"> </w:t>
      </w:r>
      <w:r>
        <w:rPr>
          <w:b/>
          <w:bCs/>
        </w:rPr>
        <w:t xml:space="preserve">(Foote 2007; Hohmann and Jarochowska 2019)</w:t>
      </w:r>
    </w:p>
    <w:p>
      <w:pPr>
        <w:pStyle w:val="BodyText"/>
      </w:pPr>
      <w:r>
        <w:t xml:space="preserve">Could the phylogenetic scale affect our perception of coupling/decoupling between diversity and disparity? Intra super-family: coupled. Inter-superfamilies: decoupled</w:t>
      </w:r>
      <w:r>
        <w:t xml:space="preserve"> </w:t>
      </w:r>
      <w:r>
        <w:t xml:space="preserve">(Carrillo et al. 2026)</w:t>
      </w:r>
    </w:p>
    <w:p>
      <w:pPr>
        <w:pStyle w:val="BodyText"/>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bookmarkEnd w:id="39"/>
    <w:bookmarkStart w:id="42" w:name="drivers"/>
    <w:p>
      <w:pPr>
        <w:pStyle w:val="Heading2"/>
      </w:pPr>
      <w:r>
        <w:t xml:space="preserve">Drivers</w:t>
      </w:r>
    </w:p>
    <w:p>
      <w:pPr>
        <w:pStyle w:val="FirstParagraph"/>
      </w:pPr>
      <w:r>
        <w:t xml:space="preserve">Absence of diversity-dependent effect raised by</w:t>
      </w:r>
      <w:r>
        <w:t xml:space="preserve"> </w:t>
      </w:r>
      <w:r>
        <w:t xml:space="preserve">Quintero et al. (2025)</w:t>
      </w:r>
    </w:p>
    <w:p>
      <w:pPr>
        <w:pStyle w:val="BodyText"/>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rPr>
          <w:b/>
          <w:bCs/>
        </w:rPr>
        <w:t xml:space="preserve">Cope’s rule: what drives patters of size increase throughout the history of the clades?</w:t>
      </w:r>
    </w:p>
    <w:bookmarkStart w:id="40"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0"/>
    <w:bookmarkStart w:id="41"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p>
      <w:pPr>
        <w:pStyle w:val="BodyText"/>
      </w:pPr>
      <w:r>
        <w:t xml:space="preserve">Giants either from high or low latitudes found in association with estuarine/deltaic forested environments</w:t>
      </w:r>
      <w:r>
        <w:t xml:space="preserve"> </w:t>
      </w:r>
      <w:r>
        <w:t xml:space="preserve">(Carrillo et al. 2026 and literature therein)</w:t>
      </w:r>
    </w:p>
    <w:bookmarkEnd w:id="41"/>
    <w:bookmarkEnd w:id="42"/>
    <w:bookmarkStart w:id="43" w:name="body-mass"/>
    <w:p>
      <w:pPr>
        <w:pStyle w:val="Heading2"/>
      </w:pPr>
      <w:r>
        <w:t xml:space="preserve">Body mass</w:t>
      </w:r>
    </w:p>
    <w:p>
      <w:pPr>
        <w:pStyle w:val="FirstParagraph"/>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bookmarkEnd w:id="43"/>
    <w:bookmarkStart w:id="46" w:name="limitations-and-perspectives"/>
    <w:p>
      <w:pPr>
        <w:pStyle w:val="Heading2"/>
      </w:pPr>
      <w:r>
        <w:t xml:space="preserve">Limitations and perspectives</w:t>
      </w:r>
    </w:p>
    <w:bookmarkStart w:id="44" w:name="taxonomic-uncertainties"/>
    <w:p>
      <w:pPr>
        <w:pStyle w:val="Heading3"/>
      </w:pPr>
      <w:r>
        <w:t xml:space="preserve">Taxonomic uncertainties</w:t>
      </w:r>
    </w:p>
    <w:p>
      <w:pPr>
        <w:pStyle w:val="FirstParagraph"/>
      </w:pPr>
      <w:r>
        <w:t xml:space="preserve">In the framework of Chinchilloidea, taxonomic uncertainties regarding key taxa (or faunas) surely hampers our appreciation of their evolutionary history.</w:t>
      </w:r>
    </w:p>
    <w:p>
      <w:pPr>
        <w:pStyle w:val="BodyText"/>
      </w:pPr>
      <w:r>
        <w:t xml:space="preserve">‘</w:t>
      </w:r>
      <w:r>
        <w:t xml:space="preserve">Mesopotamiense</w:t>
      </w:r>
      <w:r>
        <w:t xml:space="preserve">’</w:t>
      </w:r>
      <w:r>
        <w:t xml:space="preserve"> </w:t>
      </w:r>
      <w:r>
        <w:t xml:space="preserve">fauna</w:t>
      </w:r>
      <w:r>
        <w:t xml:space="preserve"> </w:t>
      </w:r>
      <w:r>
        <w:t xml:space="preserve">(Candela 2005; Candela et al. 2013-)</w:t>
      </w:r>
      <w:r>
        <w:t xml:space="preserve"> </w:t>
      </w:r>
      <w:r>
        <w:t xml:space="preserve">is mostly made of singletons. Large endemism, as discussed by</w:t>
      </w:r>
      <w:r>
        <w:t xml:space="preserve"> </w:t>
      </w:r>
      <w:r>
        <w:t xml:space="preserve">Candela et al. (2013)</w:t>
      </w:r>
      <w:r>
        <w:t xml:space="preserve">, but our extinction rate inflation pattern greatly relies on it (</w:t>
      </w:r>
      <w:r>
        <w:rPr>
          <w:b/>
          <w:bCs/>
        </w:rPr>
        <w:t xml:space="preserve">Fig. SX</w:t>
      </w:r>
      <w:r>
        <w:t xml:space="preserve">)</w:t>
      </w:r>
    </w:p>
    <w:p>
      <w:pPr>
        <w:pStyle w:val="BodyText"/>
      </w:pPr>
      <w:r>
        <w:t xml:space="preserve">Lack of phylogenetic framework, hence ignoring phylogenetic relatedness, though proven relevant in previous analyses as we cannot exclude that the relationship that we find between traits (here body size) and diversification rates to be an artefact of phylogenetic inertia</w:t>
      </w:r>
      <w:r>
        <w:t xml:space="preserve"> </w:t>
      </w:r>
      <w:r>
        <w:t xml:space="preserve">(</w:t>
      </w:r>
      <w:r>
        <w:rPr>
          <w:i/>
          <w:iCs/>
        </w:rPr>
        <w:t xml:space="preserve">e</w:t>
      </w:r>
      <w:r>
        <w:t xml:space="preserve">.</w:t>
      </w:r>
      <w:r>
        <w:rPr>
          <w:i/>
          <w:iCs/>
        </w:rPr>
        <w:t xml:space="preserve">g</w:t>
      </w:r>
      <w:r>
        <w:t xml:space="preserve">., 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r>
        <w:t xml:space="preserve"> </w:t>
      </w:r>
      <w:r>
        <w:rPr>
          <w:b/>
          <w:bCs/>
        </w:rPr>
        <w:t xml:space="preserve">work in progress</w:t>
      </w:r>
      <w:r>
        <w:t xml:space="preserve">)</w:t>
      </w:r>
      <w:r>
        <w:t xml:space="preserve">.</w:t>
      </w:r>
    </w:p>
    <w:p>
      <w:pPr>
        <w:pStyle w:val="BodyText"/>
      </w:pPr>
      <w:r>
        <w:t xml:space="preserve">Phylogenetic framework:</w:t>
      </w:r>
    </w:p>
    <w:p>
      <w:pPr>
        <w:pStyle w:val="Compact"/>
        <w:numPr>
          <w:ilvl w:val="0"/>
          <w:numId w:val="1001"/>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1"/>
        </w:numPr>
      </w:pPr>
      <w:r>
        <w:t xml:space="preserve">Assess whether larger (or larger-crowned) species have different pace of diversification (SSE model)</w:t>
      </w:r>
    </w:p>
    <w:bookmarkEnd w:id="44"/>
    <w:bookmarkStart w:id="45"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5"/>
    <w:bookmarkEnd w:id="46"/>
    <w:bookmarkEnd w:id="47"/>
    <w:bookmarkStart w:id="48" w:name="conclusions"/>
    <w:p>
      <w:pPr>
        <w:pStyle w:val="Heading1"/>
      </w:pPr>
      <w:r>
        <w:t xml:space="preserve">Conclusions</w:t>
      </w:r>
    </w:p>
    <w:bookmarkEnd w:id="48"/>
    <w:bookmarkStart w:id="49"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49"/>
    <w:bookmarkStart w:id="281" w:name="references"/>
    <w:p>
      <w:pPr>
        <w:pStyle w:val="Heading1"/>
      </w:pPr>
      <w:r>
        <w:t xml:space="preserve">References</w:t>
      </w:r>
    </w:p>
    <w:bookmarkStart w:id="280" w:name="refs"/>
    <w:bookmarkStart w:id="51" w:name="ref-álvarez2017"/>
    <w:p>
      <w:pPr>
        <w:pStyle w:val="Bibliography"/>
      </w:pPr>
      <w:r>
        <w:t xml:space="preserve">Álvarez, A., R. L. M. Arévalo, and D. H. Verzi. 2017.</w:t>
      </w:r>
      <w:r>
        <w:t xml:space="preserve"> </w:t>
      </w:r>
      <w:hyperlink r:id="rId50">
        <w:r>
          <w:rPr>
            <w:rStyle w:val="Hyperlink"/>
          </w:rPr>
          <w:t xml:space="preserve">Diversification patterns and size evolution in caviomorph rodents</w:t>
        </w:r>
      </w:hyperlink>
      <w:r>
        <w:t xml:space="preserve">. Biological Journal of the Linnean Society 121:907–922.</w:t>
      </w:r>
    </w:p>
    <w:bookmarkEnd w:id="51"/>
    <w:bookmarkStart w:id="53" w:name="ref-antoine2025"/>
    <w:p>
      <w:pPr>
        <w:pStyle w:val="Bibliography"/>
      </w:pPr>
      <w:r>
        <w:t xml:space="preserve">Antoine, P.-O., D. Becker, L. Pandolfi, and D. Geraads. 2025.</w:t>
      </w:r>
      <w:r>
        <w:t xml:space="preserve"> </w:t>
      </w:r>
      <w:hyperlink r:id="rId52">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5"/>
    <w:bookmarkStart w:id="57" w:name="ref-antonelli2009"/>
    <w:p>
      <w:pPr>
        <w:pStyle w:val="Bibliography"/>
      </w:pPr>
      <w:r>
        <w:t xml:space="preserve">Antonelli, A., J. A. A. Nylander, C. Persson, and I. Sanmartín. 2009.</w:t>
      </w:r>
      <w:r>
        <w:t xml:space="preserve"> </w:t>
      </w:r>
      <w:hyperlink r:id="rId56">
        <w:r>
          <w:rPr>
            <w:rStyle w:val="Hyperlink"/>
          </w:rPr>
          <w:t xml:space="preserve">Tracing the impact of the andean uplift on neotropical plant evolution</w:t>
        </w:r>
      </w:hyperlink>
      <w:r>
        <w:t xml:space="preserve">. Proceedings of the National Academy of Sciences 106:9749–9754.</w:t>
      </w:r>
    </w:p>
    <w:bookmarkEnd w:id="57"/>
    <w:bookmarkStart w:id="59" w:name="ref-armella2026"/>
    <w:p>
      <w:pPr>
        <w:pStyle w:val="Bibliography"/>
      </w:pPr>
      <w:r>
        <w:t xml:space="preserve">Armella, M. A., and D. A. Croft. 2026.</w:t>
      </w:r>
      <w:r>
        <w:t xml:space="preserve"> </w:t>
      </w:r>
      <w:hyperlink r:id="rId58">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59"/>
    <w:bookmarkStart w:id="61" w:name="ref-balseiro2025"/>
    <w:p>
      <w:pPr>
        <w:pStyle w:val="Bibliography"/>
      </w:pPr>
      <w:r>
        <w:t xml:space="preserve">Balseiro, D., F. Serra, and A. Bignon. 2025. Extinction drives both expansion and contraction of morphological disparity in trilobites. Proceedings B, doi:</w:t>
      </w:r>
      <w:r>
        <w:t xml:space="preserve"> </w:t>
      </w:r>
      <w:hyperlink r:id="rId60">
        <w:r>
          <w:rPr>
            <w:rStyle w:val="Hyperlink"/>
          </w:rPr>
          <w:t xml:space="preserve">10.1098/rspb.2025.1418</w:t>
        </w:r>
      </w:hyperlink>
      <w:r>
        <w:t xml:space="preserve">.</w:t>
      </w:r>
    </w:p>
    <w:bookmarkEnd w:id="61"/>
    <w:bookmarkStart w:id="63" w:name="ref-barnosky2001"/>
    <w:p>
      <w:pPr>
        <w:pStyle w:val="Bibliography"/>
      </w:pPr>
      <w:r>
        <w:t xml:space="preserve">Barnosky, A. D. 2001.</w:t>
      </w:r>
      <w:r>
        <w:t xml:space="preserve"> </w:t>
      </w:r>
      <w:hyperlink r:id="rId62">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3"/>
    <w:bookmarkStart w:id="65" w:name="ref-benton2009"/>
    <w:p>
      <w:pPr>
        <w:pStyle w:val="Bibliography"/>
      </w:pPr>
      <w:r>
        <w:t xml:space="preserve">Benton, M. J. 2009.</w:t>
      </w:r>
      <w:r>
        <w:t xml:space="preserve"> </w:t>
      </w:r>
      <w:hyperlink r:id="rId64">
        <w:r>
          <w:rPr>
            <w:rStyle w:val="Hyperlink"/>
          </w:rPr>
          <w:t xml:space="preserve">The red queen and the court jester: Species diversity and the role of biotic and abiotic factors through time</w:t>
        </w:r>
      </w:hyperlink>
      <w:r>
        <w:t xml:space="preserve">. Science 323:728–732.</w:t>
      </w:r>
    </w:p>
    <w:bookmarkEnd w:id="65"/>
    <w:bookmarkStart w:id="67"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6">
        <w:r>
          <w:rPr>
            <w:rStyle w:val="Hyperlink"/>
          </w:rPr>
          <w:t xml:space="preserve">A heavyweight early whale pushes the boundaries of vertebrate morphology</w:t>
        </w:r>
      </w:hyperlink>
      <w:r>
        <w:t xml:space="preserve">. Nature 620:824–829.</w:t>
      </w:r>
    </w:p>
    <w:bookmarkEnd w:id="67"/>
    <w:bookmarkStart w:id="68"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68"/>
    <w:bookmarkStart w:id="70" w:name="ref-billaud2020"/>
    <w:p>
      <w:pPr>
        <w:pStyle w:val="Bibliography"/>
      </w:pPr>
      <w:r>
        <w:t xml:space="preserve">Billaud, O., D. S. Moen, T. L. Parsons, and H. Morlon. 2020.</w:t>
      </w:r>
      <w:r>
        <w:t xml:space="preserve"> </w:t>
      </w:r>
      <w:hyperlink r:id="rId69">
        <w:r>
          <w:rPr>
            <w:rStyle w:val="Hyperlink"/>
          </w:rPr>
          <w:t xml:space="preserve">Estimating diversity through time using molecular phylogenies: Old and species-poor frog families are the remnants of a diverse past</w:t>
        </w:r>
      </w:hyperlink>
      <w:r>
        <w:t xml:space="preserve">. Systematic Biology 69:363–383.</w:t>
      </w:r>
    </w:p>
    <w:bookmarkEnd w:id="70"/>
    <w:bookmarkStart w:id="72" w:name="ref-billet2009"/>
    <w:p>
      <w:pPr>
        <w:pStyle w:val="Bibliography"/>
      </w:pPr>
      <w:r>
        <w:t xml:space="preserve">Billet, G., C. Blondel, and C. de Muizon. 2009.</w:t>
      </w:r>
      <w:r>
        <w:t xml:space="preserve"> </w:t>
      </w:r>
      <w:hyperlink r:id="rId71">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2"/>
    <w:bookmarkStart w:id="74" w:name="ref-boessenecker2019"/>
    <w:p>
      <w:pPr>
        <w:pStyle w:val="Bibliography"/>
      </w:pPr>
      <w:r>
        <w:t xml:space="preserve">Boessenecker, R. W., D. J. Ehret, D. J. Long, M. Churchill, E. Martin, and S. J. Boessenecker. 2019.</w:t>
      </w:r>
      <w:r>
        <w:t xml:space="preserve"> </w:t>
      </w:r>
      <w:hyperlink r:id="rId73">
        <w:r>
          <w:rPr>
            <w:rStyle w:val="Hyperlink"/>
          </w:rPr>
          <w:t xml:space="preserve">The Early Pliocene extinction of the mega-toothed shark Otodus megalodon: a view from the eastern North Pacific</w:t>
        </w:r>
      </w:hyperlink>
      <w:r>
        <w:t xml:space="preserve">. PeerJ 7:e6088.</w:t>
      </w:r>
    </w:p>
    <w:bookmarkEnd w:id="74"/>
    <w:bookmarkStart w:id="76" w:name="ref-boisserie_phylogeny_2005"/>
    <w:p>
      <w:pPr>
        <w:pStyle w:val="Bibliography"/>
      </w:pPr>
      <w:r>
        <w:t xml:space="preserve">Boisserie, J.-R. 2005.</w:t>
      </w:r>
      <w:r>
        <w:t xml:space="preserve"> </w:t>
      </w:r>
      <w:hyperlink r:id="rId75">
        <w:r>
          <w:rPr>
            <w:rStyle w:val="Hyperlink"/>
          </w:rPr>
          <w:t xml:space="preserve">The phylogeny and taxonomy of hippopotamidae (mammalia: Artiodactyla): A review based on morphology and cladistic analysis</w:t>
        </w:r>
      </w:hyperlink>
      <w:r>
        <w:t xml:space="preserve">. Zool J Linn Soc 143:1–26.</w:t>
      </w:r>
    </w:p>
    <w:bookmarkEnd w:id="76"/>
    <w:bookmarkStart w:id="78" w:name="ref-boisserie2005"/>
    <w:p>
      <w:pPr>
        <w:pStyle w:val="Bibliography"/>
      </w:pPr>
      <w:r>
        <w:t xml:space="preserve">Boisserie, J.-R., F. Lihoreau, and M. Brunet. 2005.</w:t>
      </w:r>
      <w:r>
        <w:t xml:space="preserve"> </w:t>
      </w:r>
      <w:hyperlink r:id="rId77">
        <w:r>
          <w:rPr>
            <w:rStyle w:val="Hyperlink"/>
          </w:rPr>
          <w:t xml:space="preserve">The position of hippopotamidae within cetartiodactyla</w:t>
        </w:r>
      </w:hyperlink>
      <w:r>
        <w:t xml:space="preserve">. Proceedings of the National Academy of Sciences 102:1537–1541.</w:t>
      </w:r>
    </w:p>
    <w:bookmarkEnd w:id="78"/>
    <w:bookmarkStart w:id="80" w:name="ref-boivin2024"/>
    <w:p>
      <w:pPr>
        <w:pStyle w:val="Bibliography"/>
      </w:pPr>
      <w:r>
        <w:t xml:space="preserve">Boivin, M., A. Álvarez, M. D. Ercoli, S. R. Moyano, J. S. Salgado-Ahumada, A. M. O. Tejerina, and G. H. Cassini. 2024.</w:t>
      </w:r>
      <w:r>
        <w:t xml:space="preserve"> </w:t>
      </w:r>
      <w:hyperlink r:id="rId79">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0"/>
    <w:bookmarkStart w:id="82" w:name="ref-boivin2019"/>
    <w:p>
      <w:pPr>
        <w:pStyle w:val="Bibliography"/>
      </w:pPr>
      <w:r>
        <w:t xml:space="preserve">Boivin, M., L. Marivaux, and P.-O. Antoine. 2019.</w:t>
      </w:r>
      <w:r>
        <w:t xml:space="preserve"> </w:t>
      </w:r>
      <w:hyperlink r:id="rId81">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2"/>
    <w:bookmarkStart w:id="84"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3">
        <w:r>
          <w:rPr>
            <w:rStyle w:val="Hyperlink"/>
          </w:rPr>
          <w:t xml:space="preserve">The emergence and demise of giant sloths</w:t>
        </w:r>
      </w:hyperlink>
      <w:r>
        <w:t xml:space="preserve">. Science 388:864–868.</w:t>
      </w:r>
    </w:p>
    <w:bookmarkEnd w:id="84"/>
    <w:bookmarkStart w:id="86" w:name="ref-boschman2021"/>
    <w:p>
      <w:pPr>
        <w:pStyle w:val="Bibliography"/>
      </w:pPr>
      <w:r>
        <w:t xml:space="preserve">Boschman, L. M. 2021.</w:t>
      </w:r>
      <w:r>
        <w:t xml:space="preserve"> </w:t>
      </w:r>
      <w:hyperlink r:id="rId85">
        <w:r>
          <w:rPr>
            <w:rStyle w:val="Hyperlink"/>
          </w:rPr>
          <w:t xml:space="preserve">Andean mountain building since the late cretaceous: A paleoelevation reconstruction</w:t>
        </w:r>
      </w:hyperlink>
      <w:r>
        <w:t xml:space="preserve">. Earth-Science Reviews 220:103640.</w:t>
      </w:r>
    </w:p>
    <w:bookmarkEnd w:id="86"/>
    <w:bookmarkStart w:id="88" w:name="ref-brandoni2016"/>
    <w:p>
      <w:pPr>
        <w:pStyle w:val="Bibliography"/>
      </w:pPr>
      <w:r>
        <w:t xml:space="preserve">Brandoni, D., L. G. Ruiz, M. F. Tejedor, G. Martin, and J. G. Fleagle. 2016.</w:t>
      </w:r>
      <w:r>
        <w:t xml:space="preserve"> </w:t>
      </w:r>
      <w:hyperlink r:id="rId87">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88"/>
    <w:bookmarkStart w:id="90" w:name="ref-brée2022"/>
    <w:p>
      <w:pPr>
        <w:pStyle w:val="Bibliography"/>
      </w:pPr>
      <w:r>
        <w:t xml:space="preserve">Brée, B., F. L. Condamine, and G. Guinot. 2022.</w:t>
      </w:r>
      <w:r>
        <w:t xml:space="preserve"> </w:t>
      </w:r>
      <w:hyperlink r:id="rId89">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0"/>
    <w:bookmarkStart w:id="92" w:name="ref-buffan2025"/>
    <w:p>
      <w:pPr>
        <w:pStyle w:val="Bibliography"/>
      </w:pPr>
      <w:r>
        <w:t xml:space="preserve">Buffan, L., F. L. Condamine, N. S. Stutz, F. Pujos, P.-O. Antoine, and L. Marivaux. 2025.</w:t>
      </w:r>
      <w:r>
        <w:t xml:space="preserve"> </w:t>
      </w:r>
      <w:hyperlink r:id="rId91">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92"/>
    <w:bookmarkStart w:id="94"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93">
        <w:r>
          <w:rPr>
            <w:rStyle w:val="Hyperlink"/>
          </w:rPr>
          <w:t xml:space="preserve">10.1101/2025.02.27.640393</w:t>
        </w:r>
      </w:hyperlink>
      <w:r>
        <w:t xml:space="preserve">. bioRxiv.</w:t>
      </w:r>
    </w:p>
    <w:bookmarkEnd w:id="94"/>
    <w:bookmarkStart w:id="95"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5"/>
    <w:bookmarkStart w:id="97" w:name="ref-candela2013"/>
    <w:p>
      <w:pPr>
        <w:pStyle w:val="Bibliography"/>
      </w:pPr>
      <w:r>
        <w:t xml:space="preserve">Candela, A. M., G. H. Cassini, and N. L. Nasif. 2013.</w:t>
      </w:r>
      <w:r>
        <w:t xml:space="preserve"> </w:t>
      </w:r>
      <w:hyperlink r:id="rId96">
        <w:r>
          <w:rPr>
            <w:rStyle w:val="Hyperlink"/>
          </w:rPr>
          <w:t xml:space="preserve">Fractal dimension and cheek teeth crown complexity in the giant rodent eumegamys paranensis</w:t>
        </w:r>
      </w:hyperlink>
      <w:r>
        <w:t xml:space="preserve">. Lethaia 46:369–377.</w:t>
      </w:r>
    </w:p>
    <w:bookmarkEnd w:id="97"/>
    <w:bookmarkStart w:id="99" w:name="ref-cantalapiedra2021"/>
    <w:p>
      <w:pPr>
        <w:pStyle w:val="Bibliography"/>
      </w:pPr>
      <w:r>
        <w:t xml:space="preserve">Cantalapiedra, J. L., Ó. Sanisidro, H. Zhang, M. T. Alberdi, J. L. Prado, F. Blanco, and J. Saarinen. 2021.</w:t>
      </w:r>
      <w:r>
        <w:t xml:space="preserve"> </w:t>
      </w:r>
      <w:hyperlink r:id="rId98">
        <w:r>
          <w:rPr>
            <w:rStyle w:val="Hyperlink"/>
          </w:rPr>
          <w:t xml:space="preserve">The rise and fall of proboscidean ecological diversity</w:t>
        </w:r>
      </w:hyperlink>
      <w:r>
        <w:t xml:space="preserve">. Nature Ecology &amp; Evolution 5:1266–1272.</w:t>
      </w:r>
    </w:p>
    <w:bookmarkEnd w:id="99"/>
    <w:bookmarkStart w:id="101" w:name="ref-carrillo_giant_2015"/>
    <w:p>
      <w:pPr>
        <w:pStyle w:val="Bibliography"/>
      </w:pPr>
      <w:r>
        <w:t xml:space="preserve">Carrillo, J. D., and M. R. Sánchez-Villagra. 2015.</w:t>
      </w:r>
      <w:r>
        <w:t xml:space="preserve"> </w:t>
      </w:r>
      <w:hyperlink r:id="rId100">
        <w:r>
          <w:rPr>
            <w:rStyle w:val="Hyperlink"/>
          </w:rPr>
          <w:t xml:space="preserve">Giant rodents from the neotropics: Diversity and dental variation of late miocene neoepiblemid remains from urumaco, venezuela</w:t>
        </w:r>
      </w:hyperlink>
      <w:r>
        <w:t xml:space="preserve">. Paläontol Z 89:1057–1071.</w:t>
      </w:r>
    </w:p>
    <w:bookmarkEnd w:id="101"/>
    <w:bookmarkStart w:id="103" w:name="ref-carrillo2026"/>
    <w:p>
      <w:pPr>
        <w:pStyle w:val="Bibliography"/>
      </w:pPr>
      <w:r>
        <w:t xml:space="preserve">Carrillo, J. D., M. F. Torres Jimenez, F. J. Urrea-Barreto, K. Pino, R. B. Cooper, A. Antonelli, C. D. Bacon, S. Faurby, and D. Silvestro. 2026.</w:t>
      </w:r>
      <w:r>
        <w:t xml:space="preserve"> </w:t>
      </w:r>
      <w:hyperlink r:id="rId102">
        <w:r>
          <w:rPr>
            <w:rStyle w:val="Hyperlink"/>
          </w:rPr>
          <w:t xml:space="preserve">Decoupled diversity and disparity after faunistic turnover in caviomorph rodents</w:t>
        </w:r>
      </w:hyperlink>
      <w:r>
        <w:t xml:space="preserve">. Proceedings of the Royal Society B: Biological Sciences 293:20252586.</w:t>
      </w:r>
    </w:p>
    <w:bookmarkEnd w:id="103"/>
    <w:bookmarkStart w:id="104" w:name="ref-carrillo"/>
    <w:p>
      <w:pPr>
        <w:pStyle w:val="Bibliography"/>
      </w:pPr>
      <w:r>
        <w:t xml:space="preserve">Carrillo, J. D., M. F. Torres Jiménez, F. J. Urrea-Barreto, A. Antonelli, C. Bacon, S. Faurby, and D. Silvestro. n.d. Decoupled diversity and disparity after faunistic turnover in caviomorph rodents.</w:t>
      </w:r>
    </w:p>
    <w:bookmarkEnd w:id="104"/>
    <w:bookmarkStart w:id="106" w:name="ref-chiarenza2020"/>
    <w:p>
      <w:pPr>
        <w:pStyle w:val="Bibliography"/>
      </w:pPr>
      <w:r>
        <w:t xml:space="preserve">Chiarenza, A. A., A. Farnsworth, P. D. Mannion, D. J. Lunt, P. J. Valdes, J. V. Morgan, and P. A. Allison. 2020.</w:t>
      </w:r>
      <w:r>
        <w:t xml:space="preserve"> </w:t>
      </w:r>
      <w:hyperlink r:id="rId105">
        <w:r>
          <w:rPr>
            <w:rStyle w:val="Hyperlink"/>
          </w:rPr>
          <w:t xml:space="preserve">Asteroid impact, not volcanism, caused the end-cretaceous dinosaur extinction</w:t>
        </w:r>
      </w:hyperlink>
      <w:r>
        <w:t xml:space="preserve">. Proceedings of the National Academy of Sciences 117:17084–17093.</w:t>
      </w:r>
    </w:p>
    <w:bookmarkEnd w:id="106"/>
    <w:bookmarkStart w:id="108" w:name="ref-cohen2025"/>
    <w:p>
      <w:pPr>
        <w:pStyle w:val="Bibliography"/>
      </w:pPr>
      <w:r>
        <w:t xml:space="preserve">Cohen, K., D. Harper, P. Gibbard, and N. Car. 2025.</w:t>
      </w:r>
      <w:r>
        <w:t xml:space="preserve"> </w:t>
      </w:r>
      <w:hyperlink r:id="rId107">
        <w:r>
          <w:rPr>
            <w:rStyle w:val="Hyperlink"/>
          </w:rPr>
          <w:t xml:space="preserve">The ICS international chronostratigraphic chart this decade</w:t>
        </w:r>
      </w:hyperlink>
      <w:r>
        <w:t xml:space="preserve">. Episodes Journal of International Geoscience 48:105–115.</w:t>
      </w:r>
    </w:p>
    <w:bookmarkEnd w:id="108"/>
    <w:bookmarkStart w:id="110" w:name="ref-condamine2018"/>
    <w:p>
      <w:pPr>
        <w:pStyle w:val="Bibliography"/>
      </w:pPr>
      <w:r>
        <w:t xml:space="preserve">Condamine, F. L., J. Rolland, S. Höhna, F. A. H. Sperling, and I. Sanmartín. 2018.</w:t>
      </w:r>
      <w:r>
        <w:t xml:space="preserve"> </w:t>
      </w:r>
      <w:hyperlink r:id="rId109">
        <w:r>
          <w:rPr>
            <w:rStyle w:val="Hyperlink"/>
          </w:rPr>
          <w:t xml:space="preserve">Testing the role of the red queen and court jester as drivers of the macroevolution of apollo butterflies</w:t>
        </w:r>
      </w:hyperlink>
      <w:r>
        <w:t xml:space="preserve">. Systematic Biology 67:940–964.</w:t>
      </w:r>
    </w:p>
    <w:bookmarkEnd w:id="110"/>
    <w:bookmarkStart w:id="112" w:name="ref-condamine2019"/>
    <w:p>
      <w:pPr>
        <w:pStyle w:val="Bibliography"/>
      </w:pPr>
      <w:r>
        <w:t xml:space="preserve">Condamine, F. L., J. Rolland, and H. Morlon. 2019a.</w:t>
      </w:r>
      <w:r>
        <w:t xml:space="preserve"> </w:t>
      </w:r>
      <w:hyperlink r:id="rId111">
        <w:r>
          <w:rPr>
            <w:rStyle w:val="Hyperlink"/>
          </w:rPr>
          <w:t xml:space="preserve">Assessing the causes of diversification slowdowns: temperature-dependent and diversity-dependent models receive equivalent support</w:t>
        </w:r>
      </w:hyperlink>
      <w:r>
        <w:t xml:space="preserve">. Ecology Letters 22:1900–1912.</w:t>
      </w:r>
    </w:p>
    <w:bookmarkEnd w:id="112"/>
    <w:bookmarkStart w:id="114" w:name="ref-condamine_climate_2019"/>
    <w:p>
      <w:pPr>
        <w:pStyle w:val="Bibliography"/>
      </w:pPr>
      <w:r>
        <w:t xml:space="preserve">Condamine, F. L., J. Romieu, and G. Guinot. 2019b.</w:t>
      </w:r>
      <w:r>
        <w:t xml:space="preserve"> </w:t>
      </w:r>
      <w:hyperlink r:id="rId113">
        <w:r>
          <w:rPr>
            <w:rStyle w:val="Hyperlink"/>
          </w:rPr>
          <w:t xml:space="preserve">Climate cooling and clade competition likely drove the decline of lamniform sharks</w:t>
        </w:r>
      </w:hyperlink>
      <w:r>
        <w:t xml:space="preserve">. Proc. Nat. Acad. Sc. U.S.A 116. Proceedings of the National Academy of Sciences.</w:t>
      </w:r>
    </w:p>
    <w:bookmarkEnd w:id="114"/>
    <w:bookmarkStart w:id="116" w:name="ref-condamine2020"/>
    <w:p>
      <w:pPr>
        <w:pStyle w:val="Bibliography"/>
      </w:pPr>
      <w:r>
        <w:t xml:space="preserve">Condamine, F. L., D. Silvestro, E. B. Koppelhus, and A. Antonelli. 2020.</w:t>
      </w:r>
      <w:r>
        <w:t xml:space="preserve"> </w:t>
      </w:r>
      <w:hyperlink r:id="rId115">
        <w:r>
          <w:rPr>
            <w:rStyle w:val="Hyperlink"/>
          </w:rPr>
          <w:t xml:space="preserve">The rise of angiosperms pushed conifers to decline during global cooling</w:t>
        </w:r>
      </w:hyperlink>
      <w:r>
        <w:t xml:space="preserve">. Proceedings of the National Academy of Sciences 117:28867–28875.</w:t>
      </w:r>
    </w:p>
    <w:bookmarkEnd w:id="116"/>
    <w:bookmarkStart w:id="118" w:name="ref-cooper2025"/>
    <w:p>
      <w:pPr>
        <w:pStyle w:val="Bibliography"/>
      </w:pPr>
      <w:r>
        <w:t xml:space="preserve">Cooper, R. B., B. J. Allen, and D. Silvestro. 2025.</w:t>
      </w:r>
      <w:r>
        <w:t xml:space="preserve"> </w:t>
      </w:r>
      <w:hyperlink r:id="rId117">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8"/>
    <w:bookmarkStart w:id="120" w:name="ref-cooper2024"/>
    <w:p>
      <w:pPr>
        <w:pStyle w:val="Bibliography"/>
      </w:pPr>
      <w:r>
        <w:t xml:space="preserve">Cooper, R. B., J. T. Flannery-Sutherland, and D. Silvestro. 2024.</w:t>
      </w:r>
      <w:r>
        <w:t xml:space="preserve"> </w:t>
      </w:r>
      <w:hyperlink r:id="rId119">
        <w:r>
          <w:rPr>
            <w:rStyle w:val="Hyperlink"/>
          </w:rPr>
          <w:t xml:space="preserve">DeepDive: estimating global biodiversity patterns through time using deep learning</w:t>
        </w:r>
      </w:hyperlink>
      <w:r>
        <w:t xml:space="preserve">. Nature Communications 15:4199.</w:t>
      </w:r>
    </w:p>
    <w:bookmarkEnd w:id="120"/>
    <w:bookmarkStart w:id="122" w:name="ref-cuitiño2021"/>
    <w:p>
      <w:pPr>
        <w:pStyle w:val="Bibliography"/>
      </w:pPr>
      <w:r>
        <w:t xml:space="preserve">Cuitiño, J. I., M. Sol Raigemborn, M. Susana Bargo, S. F. Vizcaíno, N. A. Muñoz, M. J. Kohn, and R. F. Kay. 2021.</w:t>
      </w:r>
      <w:r>
        <w:t xml:space="preserve"> </w:t>
      </w:r>
      <w:hyperlink r:id="rId121">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2"/>
    <w:bookmarkStart w:id="124" w:name="ref-dacunha2023"/>
    <w:p>
      <w:pPr>
        <w:pStyle w:val="Bibliography"/>
      </w:pPr>
      <w:r>
        <w:t xml:space="preserve">Da Cunha, L., L. W. Viñola-López, R. D. E. MacPhee, L. Kerber, J. Vélez-Juarbe, P.-O. Antoine, M. Boivin, L. Hautier, R. Lebrun, L. Marivaux, and P.-H. Fabre. 2023.</w:t>
      </w:r>
      <w:r>
        <w:t xml:space="preserve"> </w:t>
      </w:r>
      <w:hyperlink r:id="rId123">
        <w:r>
          <w:rPr>
            <w:rStyle w:val="Hyperlink"/>
          </w:rPr>
          <w:t xml:space="preserve">The inner ear of caviomorph rodents: Phylogenetic implications and application to extinct West Indian taxa</w:t>
        </w:r>
      </w:hyperlink>
      <w:r>
        <w:t xml:space="preserve">. Journal of Mammalian Evolution 30:1155–1176.</w:t>
      </w:r>
    </w:p>
    <w:bookmarkEnd w:id="124"/>
    <w:bookmarkStart w:id="126" w:name="ref-damuth1993"/>
    <w:p>
      <w:pPr>
        <w:pStyle w:val="Bibliography"/>
      </w:pPr>
      <w:r>
        <w:t xml:space="preserve">Damuth, J. 1993.</w:t>
      </w:r>
      <w:r>
        <w:t xml:space="preserve"> </w:t>
      </w:r>
      <w:hyperlink r:id="rId125">
        <w:r>
          <w:rPr>
            <w:rStyle w:val="Hyperlink"/>
          </w:rPr>
          <w:t xml:space="preserve">Cope’s rule, the island rule and the scaling of mammalian population density</w:t>
        </w:r>
      </w:hyperlink>
      <w:r>
        <w:t xml:space="preserve">. Nature 365:748–750.</w:t>
      </w:r>
    </w:p>
    <w:bookmarkEnd w:id="126"/>
    <w:bookmarkStart w:id="128" w:name="ref-damuth2011"/>
    <w:p>
      <w:pPr>
        <w:pStyle w:val="Bibliography"/>
      </w:pPr>
      <w:r>
        <w:t xml:space="preserve">Damuth, J., and C. M. Janis. 2011.</w:t>
      </w:r>
      <w:r>
        <w:t xml:space="preserve"> </w:t>
      </w:r>
      <w:hyperlink r:id="rId127">
        <w:r>
          <w:rPr>
            <w:rStyle w:val="Hyperlink"/>
          </w:rPr>
          <w:t xml:space="preserve">On the relationship between hypsodonty and feeding ecology in ungulate mammals, and its utility in palaeoecology</w:t>
        </w:r>
      </w:hyperlink>
      <w:r>
        <w:t xml:space="preserve">. Biological Reviews 86:733–758.</w:t>
      </w:r>
    </w:p>
    <w:bookmarkEnd w:id="128"/>
    <w:bookmarkStart w:id="130" w:name="ref-drury2016"/>
    <w:p>
      <w:pPr>
        <w:pStyle w:val="Bibliography"/>
      </w:pPr>
      <w:r>
        <w:t xml:space="preserve">Drury, J., J. Clavel, M. Manceau, and H. Morlon. 2016.</w:t>
      </w:r>
      <w:r>
        <w:t xml:space="preserve"> </w:t>
      </w:r>
      <w:hyperlink r:id="rId129">
        <w:r>
          <w:rPr>
            <w:rStyle w:val="Hyperlink"/>
          </w:rPr>
          <w:t xml:space="preserve">Estimating the effect of competition on trait evolution using maximum likelihood inference</w:t>
        </w:r>
      </w:hyperlink>
      <w:r>
        <w:t xml:space="preserve">. Systematic Biology 65:700–710.</w:t>
      </w:r>
    </w:p>
    <w:bookmarkEnd w:id="130"/>
    <w:bookmarkStart w:id="132" w:name="ref-dunn2013"/>
    <w:p>
      <w:pPr>
        <w:pStyle w:val="Bibliography"/>
      </w:pPr>
      <w:r>
        <w:t xml:space="preserve">Dunn, R. E., R. H. Madden, M. J. Kohn, M. D. Schmitz, C. A. E. Strömberg, A. A. Carlini, G. H. Ré, and J. Crowley. 2013.</w:t>
      </w:r>
      <w:r>
        <w:t xml:space="preserve"> </w:t>
      </w:r>
      <w:hyperlink r:id="rId131">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2"/>
    <w:bookmarkStart w:id="134" w:name="ref-esteve2025"/>
    <w:p>
      <w:pPr>
        <w:pStyle w:val="Bibliography"/>
      </w:pPr>
      <w:r>
        <w:t xml:space="preserve">Esteve, J. 2025.</w:t>
      </w:r>
      <w:r>
        <w:t xml:space="preserve"> </w:t>
      </w:r>
      <w:hyperlink r:id="rId133">
        <w:r>
          <w:rPr>
            <w:rStyle w:val="Hyperlink"/>
          </w:rPr>
          <w:t xml:space="preserve">When extinction expands morphospace: Lessons from trilobites</w:t>
        </w:r>
      </w:hyperlink>
      <w:r>
        <w:t xml:space="preserve">. Proceedings of the Royal Society B: Biological Sciences 292:20252245.</w:t>
      </w:r>
    </w:p>
    <w:bookmarkEnd w:id="134"/>
    <w:bookmarkStart w:id="136" w:name="ref-etienne2011"/>
    <w:p>
      <w:pPr>
        <w:pStyle w:val="Bibliography"/>
      </w:pPr>
      <w:r>
        <w:t xml:space="preserve">Etienne, R. S., B. Haegeman, T. Stadler, T. Aze, P. N. Pearson, A. Purvis, and A. B. Phillimore. 2011.</w:t>
      </w:r>
      <w:r>
        <w:t xml:space="preserve"> </w:t>
      </w:r>
      <w:hyperlink r:id="rId135">
        <w:r>
          <w:rPr>
            <w:rStyle w:val="Hyperlink"/>
          </w:rPr>
          <w:t xml:space="preserve">Diversity-dependence brings molecular phylogenies closer to agreement with the fossil record</w:t>
        </w:r>
      </w:hyperlink>
      <w:r>
        <w:t xml:space="preserve">. Proceedings of the Royal Society B: Biological Sciences 279:1300–1309.</w:t>
      </w:r>
    </w:p>
    <w:bookmarkEnd w:id="136"/>
    <w:bookmarkStart w:id="138" w:name="ref-faurby2016"/>
    <w:p>
      <w:pPr>
        <w:pStyle w:val="Bibliography"/>
      </w:pPr>
      <w:r>
        <w:t xml:space="preserve">Faurby, S., and J.-C. Svenning. 2016.</w:t>
      </w:r>
      <w:r>
        <w:t xml:space="preserve"> </w:t>
      </w:r>
      <w:hyperlink r:id="rId137">
        <w:r>
          <w:rPr>
            <w:rStyle w:val="Hyperlink"/>
          </w:rPr>
          <w:t xml:space="preserve">Resurrection of the island rule: Human-driven extinctions have obscured a basic evolutionary pattern</w:t>
        </w:r>
      </w:hyperlink>
      <w:r>
        <w:t xml:space="preserve">. The American Naturalist 187:812–820.</w:t>
      </w:r>
    </w:p>
    <w:bookmarkEnd w:id="138"/>
    <w:bookmarkStart w:id="140" w:name="ref-fernicola2019"/>
    <w:p>
      <w:pPr>
        <w:pStyle w:val="Bibliography"/>
      </w:pPr>
      <w:r>
        <w:t xml:space="preserve">Fernicola, J. C., S. F. Vizcaíno, M. S. Bargo, R. F. Kay, and J. I. Cuitiño. 2019.</w:t>
      </w:r>
      <w:r>
        <w:t xml:space="preserve"> </w:t>
      </w:r>
      <w:hyperlink r:id="rId139">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40"/>
    <w:bookmarkStart w:id="142" w:name="ref-flannery-sutherland2022"/>
    <w:p>
      <w:pPr>
        <w:pStyle w:val="Bibliography"/>
      </w:pPr>
      <w:r>
        <w:t xml:space="preserve">Flannery-Sutherland, J. T., D. Silvestro, and M. J. Benton. 2022.</w:t>
      </w:r>
      <w:r>
        <w:t xml:space="preserve"> </w:t>
      </w:r>
      <w:hyperlink r:id="rId141">
        <w:r>
          <w:rPr>
            <w:rStyle w:val="Hyperlink"/>
          </w:rPr>
          <w:t xml:space="preserve">Global diversity dynamics in the fossil record are regionally heterogeneous</w:t>
        </w:r>
      </w:hyperlink>
      <w:r>
        <w:t xml:space="preserve">. Nature Communications 13:2751.</w:t>
      </w:r>
    </w:p>
    <w:bookmarkEnd w:id="142"/>
    <w:bookmarkStart w:id="144" w:name="ref-foote1993"/>
    <w:p>
      <w:pPr>
        <w:pStyle w:val="Bibliography"/>
      </w:pPr>
      <w:r>
        <w:t xml:space="preserve">Foote, M. 1993.</w:t>
      </w:r>
      <w:r>
        <w:t xml:space="preserve"> </w:t>
      </w:r>
      <w:hyperlink r:id="rId143">
        <w:r>
          <w:rPr>
            <w:rStyle w:val="Hyperlink"/>
          </w:rPr>
          <w:t xml:space="preserve">Discordance and concordance between morphological and taxonomic diversity</w:t>
        </w:r>
      </w:hyperlink>
      <w:r>
        <w:t xml:space="preserve">. Paleobiology 19:185–204.</w:t>
      </w:r>
    </w:p>
    <w:bookmarkEnd w:id="144"/>
    <w:bookmarkStart w:id="146" w:name="ref-foote2007"/>
    <w:p>
      <w:pPr>
        <w:pStyle w:val="Bibliography"/>
      </w:pPr>
      <w:r>
        <w:t xml:space="preserve">Foote, M. 2007.</w:t>
      </w:r>
      <w:r>
        <w:t xml:space="preserve"> </w:t>
      </w:r>
      <w:hyperlink r:id="rId145">
        <w:r>
          <w:rPr>
            <w:rStyle w:val="Hyperlink"/>
          </w:rPr>
          <w:t xml:space="preserve">Symmetric waxing and waning of marine invertebrate genera</w:t>
        </w:r>
      </w:hyperlink>
      <w:r>
        <w:t xml:space="preserve">. Paleobiology 33:517–529.</w:t>
      </w:r>
    </w:p>
    <w:bookmarkEnd w:id="146"/>
    <w:bookmarkStart w:id="148" w:name="ref-foote1997"/>
    <w:p>
      <w:pPr>
        <w:pStyle w:val="Bibliography"/>
      </w:pPr>
      <w:r>
        <w:t xml:space="preserve">Foote, M. 1997.</w:t>
      </w:r>
      <w:r>
        <w:t xml:space="preserve"> </w:t>
      </w:r>
      <w:hyperlink r:id="rId147">
        <w:r>
          <w:rPr>
            <w:rStyle w:val="Hyperlink"/>
          </w:rPr>
          <w:t xml:space="preserve">The Evolution of Morphological Diversity</w:t>
        </w:r>
      </w:hyperlink>
      <w:r>
        <w:t xml:space="preserve">. Annual Review of Ecology, Evolution, and Systematics 28:129–152.</w:t>
      </w:r>
    </w:p>
    <w:bookmarkEnd w:id="148"/>
    <w:bookmarkStart w:id="150" w:name="ref-guayasamin2024"/>
    <w:p>
      <w:pPr>
        <w:pStyle w:val="Bibliography"/>
      </w:pPr>
      <w:r>
        <w:t xml:space="preserve">Guayasamin, J. M., C. C. Ribas, A. C. Carnaval, J. D. Carrillo, C. Hoorn, L. G. Lohmann, D. Riff, C. Ulloa Ulloa, and J. S. Albert. 2024.</w:t>
      </w:r>
      <w:r>
        <w:t xml:space="preserve"> </w:t>
      </w:r>
      <w:hyperlink r:id="rId149">
        <w:r>
          <w:rPr>
            <w:rStyle w:val="Hyperlink"/>
          </w:rPr>
          <w:t xml:space="preserve">Evolution of Amazonian biodiversity: A review</w:t>
        </w:r>
      </w:hyperlink>
      <w:r>
        <w:t xml:space="preserve">. Acta Amazonica 54:e54bc21360.</w:t>
      </w:r>
    </w:p>
    <w:bookmarkEnd w:id="150"/>
    <w:bookmarkStart w:id="152" w:name="ref-hagen2018"/>
    <w:p>
      <w:pPr>
        <w:pStyle w:val="Bibliography"/>
      </w:pPr>
      <w:r>
        <w:t xml:space="preserve">Hagen, O., T. Andermann, T. B. Quental, A. Antonelli, and D. Silvestro. 2018.</w:t>
      </w:r>
      <w:r>
        <w:t xml:space="preserve"> </w:t>
      </w:r>
      <w:hyperlink r:id="rId151">
        <w:r>
          <w:rPr>
            <w:rStyle w:val="Hyperlink"/>
          </w:rPr>
          <w:t xml:space="preserve">Estimating age-dependent extinction: Contrasting evidence from fossils and phylogenies</w:t>
        </w:r>
      </w:hyperlink>
      <w:r>
        <w:t xml:space="preserve">. Systematic Biology 67:458–474.</w:t>
      </w:r>
    </w:p>
    <w:bookmarkEnd w:id="152"/>
    <w:bookmarkStart w:id="154" w:name="ref-hauffe2024"/>
    <w:p>
      <w:pPr>
        <w:pStyle w:val="Bibliography"/>
      </w:pPr>
      <w:r>
        <w:t xml:space="preserve">Hauffe, T., J. L. Cantalapiedra, and D. Silvestro. 2024.</w:t>
      </w:r>
      <w:r>
        <w:t xml:space="preserve"> </w:t>
      </w:r>
      <w:hyperlink r:id="rId153">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4"/>
    <w:bookmarkStart w:id="156" w:name="ref-hernández2005"/>
    <w:p>
      <w:pPr>
        <w:pStyle w:val="Bibliography"/>
      </w:pPr>
      <w:r>
        <w:t xml:space="preserve">Hernández, R. M., T. E. Jordan, A. Dalenz Farjat, L. Echavarría, B. D. Idleman, and J. H. Reynolds. 2005.</w:t>
      </w:r>
      <w:r>
        <w:t xml:space="preserve"> </w:t>
      </w:r>
      <w:hyperlink r:id="rId155">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6"/>
    <w:bookmarkStart w:id="158" w:name="ref-hohmann2019"/>
    <w:p>
      <w:pPr>
        <w:pStyle w:val="Bibliography"/>
      </w:pPr>
      <w:r>
        <w:t xml:space="preserve">Hohmann, N., and E. Jarochowska. 2019.</w:t>
      </w:r>
      <w:r>
        <w:t xml:space="preserve"> </w:t>
      </w:r>
      <w:hyperlink r:id="rId157">
        <w:r>
          <w:rPr>
            <w:rStyle w:val="Hyperlink"/>
          </w:rPr>
          <w:t xml:space="preserve">Enforced symmetry: the necessity of symmetric waxing and waning</w:t>
        </w:r>
      </w:hyperlink>
      <w:r>
        <w:t xml:space="preserve">. PeerJ 7:e8011.</w:t>
      </w:r>
    </w:p>
    <w:bookmarkEnd w:id="158"/>
    <w:bookmarkStart w:id="159" w:name="ref-homerocamacho1967"/>
    <w:p>
      <w:pPr>
        <w:pStyle w:val="Bibliography"/>
      </w:pPr>
      <w:r>
        <w:t xml:space="preserve">Homero Camacho, H. 1967. Las transgresiones del cretácico superior y terciario de la argentina. Revista de la Asociación Geológica Argentina 22:253–280.</w:t>
      </w:r>
    </w:p>
    <w:bookmarkEnd w:id="159"/>
    <w:bookmarkStart w:id="161" w:name="ref-hoorn2022"/>
    <w:p>
      <w:pPr>
        <w:pStyle w:val="Bibliography"/>
      </w:pPr>
      <w:r>
        <w:t xml:space="preserve">Hoorn, C., L. M. Boschman, T. Kukla, M. Sciumbata, and P. Val. 2022.</w:t>
      </w:r>
      <w:r>
        <w:t xml:space="preserve"> </w:t>
      </w:r>
      <w:hyperlink r:id="rId160">
        <w:r>
          <w:rPr>
            <w:rStyle w:val="Hyperlink"/>
          </w:rPr>
          <w:t xml:space="preserve">The miocene wetland of western amazonia and its role in neotropical biogeography</w:t>
        </w:r>
      </w:hyperlink>
      <w:r>
        <w:t xml:space="preserve">. Botanical Journal of the Linnean Society 199:25–35.</w:t>
      </w:r>
    </w:p>
    <w:bookmarkEnd w:id="161"/>
    <w:bookmarkStart w:id="163" w:name="ref-hoorn1995"/>
    <w:p>
      <w:pPr>
        <w:pStyle w:val="Bibliography"/>
      </w:pPr>
      <w:r>
        <w:t xml:space="preserve">Hoorn, C., J. Guerrero, G. A. Sarmiento, and M. A. Lorente. 1995.</w:t>
      </w:r>
      <w:r>
        <w:t xml:space="preserve"> </w:t>
      </w:r>
      <w:hyperlink r:id="rId162">
        <w:r>
          <w:rPr>
            <w:rStyle w:val="Hyperlink"/>
          </w:rPr>
          <w:t xml:space="preserve">Andean tectonics as a cause for changing drainage patterns in Miocene northern South America</w:t>
        </w:r>
      </w:hyperlink>
      <w:r>
        <w:t xml:space="preserve">. Geology 23:237.</w:t>
      </w:r>
    </w:p>
    <w:bookmarkEnd w:id="163"/>
    <w:bookmarkStart w:id="165"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4">
        <w:r>
          <w:rPr>
            <w:rStyle w:val="Hyperlink"/>
          </w:rPr>
          <w:t xml:space="preserve">Amazonia through time: Andean uplift, climate change, landscape evolution, and biodiversity</w:t>
        </w:r>
      </w:hyperlink>
      <w:r>
        <w:t xml:space="preserve">. Science 330:927–931.</w:t>
      </w:r>
    </w:p>
    <w:bookmarkEnd w:id="165"/>
    <w:bookmarkStart w:id="167" w:name="ref-hullot2025"/>
    <w:p>
      <w:pPr>
        <w:pStyle w:val="Bibliography"/>
      </w:pPr>
      <w:r>
        <w:t xml:space="preserve">Hullot, M., C. Robinet, Q. Vautrin, R. Tabuce, P.-O. Antoine, G. Merceron, and F. Lihoreau. 2025.</w:t>
      </w:r>
      <w:r>
        <w:t xml:space="preserve"> </w:t>
      </w:r>
      <w:hyperlink r:id="rId166">
        <w:r>
          <w:rPr>
            <w:rStyle w:val="Hyperlink"/>
          </w:rPr>
          <w:t xml:space="preserve">Evolution of dietary preferences of the lophiodontidae (mammalia, perissodactyla) from southern france</w:t>
        </w:r>
      </w:hyperlink>
      <w:r>
        <w:t xml:space="preserve">. Palaeogeography, Palaeoclimatology, Palaeoecology 675:113076.</w:t>
      </w:r>
    </w:p>
    <w:bookmarkEnd w:id="167"/>
    <w:bookmarkStart w:id="168"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68"/>
    <w:bookmarkStart w:id="170"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69">
        <w:r>
          <w:rPr>
            <w:rStyle w:val="Hyperlink"/>
          </w:rPr>
          <w:t xml:space="preserve">Miocene flooding events of western amazonia</w:t>
        </w:r>
      </w:hyperlink>
      <w:r>
        <w:t xml:space="preserve">. Science Advances 3:e1601693.</w:t>
      </w:r>
    </w:p>
    <w:bookmarkEnd w:id="170"/>
    <w:bookmarkStart w:id="172" w:name="ref-jardine2012"/>
    <w:p>
      <w:pPr>
        <w:pStyle w:val="Bibliography"/>
      </w:pPr>
      <w:r>
        <w:t xml:space="preserve">Jardine, P. E., C. M. Janis, S. Sahney, and M. J. Benton. 2012.</w:t>
      </w:r>
      <w:r>
        <w:t xml:space="preserve"> </w:t>
      </w:r>
      <w:hyperlink r:id="rId171">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2"/>
    <w:bookmarkStart w:id="174" w:name="ref-kass1995"/>
    <w:p>
      <w:pPr>
        <w:pStyle w:val="Bibliography"/>
      </w:pPr>
      <w:r>
        <w:t xml:space="preserve">Kass, R. E., and A. E. Raftery. 1995.</w:t>
      </w:r>
      <w:r>
        <w:t xml:space="preserve"> </w:t>
      </w:r>
      <w:hyperlink r:id="rId173">
        <w:r>
          <w:rPr>
            <w:rStyle w:val="Hyperlink"/>
          </w:rPr>
          <w:t xml:space="preserve">Bayes factors</w:t>
        </w:r>
      </w:hyperlink>
      <w:r>
        <w:t xml:space="preserve">. Journal of the American Statistical Association 90:773–795.</w:t>
      </w:r>
    </w:p>
    <w:bookmarkEnd w:id="174"/>
    <w:bookmarkStart w:id="176" w:name="ref-lehtonen2017"/>
    <w:p>
      <w:pPr>
        <w:pStyle w:val="Bibliography"/>
      </w:pPr>
      <w:r>
        <w:t xml:space="preserve">Lehtonen, S., D. Silvestro, D. N. Karger, C. Scotese, H. Tuomisto, M. Kessler, C. Peña, N. Wahlberg, and A. Antonelli. 2017.</w:t>
      </w:r>
      <w:r>
        <w:t xml:space="preserve"> </w:t>
      </w:r>
      <w:hyperlink r:id="rId175">
        <w:r>
          <w:rPr>
            <w:rStyle w:val="Hyperlink"/>
          </w:rPr>
          <w:t xml:space="preserve">Environmentally driven extinction and opportunistic origination explain fern diversification patterns</w:t>
        </w:r>
      </w:hyperlink>
      <w:r>
        <w:t xml:space="preserve">. Scientific Reports 7:4831.</w:t>
      </w:r>
    </w:p>
    <w:bookmarkEnd w:id="176"/>
    <w:bookmarkStart w:id="178" w:name="ref-liow2008"/>
    <w:p>
      <w:pPr>
        <w:pStyle w:val="Bibliography"/>
      </w:pPr>
      <w:r>
        <w:t xml:space="preserve">Liow, L. H., M. Fortelius, E. Bingham, K. Lintulaakso, H. Mannila, L. Flynn, and N. Chr. Stenseth. 2008.</w:t>
      </w:r>
      <w:r>
        <w:t xml:space="preserve"> </w:t>
      </w:r>
      <w:hyperlink r:id="rId177">
        <w:r>
          <w:rPr>
            <w:rStyle w:val="Hyperlink"/>
          </w:rPr>
          <w:t xml:space="preserve">Higher origination and extinction rates in larger mammals</w:t>
        </w:r>
      </w:hyperlink>
      <w:r>
        <w:t xml:space="preserve">. Proceedings of the National Academy of Sciences 105:6097–6102.</w:t>
      </w:r>
    </w:p>
    <w:bookmarkEnd w:id="178"/>
    <w:bookmarkStart w:id="180" w:name="ref-liow2010"/>
    <w:p>
      <w:pPr>
        <w:pStyle w:val="Bibliography"/>
      </w:pPr>
      <w:r>
        <w:t xml:space="preserve">Liow, L. H., T. B. Quental, and C. R. Marshall. 2010.</w:t>
      </w:r>
      <w:r>
        <w:t xml:space="preserve"> </w:t>
      </w:r>
      <w:hyperlink r:id="rId179">
        <w:r>
          <w:rPr>
            <w:rStyle w:val="Hyperlink"/>
          </w:rPr>
          <w:t xml:space="preserve">When can decreasing diversification rates be detected with molecular phylogenies and the fossil record?</w:t>
        </w:r>
      </w:hyperlink>
      <w:r>
        <w:t xml:space="preserve"> Systematic Biology 59:646–659.</w:t>
      </w:r>
    </w:p>
    <w:bookmarkEnd w:id="180"/>
    <w:bookmarkStart w:id="182" w:name="ref-lomolino2005"/>
    <w:p>
      <w:pPr>
        <w:pStyle w:val="Bibliography"/>
      </w:pPr>
      <w:r>
        <w:t xml:space="preserve">Lomolino, M. V. 2005.</w:t>
      </w:r>
      <w:r>
        <w:t xml:space="preserve"> </w:t>
      </w:r>
      <w:hyperlink r:id="rId181">
        <w:r>
          <w:rPr>
            <w:rStyle w:val="Hyperlink"/>
          </w:rPr>
          <w:t xml:space="preserve">Body size evolution in insular vertebrates: Generality of the island rule</w:t>
        </w:r>
      </w:hyperlink>
      <w:r>
        <w:t xml:space="preserve">. Journal of Biogeography 32:1683–1699.</w:t>
      </w:r>
    </w:p>
    <w:bookmarkEnd w:id="182"/>
    <w:bookmarkStart w:id="184" w:name="ref-macfadden2000"/>
    <w:p>
      <w:pPr>
        <w:pStyle w:val="Bibliography"/>
      </w:pPr>
      <w:r>
        <w:t xml:space="preserve">MacFadden, B. J. 2000.</w:t>
      </w:r>
      <w:r>
        <w:t xml:space="preserve"> </w:t>
      </w:r>
      <w:hyperlink r:id="rId183">
        <w:r>
          <w:rPr>
            <w:rStyle w:val="Hyperlink"/>
          </w:rPr>
          <w:t xml:space="preserve">Cenozoic mammalian herbivores from the americas: Reconstructing ancient diets and terrestrial communities</w:t>
        </w:r>
      </w:hyperlink>
      <w:r>
        <w:t xml:space="preserve">. Annual Review of Ecology and Systematics 31:33–59.</w:t>
      </w:r>
    </w:p>
    <w:bookmarkEnd w:id="184"/>
    <w:bookmarkStart w:id="186" w:name="ref-macphee2011"/>
    <w:p>
      <w:pPr>
        <w:pStyle w:val="Bibliography"/>
      </w:pPr>
      <w:r>
        <w:t xml:space="preserve">MacPhee, R. D. E. 2011.</w:t>
      </w:r>
      <w:r>
        <w:t xml:space="preserve"> </w:t>
      </w:r>
      <w:hyperlink r:id="rId185">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86"/>
    <w:bookmarkStart w:id="188" w:name="ref-marion_bioluminescence_2025"/>
    <w:p>
      <w:pPr>
        <w:pStyle w:val="Bibliography"/>
      </w:pPr>
      <w:r>
        <w:t xml:space="preserve">Marion, A. F. P., F. L. Condamine, and G. Guinot. 2025.</w:t>
      </w:r>
      <w:r>
        <w:t xml:space="preserve"> </w:t>
      </w:r>
      <w:hyperlink r:id="rId187">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88"/>
    <w:bookmarkStart w:id="190" w:name="ref-marivaux2022"/>
    <w:p>
      <w:pPr>
        <w:pStyle w:val="Bibliography"/>
      </w:pPr>
      <w:r>
        <w:t xml:space="preserve">Marivaux, L., L. W. V. López, M. Boivin, L. Da Cunha, P.-H. Fabre, R. Joannes-Boyau, G. Maincent, P. Münch, N. S. Stutz, J. Vélez-Juarbe, and P.-O. Antoine. 2022.</w:t>
      </w:r>
      <w:r>
        <w:t xml:space="preserve"> </w:t>
      </w:r>
      <w:hyperlink r:id="rId189">
        <w:r>
          <w:rPr>
            <w:rStyle w:val="Hyperlink"/>
          </w:rPr>
          <w:t xml:space="preserve">Incisor enamel microstructure of West Indian caviomorph hystricognathous rodents (Octodontoidea and Chinchilloidea)</w:t>
        </w:r>
      </w:hyperlink>
      <w:r>
        <w:t xml:space="preserve">. Journal of Mammalian Evolution 29:969–995.</w:t>
      </w:r>
    </w:p>
    <w:bookmarkEnd w:id="190"/>
    <w:bookmarkStart w:id="192"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91">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2"/>
    <w:bookmarkStart w:id="194" w:name="ref-marshall1982"/>
    <w:p>
      <w:pPr>
        <w:pStyle w:val="Bibliography"/>
      </w:pPr>
      <w:r>
        <w:t xml:space="preserve">Marshall, L. G., S. D. Webb, J. J. Sepkoski, and D. M. Raup. 1982.</w:t>
      </w:r>
      <w:r>
        <w:t xml:space="preserve"> </w:t>
      </w:r>
      <w:hyperlink r:id="rId193">
        <w:r>
          <w:rPr>
            <w:rStyle w:val="Hyperlink"/>
          </w:rPr>
          <w:t xml:space="preserve">Mammalian evolution and the great american interchange</w:t>
        </w:r>
      </w:hyperlink>
      <w:r>
        <w:t xml:space="preserve">. Science 215:1351–1357.</w:t>
      </w:r>
    </w:p>
    <w:bookmarkEnd w:id="194"/>
    <w:bookmarkStart w:id="196" w:name="ref-mcfarlane1998"/>
    <w:p>
      <w:pPr>
        <w:pStyle w:val="Bibliography"/>
      </w:pPr>
      <w:r>
        <w:t xml:space="preserve">McFarlane, D. A., R. D. E. MacPhee, and D. C. Ford. 1998.</w:t>
      </w:r>
      <w:r>
        <w:t xml:space="preserve"> </w:t>
      </w:r>
      <w:hyperlink r:id="rId195">
        <w:r>
          <w:rPr>
            <w:rStyle w:val="Hyperlink"/>
          </w:rPr>
          <w:t xml:space="preserve">Body Size Variability and a Sangamonian Extinction Model for Amblyrhiza,a West Indian Megafaunal Rodent</w:t>
        </w:r>
      </w:hyperlink>
      <w:r>
        <w:t xml:space="preserve">. Quaternary Research 50:80–89.</w:t>
      </w:r>
    </w:p>
    <w:bookmarkEnd w:id="196"/>
    <w:bookmarkStart w:id="198" w:name="ref-meiri2007"/>
    <w:p>
      <w:pPr>
        <w:pStyle w:val="Bibliography"/>
      </w:pPr>
      <w:r>
        <w:t xml:space="preserve">Meiri, S., N. Cooper, and A. Purvis. 2007.</w:t>
      </w:r>
      <w:r>
        <w:t xml:space="preserve"> </w:t>
      </w:r>
      <w:hyperlink r:id="rId197">
        <w:r>
          <w:rPr>
            <w:rStyle w:val="Hyperlink"/>
          </w:rPr>
          <w:t xml:space="preserve">The island rule: Made to be broken?</w:t>
        </w:r>
      </w:hyperlink>
      <w:r>
        <w:t xml:space="preserve"> Proceedings of the Royal Society B: Biological Sciences 275:141–148.</w:t>
      </w:r>
    </w:p>
    <w:bookmarkEnd w:id="198"/>
    <w:bookmarkStart w:id="200" w:name="ref-miller2020"/>
    <w:p>
      <w:pPr>
        <w:pStyle w:val="Bibliography"/>
      </w:pPr>
      <w:r>
        <w:t xml:space="preserve">Miller, K. G., J. V. Browning, W. J. Schmelz, R. E. Kopp, G. S. Mountain, and J. D. Wright. 2020.</w:t>
      </w:r>
      <w:r>
        <w:t xml:space="preserve"> </w:t>
      </w:r>
      <w:hyperlink r:id="rId199">
        <w:r>
          <w:rPr>
            <w:rStyle w:val="Hyperlink"/>
          </w:rPr>
          <w:t xml:space="preserve">Cenozoic sea-level and cryospheric evolution from deep-sea geochemical and continental margin records</w:t>
        </w:r>
      </w:hyperlink>
      <w:r>
        <w:t xml:space="preserve">. Science Advances 6:eaaz1346.</w:t>
      </w:r>
    </w:p>
    <w:bookmarkEnd w:id="200"/>
    <w:bookmarkStart w:id="202" w:name="ref-mones1982"/>
    <w:p>
      <w:pPr>
        <w:pStyle w:val="Bibliography"/>
      </w:pPr>
      <w:r>
        <w:t xml:space="preserve">Mones, A. 1982.</w:t>
      </w:r>
      <w:r>
        <w:t xml:space="preserve"> </w:t>
      </w:r>
      <w:hyperlink r:id="rId201">
        <w:r>
          <w:rPr>
            <w:rStyle w:val="Hyperlink"/>
          </w:rPr>
          <w:t xml:space="preserve">An equivocal nomenclature: What means hypsodonty?</w:t>
        </w:r>
      </w:hyperlink>
      <w:r>
        <w:t xml:space="preserve"> Paläontologische Zeitschrift 56:107–111.</w:t>
      </w:r>
    </w:p>
    <w:bookmarkEnd w:id="202"/>
    <w:bookmarkStart w:id="204"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03">
        <w:r>
          <w:rPr>
            <w:rStyle w:val="Hyperlink"/>
          </w:rPr>
          <w:t xml:space="preserve">10.1146/annurev-ecolsys-102722-020508</w:t>
        </w:r>
      </w:hyperlink>
      <w:r>
        <w:t xml:space="preserve">.</w:t>
      </w:r>
    </w:p>
    <w:bookmarkEnd w:id="204"/>
    <w:bookmarkStart w:id="206" w:name="ref-muñoz2023"/>
    <w:p>
      <w:pPr>
        <w:pStyle w:val="Bibliography"/>
      </w:pPr>
      <w:r>
        <w:t xml:space="preserve">Muñoz, C. O. R., R. Bonini, S. Hemming, M. Cenizo, U. F. J. Pardiñas, and F. J. Prevosti. 2023.</w:t>
      </w:r>
      <w:r>
        <w:t xml:space="preserve"> </w:t>
      </w:r>
      <w:hyperlink r:id="rId205">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06"/>
    <w:bookmarkStart w:id="207"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07"/>
    <w:bookmarkStart w:id="209" w:name="ref-neige2026"/>
    <w:p>
      <w:pPr>
        <w:pStyle w:val="Bibliography"/>
      </w:pPr>
      <w:r>
        <w:t xml:space="preserve">Neige, P., and T. van Tiel. 2026.</w:t>
      </w:r>
      <w:r>
        <w:t xml:space="preserve"> </w:t>
      </w:r>
      <w:hyperlink r:id="rId208">
        <w:r>
          <w:rPr>
            <w:rStyle w:val="Hyperlink"/>
          </w:rPr>
          <w:t xml:space="preserve">Background extinction due to species specialization? Insights from a high-resolution Jurassic ammonoid case study (Dactylioceratidae)</w:t>
        </w:r>
      </w:hyperlink>
      <w:r>
        <w:t xml:space="preserve">. Paleobiology 1–17.</w:t>
      </w:r>
    </w:p>
    <w:bookmarkEnd w:id="209"/>
    <w:bookmarkStart w:id="211" w:name="ref-ogg2020"/>
    <w:p>
      <w:pPr>
        <w:pStyle w:val="Bibliography"/>
      </w:pPr>
      <w:r>
        <w:t xml:space="preserve">Ogg, J. G. 2020.</w:t>
      </w:r>
      <w:r>
        <w:t xml:space="preserve"> </w:t>
      </w:r>
      <w:hyperlink r:id="rId210">
        <w:r>
          <w:rPr>
            <w:rStyle w:val="Hyperlink"/>
          </w:rPr>
          <w:t xml:space="preserve">Geomagnetic polarity time scale</w:t>
        </w:r>
      </w:hyperlink>
      <w:r>
        <w:t xml:space="preserve">. Pp. 159–192</w:t>
      </w:r>
      <w:r>
        <w:t xml:space="preserve"> </w:t>
      </w:r>
      <w:r>
        <w:rPr>
          <w:i/>
          <w:iCs/>
        </w:rPr>
        <w:t xml:space="preserve">in</w:t>
      </w:r>
      <w:r>
        <w:t xml:space="preserve">. Elsevier.</w:t>
      </w:r>
    </w:p>
    <w:bookmarkEnd w:id="211"/>
    <w:bookmarkStart w:id="213" w:name="ref-paiva2026"/>
    <w:p>
      <w:pPr>
        <w:pStyle w:val="Bibliography"/>
      </w:pPr>
      <w:r>
        <w:t xml:space="preserve">Paiva, A. L., P. Godoy, D. dos Santos, M. Langer, and P. Mannion. 2026.</w:t>
      </w:r>
      <w:r>
        <w:t xml:space="preserve"> </w:t>
      </w:r>
      <w:hyperlink r:id="rId212">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13"/>
    <w:bookmarkStart w:id="215" w:name="ref-palazzesi2012"/>
    <w:p>
      <w:pPr>
        <w:pStyle w:val="Bibliography"/>
      </w:pPr>
      <w:r>
        <w:t xml:space="preserve">Palazzesi, L., and V. Barreda. 2012.</w:t>
      </w:r>
      <w:r>
        <w:t xml:space="preserve"> </w:t>
      </w:r>
      <w:hyperlink r:id="rId214">
        <w:r>
          <w:rPr>
            <w:rStyle w:val="Hyperlink"/>
          </w:rPr>
          <w:t xml:space="preserve">Fossil pollen records reveal a late rise of open-habitat ecosystems in Patagonia</w:t>
        </w:r>
      </w:hyperlink>
      <w:r>
        <w:t xml:space="preserve">. Nature Communications 3:1294.</w:t>
      </w:r>
    </w:p>
    <w:bookmarkEnd w:id="215"/>
    <w:bookmarkStart w:id="216" w:name="ref-pascual1996"/>
    <w:p>
      <w:pPr>
        <w:pStyle w:val="Bibliography"/>
      </w:pPr>
      <w:r>
        <w:t xml:space="preserve">Pascual, R., E. Ortiz-Jaureguizar, and J. L. Prado. 1996. Land mammals: Paradigm for cenozoic south american geobiotic evolution.</w:t>
      </w:r>
    </w:p>
    <w:bookmarkEnd w:id="216"/>
    <w:bookmarkStart w:id="218" w:name="ref-patton2015"/>
    <w:p>
      <w:pPr>
        <w:pStyle w:val="Bibliography"/>
      </w:pPr>
      <w:r>
        <w:t xml:space="preserve">Patton, J. L., U. F. J. Pardiñas, and G. D’Elía. 2015.</w:t>
      </w:r>
      <w:r>
        <w:t xml:space="preserve"> </w:t>
      </w:r>
      <w:hyperlink r:id="rId217">
        <w:r>
          <w:rPr>
            <w:rStyle w:val="Hyperlink"/>
          </w:rPr>
          <w:t xml:space="preserve">Mammals of South America, Volume 2: Rodents</w:t>
        </w:r>
      </w:hyperlink>
      <w:r>
        <w:t xml:space="preserve">. University of Chicago Press, Chicago, IL.</w:t>
      </w:r>
    </w:p>
    <w:bookmarkEnd w:id="218"/>
    <w:bookmarkStart w:id="220" w:name="ref-pérez_new_2010"/>
    <w:p>
      <w:pPr>
        <w:pStyle w:val="Bibliography"/>
      </w:pPr>
      <w:r>
        <w:t xml:space="preserve">Pérez, M. E. 2010.</w:t>
      </w:r>
      <w:r>
        <w:t xml:space="preserve"> </w:t>
      </w:r>
      <w:hyperlink r:id="rId219">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20"/>
    <w:bookmarkStart w:id="222" w:name="ref-pimiento2019"/>
    <w:p>
      <w:pPr>
        <w:pStyle w:val="Bibliography"/>
      </w:pPr>
      <w:r>
        <w:t xml:space="preserve">Pimiento, C., J. L. Cantalapiedra, K. Shimada, D. J. Field, and J. B. Smaers. 2019.</w:t>
      </w:r>
      <w:r>
        <w:t xml:space="preserve"> </w:t>
      </w:r>
      <w:hyperlink r:id="rId221">
        <w:r>
          <w:rPr>
            <w:rStyle w:val="Hyperlink"/>
          </w:rPr>
          <w:t xml:space="preserve">Evolutionary pathways toward gigantism in sharks and rays</w:t>
        </w:r>
      </w:hyperlink>
      <w:r>
        <w:t xml:space="preserve">. Evolution 73:588–599.</w:t>
      </w:r>
    </w:p>
    <w:bookmarkEnd w:id="222"/>
    <w:bookmarkStart w:id="224" w:name="ref-quental2013"/>
    <w:p>
      <w:pPr>
        <w:pStyle w:val="Bibliography"/>
      </w:pPr>
      <w:r>
        <w:t xml:space="preserve">Quental, T. B., and C. R. Marshall. 2013.</w:t>
      </w:r>
      <w:r>
        <w:t xml:space="preserve"> </w:t>
      </w:r>
      <w:hyperlink r:id="rId223">
        <w:r>
          <w:rPr>
            <w:rStyle w:val="Hyperlink"/>
          </w:rPr>
          <w:t xml:space="preserve">How the red queen drives terrestrial mammals to extinction</w:t>
        </w:r>
      </w:hyperlink>
      <w:r>
        <w:t xml:space="preserve">. Science 341:290–292.</w:t>
      </w:r>
    </w:p>
    <w:bookmarkEnd w:id="224"/>
    <w:bookmarkStart w:id="226" w:name="ref-quintero_loss_2025"/>
    <w:p>
      <w:pPr>
        <w:pStyle w:val="Bibliography"/>
      </w:pPr>
      <w:r>
        <w:t xml:space="preserve">Quintero, I., J. Andréoletti, D. Silvestro, and H. Morlon. 2025.</w:t>
      </w:r>
      <w:r>
        <w:t xml:space="preserve"> </w:t>
      </w:r>
      <w:hyperlink r:id="rId225">
        <w:r>
          <w:rPr>
            <w:rStyle w:val="Hyperlink"/>
          </w:rPr>
          <w:t xml:space="preserve">Loss of macroevolutionary species fitness explains the rise and fall of clades</w:t>
        </w:r>
      </w:hyperlink>
      <w:r>
        <w:t xml:space="preserve">. Nat Ecol Evol 1–12. Nature Publishing Group.</w:t>
      </w:r>
    </w:p>
    <w:bookmarkEnd w:id="226"/>
    <w:bookmarkStart w:id="228" w:name="ref-rasia_reappraisal_2018"/>
    <w:p>
      <w:pPr>
        <w:pStyle w:val="Bibliography"/>
      </w:pPr>
      <w:r>
        <w:t xml:space="preserve">Rasia, L. L., and A. M. Candela. 2018.</w:t>
      </w:r>
      <w:r>
        <w:t xml:space="preserve"> </w:t>
      </w:r>
      <w:hyperlink r:id="rId227">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28"/>
    <w:bookmarkStart w:id="230" w:name="ref-rasia_comprehensive_2021"/>
    <w:p>
      <w:pPr>
        <w:pStyle w:val="Bibliography"/>
      </w:pPr>
      <w:r>
        <w:t xml:space="preserve">Rasia, L. L., A. M. Candela, and C. Cañón. 2021.</w:t>
      </w:r>
      <w:r>
        <w:t xml:space="preserve"> </w:t>
      </w:r>
      <w:hyperlink r:id="rId229">
        <w:r>
          <w:rPr>
            <w:rStyle w:val="Hyperlink"/>
          </w:rPr>
          <w:t xml:space="preserve">Comprehensive total evidence phylogeny of chinchillids (rodentia, caviomorpha): Cheek teeth anatomy and evolution</w:t>
        </w:r>
      </w:hyperlink>
      <w:r>
        <w:t xml:space="preserve">. Journal of Anatomy 239:405–423.</w:t>
      </w:r>
    </w:p>
    <w:bookmarkEnd w:id="230"/>
    <w:bookmarkStart w:id="232" w:name="ref-rasia2024"/>
    <w:p>
      <w:pPr>
        <w:pStyle w:val="Bibliography"/>
      </w:pPr>
      <w:r>
        <w:t xml:space="preserve">Rasia, L. L., C. I. Montalvo, R. Sostillo, L. Kerber, and R. L. Tomassini. 2024.</w:t>
      </w:r>
      <w:r>
        <w:t xml:space="preserve"> </w:t>
      </w:r>
      <w:hyperlink r:id="rId231">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32"/>
    <w:bookmarkStart w:id="234" w:name="ref-rinderknecht2008"/>
    <w:p>
      <w:pPr>
        <w:pStyle w:val="Bibliography"/>
      </w:pPr>
      <w:r>
        <w:t xml:space="preserve">Rinderknecht, A., and R. E. Blanco. 2008.</w:t>
      </w:r>
      <w:r>
        <w:t xml:space="preserve"> </w:t>
      </w:r>
      <w:hyperlink r:id="rId233">
        <w:r>
          <w:rPr>
            <w:rStyle w:val="Hyperlink"/>
          </w:rPr>
          <w:t xml:space="preserve">The largest fossil rodent</w:t>
        </w:r>
      </w:hyperlink>
      <w:r>
        <w:t xml:space="preserve">. Proceedings of the Royal Society B: Biological Sciences 275:923–928.</w:t>
      </w:r>
    </w:p>
    <w:bookmarkEnd w:id="234"/>
    <w:bookmarkStart w:id="236" w:name="ref-robinet2020"/>
    <w:p>
      <w:pPr>
        <w:pStyle w:val="Bibliography"/>
      </w:pPr>
      <w:r>
        <w:t xml:space="preserve">Robinet, C., G. Merceron, A. M. Candela, and L. Marivaux. 2020.</w:t>
      </w:r>
      <w:r>
        <w:t xml:space="preserve"> </w:t>
      </w:r>
      <w:hyperlink r:id="rId235">
        <w:r>
          <w:rPr>
            <w:rStyle w:val="Hyperlink"/>
          </w:rPr>
          <w:t xml:space="preserve">Dental microwear texture analysis and diet in caviomorphs (rodentia) from the serra do mar atlantic forest (brazil)</w:t>
        </w:r>
      </w:hyperlink>
      <w:r>
        <w:t xml:space="preserve">. Journal of Mammalogy 101:386–402.</w:t>
      </w:r>
    </w:p>
    <w:bookmarkEnd w:id="236"/>
    <w:bookmarkStart w:id="238" w:name="ref-salas-gismondi2015"/>
    <w:p>
      <w:pPr>
        <w:pStyle w:val="Bibliography"/>
      </w:pPr>
      <w:r>
        <w:t xml:space="preserve">Salas-Gismondi, R., J. J. Flynn, P. Baby, J. V. Tejada-Lara, F. P. Wesselingh, and P.-O. Antoine. 2015.</w:t>
      </w:r>
      <w:r>
        <w:t xml:space="preserve"> </w:t>
      </w:r>
      <w:hyperlink r:id="rId237">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38"/>
    <w:bookmarkStart w:id="240" w:name="ref-sánchez-villagra2003"/>
    <w:p>
      <w:pPr>
        <w:pStyle w:val="Bibliography"/>
      </w:pPr>
      <w:r>
        <w:t xml:space="preserve">Sánchez-Villagra, M. R., O. Aguilera, and I. Horovitz. 2003.</w:t>
      </w:r>
      <w:r>
        <w:t xml:space="preserve"> </w:t>
      </w:r>
      <w:hyperlink r:id="rId239">
        <w:r>
          <w:rPr>
            <w:rStyle w:val="Hyperlink"/>
          </w:rPr>
          <w:t xml:space="preserve">The anatomy of the world’s largest extinct rodent</w:t>
        </w:r>
      </w:hyperlink>
      <w:r>
        <w:t xml:space="preserve">. Science 301:1708–1710.</w:t>
      </w:r>
    </w:p>
    <w:bookmarkEnd w:id="240"/>
    <w:bookmarkStart w:id="242"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41">
        <w:r>
          <w:rPr>
            <w:rStyle w:val="Hyperlink"/>
          </w:rPr>
          <w:t xml:space="preserve">Biology of the sauropod dinosaurs: the evolution of gigantism</w:t>
        </w:r>
      </w:hyperlink>
      <w:r>
        <w:t xml:space="preserve">. Biological Reviews 86:117–155.</w:t>
      </w:r>
    </w:p>
    <w:bookmarkEnd w:id="242"/>
    <w:bookmarkStart w:id="244" w:name="ref-silvestro2015"/>
    <w:p>
      <w:pPr>
        <w:pStyle w:val="Bibliography"/>
      </w:pPr>
      <w:r>
        <w:t xml:space="preserve">Silvestro, D., A. Antonelli, N. Salamin, and T. B. Quental. 2015.</w:t>
      </w:r>
      <w:r>
        <w:t xml:space="preserve"> </w:t>
      </w:r>
      <w:hyperlink r:id="rId243">
        <w:r>
          <w:rPr>
            <w:rStyle w:val="Hyperlink"/>
          </w:rPr>
          <w:t xml:space="preserve">The role of clade competition in the diversification of North American canids</w:t>
        </w:r>
      </w:hyperlink>
      <w:r>
        <w:t xml:space="preserve">. Proceedings of the National Academy of Sciences 112:8684–8689.</w:t>
      </w:r>
    </w:p>
    <w:bookmarkEnd w:id="244"/>
    <w:bookmarkStart w:id="246" w:name="ref-silvestro2019"/>
    <w:p>
      <w:pPr>
        <w:pStyle w:val="Bibliography"/>
      </w:pPr>
      <w:r>
        <w:t xml:space="preserve">Silvestro, D., N. Salamin, A. Antonelli, and X. Meyer. 2019.</w:t>
      </w:r>
      <w:r>
        <w:t xml:space="preserve"> </w:t>
      </w:r>
      <w:hyperlink r:id="rId245">
        <w:r>
          <w:rPr>
            <w:rStyle w:val="Hyperlink"/>
          </w:rPr>
          <w:t xml:space="preserve">Improved estimation of macroevolutionary rates from fossil data using a Bayesian framework</w:t>
        </w:r>
      </w:hyperlink>
      <w:r>
        <w:t xml:space="preserve">. Paleobiology 45:546–570.</w:t>
      </w:r>
    </w:p>
    <w:bookmarkEnd w:id="246"/>
    <w:bookmarkStart w:id="248" w:name="ref-silvestro2014"/>
    <w:p>
      <w:pPr>
        <w:pStyle w:val="Bibliography"/>
      </w:pPr>
      <w:r>
        <w:t xml:space="preserve">Silvestro, D., N. Salamin, and J. Schnitzler. 2014.</w:t>
      </w:r>
      <w:r>
        <w:t xml:space="preserve"> </w:t>
      </w:r>
      <w:hyperlink r:id="rId247">
        <w:r>
          <w:rPr>
            <w:rStyle w:val="Hyperlink"/>
          </w:rPr>
          <w:t xml:space="preserve">PyRate: a new program to estimate speciation and extinction rates from incomplete fossil data</w:t>
        </w:r>
      </w:hyperlink>
      <w:r>
        <w:t xml:space="preserve">. Methods in Ecology and Evolution 5:1126–1131.</w:t>
      </w:r>
    </w:p>
    <w:bookmarkEnd w:id="248"/>
    <w:bookmarkStart w:id="249" w:name="ref-simpson1980"/>
    <w:p>
      <w:pPr>
        <w:pStyle w:val="Bibliography"/>
      </w:pPr>
      <w:r>
        <w:t xml:space="preserve">Simpson, G. G. 1980. Splendid isolation : The curious history of south american mammals. Yale University Press, New Haven.</w:t>
      </w:r>
    </w:p>
    <w:bookmarkEnd w:id="249"/>
    <w:bookmarkStart w:id="250" w:name="ref-simpson1944"/>
    <w:p>
      <w:pPr>
        <w:pStyle w:val="Bibliography"/>
      </w:pPr>
      <w:r>
        <w:t xml:space="preserve">Simpson, G. G. 1944. Tempo and mode in evolution. Columbia University Press.</w:t>
      </w:r>
    </w:p>
    <w:bookmarkEnd w:id="250"/>
    <w:bookmarkStart w:id="252" w:name="ref-solórzano2024"/>
    <w:p>
      <w:pPr>
        <w:pStyle w:val="Bibliography"/>
      </w:pPr>
      <w:r>
        <w:t xml:space="preserve">Solórzano, A., M. Núñez-Flores, and E. Rodríguez-Serrano. 2024. The rise and fall of notoungulates: How andean uplift, available land area, competition, and depredation driven its diversification dynamics. Gondwana Research, doi:</w:t>
      </w:r>
      <w:r>
        <w:t xml:space="preserve"> </w:t>
      </w:r>
      <w:hyperlink r:id="rId251">
        <w:r>
          <w:rPr>
            <w:rStyle w:val="Hyperlink"/>
          </w:rPr>
          <w:t xml:space="preserve">10.1016/j.gr.2024.08.002</w:t>
        </w:r>
      </w:hyperlink>
      <w:r>
        <w:t xml:space="preserve">.</w:t>
      </w:r>
    </w:p>
    <w:bookmarkEnd w:id="252"/>
    <w:bookmarkStart w:id="253"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Cambridge, Mass.</w:t>
      </w:r>
    </w:p>
    <w:bookmarkEnd w:id="253"/>
    <w:bookmarkStart w:id="255" w:name="ref-stenseth_coevolution_1984"/>
    <w:p>
      <w:pPr>
        <w:pStyle w:val="Bibliography"/>
      </w:pPr>
      <w:r>
        <w:t xml:space="preserve">Stenseth, N. Chr., and J. M. Smith. 1984.</w:t>
      </w:r>
      <w:r>
        <w:t xml:space="preserve"> </w:t>
      </w:r>
      <w:hyperlink r:id="rId254">
        <w:r>
          <w:rPr>
            <w:rStyle w:val="Hyperlink"/>
          </w:rPr>
          <w:t xml:space="preserve">Coevolution in ecosystems: Red queen or evolutionary stasis?</w:t>
        </w:r>
      </w:hyperlink>
      <w:r>
        <w:t xml:space="preserve"> Evol 38:870–880.</w:t>
      </w:r>
    </w:p>
    <w:bookmarkEnd w:id="255"/>
    <w:bookmarkStart w:id="257" w:name="ref-strömberg2013"/>
    <w:p>
      <w:pPr>
        <w:pStyle w:val="Bibliography"/>
      </w:pPr>
      <w:r>
        <w:t xml:space="preserve">Strömberg, C. A. E., R. E. Dunn, R. H. Madden, M. J. Kohn, and A. A. Carlini. 2013.</w:t>
      </w:r>
      <w:r>
        <w:t xml:space="preserve"> </w:t>
      </w:r>
      <w:hyperlink r:id="rId256">
        <w:r>
          <w:rPr>
            <w:rStyle w:val="Hyperlink"/>
          </w:rPr>
          <w:t xml:space="preserve">Decoupling the spread of grasslands from the evolution of grazer-type herbivores in South America</w:t>
        </w:r>
      </w:hyperlink>
      <w:r>
        <w:t xml:space="preserve">. Nature Communications 4:1478.</w:t>
      </w:r>
    </w:p>
    <w:bookmarkEnd w:id="257"/>
    <w:bookmarkStart w:id="259" w:name="ref-tardif2025"/>
    <w:p>
      <w:pPr>
        <w:pStyle w:val="Bibliography"/>
      </w:pPr>
      <w:r>
        <w:t xml:space="preserve">Tardif, D., F. L. Condamine, S. J. R. Streiff, P. Sepulchre, and T. L. P. Couvreur. 2025.</w:t>
      </w:r>
      <w:r>
        <w:t xml:space="preserve"> </w:t>
      </w:r>
      <w:hyperlink r:id="rId258">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59"/>
    <w:bookmarkStart w:id="261" w:name="ref-tarquini2022"/>
    <w:p>
      <w:pPr>
        <w:pStyle w:val="Bibliography"/>
      </w:pPr>
      <w:r>
        <w:t xml:space="preserve">Tarquini, S. D., S. Ladevèze, and F. J. Prevosti. 2022.</w:t>
      </w:r>
      <w:r>
        <w:t xml:space="preserve"> </w:t>
      </w:r>
      <w:hyperlink r:id="rId260">
        <w:r>
          <w:rPr>
            <w:rStyle w:val="Hyperlink"/>
          </w:rPr>
          <w:t xml:space="preserve">The multicausal twilight of South American native mammalian predators (Metatheria, Sparassodonta)</w:t>
        </w:r>
      </w:hyperlink>
      <w:r>
        <w:t xml:space="preserve">. Scientific Reports 12:1224.</w:t>
      </w:r>
    </w:p>
    <w:bookmarkEnd w:id="261"/>
    <w:bookmarkStart w:id="263" w:name="ref-database"/>
    <w:p>
      <w:pPr>
        <w:pStyle w:val="Bibliography"/>
      </w:pPr>
      <w:r>
        <w:t xml:space="preserve">Upham, N., C. Burgin, J. Widness, S. Liphardt, C. Parker, M. Becker, I. Rochon, D. Huckaby, and J. Zijlstra. 2026.</w:t>
      </w:r>
      <w:r>
        <w:t xml:space="preserve"> </w:t>
      </w:r>
      <w:hyperlink r:id="rId262">
        <w:r>
          <w:rPr>
            <w:rStyle w:val="Hyperlink"/>
          </w:rPr>
          <w:t xml:space="preserve">Mammal Diversity Database v2.4</w:t>
        </w:r>
      </w:hyperlink>
      <w:r>
        <w:t xml:space="preserve">.</w:t>
      </w:r>
    </w:p>
    <w:bookmarkEnd w:id="263"/>
    <w:bookmarkStart w:id="265"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64">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65"/>
    <w:bookmarkStart w:id="267" w:name="ref-vanvalen1960"/>
    <w:p>
      <w:pPr>
        <w:pStyle w:val="Bibliography"/>
      </w:pPr>
      <w:r>
        <w:t xml:space="preserve">Van Valen, L. 1960.</w:t>
      </w:r>
      <w:r>
        <w:t xml:space="preserve"> </w:t>
      </w:r>
      <w:hyperlink r:id="rId266">
        <w:r>
          <w:rPr>
            <w:rStyle w:val="Hyperlink"/>
          </w:rPr>
          <w:t xml:space="preserve">A functional index of hypsodonty</w:t>
        </w:r>
      </w:hyperlink>
      <w:r>
        <w:t xml:space="preserve">. Evolution 14:531–532.</w:t>
      </w:r>
    </w:p>
    <w:bookmarkEnd w:id="267"/>
    <w:bookmarkStart w:id="268" w:name="ref-vanvalen1973"/>
    <w:p>
      <w:pPr>
        <w:pStyle w:val="Bibliography"/>
      </w:pPr>
      <w:r>
        <w:t xml:space="preserve">Van Valen, L. 1973a. A new evolutionary law. Evolutionary Theory 1–30.</w:t>
      </w:r>
    </w:p>
    <w:bookmarkEnd w:id="268"/>
    <w:bookmarkStart w:id="269" w:name="ref-van_valen_pattern_1973"/>
    <w:p>
      <w:pPr>
        <w:pStyle w:val="Bibliography"/>
      </w:pPr>
      <w:r>
        <w:t xml:space="preserve">Van Valen, L. 1973b. Pattern and the balance of nature. Evol. Theory 1:31–49.</w:t>
      </w:r>
    </w:p>
    <w:bookmarkEnd w:id="269"/>
    <w:bookmarkStart w:id="270" w:name="ref-vrba1995"/>
    <w:p>
      <w:pPr>
        <w:pStyle w:val="Bibliography"/>
      </w:pPr>
      <w:r>
        <w:t xml:space="preserve">Vrba, E. S. 1995. On the connections between paleoclimate and evolution. Pp. 25–45</w:t>
      </w:r>
      <w:r>
        <w:t xml:space="preserve"> </w:t>
      </w:r>
      <w:r>
        <w:rPr>
          <w:i/>
          <w:iCs/>
        </w:rPr>
        <w:t xml:space="preserve">in</w:t>
      </w:r>
      <w:r>
        <w:t xml:space="preserve">. New Haven; London.</w:t>
      </w:r>
    </w:p>
    <w:bookmarkEnd w:id="270"/>
    <w:bookmarkStart w:id="271" w:name="ref-vrba1993"/>
    <w:p>
      <w:pPr>
        <w:pStyle w:val="Bibliography"/>
      </w:pPr>
      <w:r>
        <w:t xml:space="preserve">Vrba, E. S. 1993. Turnover-pulses, the red queen and related topics. American Journal of Science 293:418–452.</w:t>
      </w:r>
    </w:p>
    <w:bookmarkEnd w:id="271"/>
    <w:bookmarkStart w:id="272"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Sociedad Argentina para el Estudio de los Mammíferos (SAREM), Buenos Aires, Argentina.</w:t>
      </w:r>
    </w:p>
    <w:bookmarkEnd w:id="272"/>
    <w:bookmarkStart w:id="273" w:name="ref-webb1985"/>
    <w:p>
      <w:pPr>
        <w:pStyle w:val="Bibliography"/>
      </w:pPr>
      <w:r>
        <w:t xml:space="preserve">Webb, S. D. 1985. Late cenozoic mammal dispersals between the americas.</w:t>
      </w:r>
    </w:p>
    <w:bookmarkEnd w:id="273"/>
    <w:bookmarkStart w:id="275" w:name="ref-weppe2023"/>
    <w:p>
      <w:pPr>
        <w:pStyle w:val="Bibliography"/>
      </w:pPr>
      <w:r>
        <w:t xml:space="preserve">Weppe, R., F. L. Condamine, G. Guinot, J. Maugoust, and M. J. Orliac. 2023.</w:t>
      </w:r>
      <w:r>
        <w:t xml:space="preserve"> </w:t>
      </w:r>
      <w:hyperlink r:id="rId274">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75"/>
    <w:bookmarkStart w:id="277"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76">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77"/>
    <w:bookmarkStart w:id="279" w:name="ref-woods2021"/>
    <w:p>
      <w:pPr>
        <w:pStyle w:val="Bibliography"/>
      </w:pPr>
      <w:r>
        <w:t xml:space="preserve">Woods, R., I. Barnes, S. Brace, and S. T. Turvey. 2021.</w:t>
      </w:r>
      <w:r>
        <w:t xml:space="preserve"> </w:t>
      </w:r>
      <w:hyperlink r:id="rId278">
        <w:r>
          <w:rPr>
            <w:rStyle w:val="Hyperlink"/>
          </w:rPr>
          <w:t xml:space="preserve">Ancient DNA suggests single colonization and within-archipelago diversification of caribbean caviomorph rodents</w:t>
        </w:r>
      </w:hyperlink>
      <w:r>
        <w:t xml:space="preserve">. Molecular Biology and Evolution 38:84–95.</w:t>
      </w:r>
    </w:p>
    <w:bookmarkEnd w:id="279"/>
    <w:bookmarkEnd w:id="280"/>
    <w:p>
      <w:r>
        <w:br w:type="page"/>
      </w:r>
    </w:p>
    <w:bookmarkEnd w:id="281"/>
    <w:bookmarkStart w:id="299"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86" w:name="fig-ExtSampl"/>
          <w:p>
            <w:pPr>
              <w:pStyle w:val="Compact"/>
              <w:jc w:val="center"/>
            </w:pPr>
            <w:r>
              <w:drawing>
                <wp:inline>
                  <wp:extent cx="5943600" cy="1635861"/>
                  <wp:effectExtent b="0" l="0" r="0" t="0"/>
                  <wp:docPr descr="" title="" id="283" name="Picture"/>
                  <a:graphic>
                    <a:graphicData uri="http://schemas.openxmlformats.org/drawingml/2006/picture">
                      <pic:pic>
                        <pic:nvPicPr>
                          <pic:cNvPr descr="../Figures/Main/extant_sampling/extant_sampling.png" id="284" name="Picture"/>
                          <pic:cNvPicPr>
                            <a:picLocks noChangeArrowheads="1" noChangeAspect="1"/>
                          </pic:cNvPicPr>
                        </pic:nvPicPr>
                        <pic:blipFill>
                          <a:blip r:embed="rId282"/>
                          <a:stretch>
                            <a:fillRect/>
                          </a:stretch>
                        </pic:blipFill>
                        <pic:spPr bwMode="auto">
                          <a:xfrm>
                            <a:off x="0" y="0"/>
                            <a:ext cx="5943600" cy="16358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85">
              <w:r>
                <w:rPr>
                  <w:rStyle w:val="Hyperlink"/>
                </w:rPr>
                <w:t xml:space="preserve">Phylopic</w:t>
              </w:r>
            </w:hyperlink>
            <w:r>
              <w:t xml:space="preserve">, see Tab. S3 for additional information.</w:t>
            </w:r>
          </w:p>
          <w:bookmarkEnd w:id="286"/>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90" w:name="fig-diversityBM"/>
          <w:p>
            <w:pPr>
              <w:pStyle w:val="Compact"/>
              <w:jc w:val="center"/>
            </w:pPr>
            <w:r>
              <w:drawing>
                <wp:inline>
                  <wp:extent cx="2519999" cy="7199999"/>
                  <wp:effectExtent b="0" l="0" r="0" t="0"/>
                  <wp:docPr descr="" title="" id="288" name="Picture"/>
                  <a:graphic>
                    <a:graphicData uri="http://schemas.openxmlformats.org/drawingml/2006/picture">
                      <pic:pic>
                        <pic:nvPicPr>
                          <pic:cNvPr descr="../Figures/Main/Diversity_and_BM_through_time.png" id="289" name="Picture"/>
                          <pic:cNvPicPr>
                            <a:picLocks noChangeArrowheads="1" noChangeAspect="1"/>
                          </pic:cNvPicPr>
                        </pic:nvPicPr>
                        <pic:blipFill>
                          <a:blip r:embed="rId287"/>
                          <a:stretch>
                            <a:fillRect/>
                          </a:stretch>
                        </pic:blipFill>
                        <pic:spPr bwMode="auto">
                          <a:xfrm>
                            <a:off x="0" y="0"/>
                            <a:ext cx="2519999" cy="71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3</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290"/>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94" w:name="fig-lifespans"/>
          <w:p>
            <w:pPr>
              <w:pStyle w:val="Compact"/>
              <w:jc w:val="center"/>
            </w:pPr>
            <w:r>
              <w:drawing>
                <wp:inline>
                  <wp:extent cx="5399999" cy="6839999"/>
                  <wp:effectExtent b="0" l="0" r="0" t="0"/>
                  <wp:docPr descr="" title="" id="292" name="Picture"/>
                  <a:graphic>
                    <a:graphicData uri="http://schemas.openxmlformats.org/drawingml/2006/picture">
                      <pic:pic>
                        <pic:nvPicPr>
                          <pic:cNvPr descr="../Figures/Main/Lifespans/lifespans_distribs.png" id="293" name="Picture"/>
                          <pic:cNvPicPr>
                            <a:picLocks noChangeArrowheads="1" noChangeAspect="1"/>
                          </pic:cNvPicPr>
                        </pic:nvPicPr>
                        <pic:blipFill>
                          <a:blip r:embed="rId291"/>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Bayesian reconstruction of the longevities of the 129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1</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94"/>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98" w:name="fig-diversification"/>
          <w:p>
            <w:pPr>
              <w:pStyle w:val="Compact"/>
              <w:jc w:val="center"/>
            </w:pPr>
            <w:r>
              <w:drawing>
                <wp:inline>
                  <wp:extent cx="5399999" cy="3959999"/>
                  <wp:effectExtent b="0" l="0" r="0" t="0"/>
                  <wp:docPr descr="" title="" id="296" name="Picture"/>
                  <a:graphic>
                    <a:graphicData uri="http://schemas.openxmlformats.org/drawingml/2006/picture">
                      <pic:pic>
                        <pic:nvPicPr>
                          <pic:cNvPr descr="../Figures/Main/Diversification_rates.png" id="297" name="Picture"/>
                          <pic:cNvPicPr>
                            <a:picLocks noChangeArrowheads="1" noChangeAspect="1"/>
                          </pic:cNvPicPr>
                        </pic:nvPicPr>
                        <pic:blipFill>
                          <a:blip r:embed="rId295"/>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Comparative chinchilloid speciation and extinction rates reconstructed using three Bayesian occurrence-based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The star indicates a significant rate shifts. The middle column</w:t>
            </w:r>
            <w:r>
              <w:t xml:space="preserve"> </w:t>
            </w:r>
            <w:r>
              <w:rPr>
                <w:b/>
                <w:bCs/>
              </w:rPr>
              <w:t xml:space="preserve">(C-D)</w:t>
            </w:r>
            <w:r>
              <w:t xml:space="preserve"> </w:t>
            </w:r>
            <w:r>
              <w:t xml:space="preserve">shows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 S10-11). The right column</w:t>
            </w:r>
            <w:r>
              <w:t xml:space="preserve"> </w:t>
            </w:r>
            <w:r>
              <w:rPr>
                <w:b/>
                <w:bCs/>
              </w:rPr>
              <w:t xml:space="preserve">(E-F)</w:t>
            </w:r>
            <w:r>
              <w:t xml:space="preserve"> </w:t>
            </w:r>
            <w:r>
              <w:t xml:space="preserve">shows the rates through time estimated with the MBD model.</w:t>
            </w:r>
          </w:p>
          <w:bookmarkEnd w:id="298"/>
        </w:tc>
      </w:tr>
    </w:tbl>
    <w:bookmarkEnd w:id="299"/>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Chinchilla chinchilla</w:t>
      </w:r>
      <w:r>
        <w:t xml:space="preserve"> </w:t>
      </w:r>
      <w:r>
        <w:t xml:space="preserve">remains.</w:t>
      </w:r>
    </w:p>
  </w:footnote>
  <w:footnote w:id="30">
    <w:p>
      <w:pPr>
        <w:pStyle w:val="FootnoteText"/>
      </w:pPr>
      <w:r>
        <w:rPr>
          <w:rStyle w:val="FootnoteReference"/>
        </w:rPr>
        <w:footnoteRef/>
      </w:r>
      <w:r>
        <w:t xml:space="preserve"> </w:t>
      </w:r>
      <w:r>
        <w:t xml:space="preserve">The species that had missing body size and/or hypsodonty reconstructions are:</w:t>
      </w:r>
      <w:r>
        <w:t xml:space="preserve"> </w:t>
      </w:r>
      <w:r>
        <w:rPr>
          <w:i/>
          <w:iCs/>
        </w:rPr>
        <w:t xml:space="preserve">Agnomys formosus</w:t>
      </w:r>
      <w:r>
        <w:t xml:space="preserve">,</w:t>
      </w:r>
      <w:r>
        <w:t xml:space="preserve"> </w:t>
      </w:r>
      <w:r>
        <w:rPr>
          <w:i/>
          <w:iCs/>
        </w:rPr>
        <w:t xml:space="preserve">Diaphoromys compressidens</w:t>
      </w:r>
      <w:r>
        <w:t xml:space="preserve">,</w:t>
      </w:r>
      <w:r>
        <w:t xml:space="preserve"> </w:t>
      </w:r>
      <w:r>
        <w:rPr>
          <w:i/>
          <w:iCs/>
        </w:rPr>
        <w:t xml:space="preserve">Eusigmomys friasensis</w:t>
      </w:r>
      <w:r>
        <w:t xml:space="preserve">,</w:t>
      </w:r>
      <w:r>
        <w:t xml:space="preserve"> </w:t>
      </w:r>
      <w:r>
        <w:rPr>
          <w:i/>
          <w:iCs/>
        </w:rPr>
        <w:t xml:space="preserve">Pentastylodon racedi</w:t>
      </w:r>
      <w:r>
        <w:t xml:space="preserve">,</w:t>
      </w:r>
      <w:r>
        <w:t xml:space="preserve"> </w:t>
      </w:r>
      <w:r>
        <w:rPr>
          <w:i/>
          <w:iCs/>
        </w:rPr>
        <w:t xml:space="preserve">Pentastylomys seriei</w:t>
      </w:r>
      <w:r>
        <w:t xml:space="preserve">,</w:t>
      </w:r>
      <w:r>
        <w:t xml:space="preserve"> </w:t>
      </w:r>
      <w:r>
        <w:rPr>
          <w:i/>
          <w:iCs/>
        </w:rPr>
        <w:t xml:space="preserve">Protomegamys coligatus</w:t>
      </w:r>
      <w:r>
        <w:t xml:space="preserve">,</w:t>
      </w:r>
      <w:r>
        <w:t xml:space="preserve"> </w:t>
      </w:r>
      <w:r>
        <w:rPr>
          <w:i/>
          <w:iCs/>
        </w:rPr>
        <w:t xml:space="preserve">Telodontomys compressidens</w:t>
      </w:r>
      <w:r>
        <w:t xml:space="preserve">,</w:t>
      </w:r>
      <w:r>
        <w:t xml:space="preserve"> </w:t>
      </w:r>
      <w:r>
        <w:rPr>
          <w:i/>
          <w:iCs/>
        </w:rPr>
        <w:t xml:space="preserve">Tetrastylomys castellanosi</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5" Target="media/rId295.png" /><Relationship Type="http://schemas.openxmlformats.org/officeDocument/2006/relationships/image" Id="rId287" Target="media/rId287.png" /><Relationship Type="http://schemas.openxmlformats.org/officeDocument/2006/relationships/image" Id="rId291" Target="media/rId291.png" /><Relationship Type="http://schemas.openxmlformats.org/officeDocument/2006/relationships/image" Id="rId282" Target="media/rId282.png" /><Relationship Type="http://schemas.openxmlformats.org/officeDocument/2006/relationships/hyperlink" Id="rId212" Target="https://discovery.ucl.ac.uk/id/eprint/10220325/" TargetMode="External" /><Relationship Type="http://schemas.openxmlformats.org/officeDocument/2006/relationships/hyperlink" Id="rId195"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201" Target="https://doi.org/10.1007/BF02988789" TargetMode="External" /><Relationship Type="http://schemas.openxmlformats.org/officeDocument/2006/relationships/hyperlink" Id="rId189" Target="https://doi.org/10.1007/s10914-022-09631-7" TargetMode="External" /><Relationship Type="http://schemas.openxmlformats.org/officeDocument/2006/relationships/hyperlink" Id="rId123"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100" Target="https://doi.org/10.1007/s12542-015-0267-3" TargetMode="External" /><Relationship Type="http://schemas.openxmlformats.org/officeDocument/2006/relationships/hyperlink" Id="rId87" Target="https://doi.org/10.1007/s12542-016-0306-8" TargetMode="External" /><Relationship Type="http://schemas.openxmlformats.org/officeDocument/2006/relationships/hyperlink" Id="rId210"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51" Target="https://doi.org/10.1016/j.gr.2024.08.002" TargetMode="External" /><Relationship Type="http://schemas.openxmlformats.org/officeDocument/2006/relationships/hyperlink" Id="rId155"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71" Target="https://doi.org/10.1016/j.palaeo.2012.09.001" TargetMode="External" /><Relationship Type="http://schemas.openxmlformats.org/officeDocument/2006/relationships/hyperlink" Id="rId166"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3" Target="https://doi.org/10.1017/S0094837300015864" TargetMode="External" /><Relationship Type="http://schemas.openxmlformats.org/officeDocument/2006/relationships/hyperlink" Id="rId245" Target="https://doi.org/10.1017/pab.2019.23" TargetMode="External" /><Relationship Type="http://schemas.openxmlformats.org/officeDocument/2006/relationships/hyperlink" Id="rId208" Target="https://doi.org/10.1017/pab.2025.10086" TargetMode="External" /><Relationship Type="http://schemas.openxmlformats.org/officeDocument/2006/relationships/hyperlink" Id="rId125" Target="https://doi.org/10.1038/365748a0" TargetMode="External" /><Relationship Type="http://schemas.openxmlformats.org/officeDocument/2006/relationships/hyperlink" Id="rId214" Target="https://doi.org/10.1038/ncomms2299" TargetMode="External" /><Relationship Type="http://schemas.openxmlformats.org/officeDocument/2006/relationships/hyperlink" Id="rId256" Target="https://doi.org/10.1038/ncomms2508" TargetMode="External" /><Relationship Type="http://schemas.openxmlformats.org/officeDocument/2006/relationships/hyperlink" Id="rId141" Target="https://doi.org/10.1038/s41467-022-30507-0" TargetMode="External" /><Relationship Type="http://schemas.openxmlformats.org/officeDocument/2006/relationships/hyperlink" Id="rId119" Target="https://doi.org/10.1038/s41467-024-48434-7" TargetMode="External" /><Relationship Type="http://schemas.openxmlformats.org/officeDocument/2006/relationships/hyperlink" Id="rId98" Target="https://doi.org/10.1038/s41559-021-01498-w" TargetMode="External" /><Relationship Type="http://schemas.openxmlformats.org/officeDocument/2006/relationships/hyperlink" Id="rId225"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5" Target="https://doi.org/10.1038/s41598-017-05263-7" TargetMode="External" /><Relationship Type="http://schemas.openxmlformats.org/officeDocument/2006/relationships/hyperlink" Id="rId260" Target="https://doi.org/10.1038/s41598-022-05266-z" TargetMode="External" /><Relationship Type="http://schemas.openxmlformats.org/officeDocument/2006/relationships/hyperlink" Id="rId89" Target="https://doi.org/10.1038/s41598-022-26010-7" TargetMode="External" /><Relationship Type="http://schemas.openxmlformats.org/officeDocument/2006/relationships/hyperlink" Id="rId264" Target="https://doi.org/10.1038/s41598-023-28497-0" TargetMode="External" /><Relationship Type="http://schemas.openxmlformats.org/officeDocument/2006/relationships/hyperlink" Id="rId77" Target="https://doi.org/10.1073/pnas.0409518102" TargetMode="External" /><Relationship Type="http://schemas.openxmlformats.org/officeDocument/2006/relationships/hyperlink" Id="rId177"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43" Target="https://doi.org/10.1073/pnas.1502803112" TargetMode="External" /><Relationship Type="http://schemas.openxmlformats.org/officeDocument/2006/relationships/hyperlink" Id="rId113" Target="https://doi.org/10.1073/pnas.1902693116" TargetMode="External" /><Relationship Type="http://schemas.openxmlformats.org/officeDocument/2006/relationships/hyperlink" Id="rId115" Target="https://doi.org/10.1073/pnas.2005571117" TargetMode="External" /><Relationship Type="http://schemas.openxmlformats.org/officeDocument/2006/relationships/hyperlink" Id="rId105" Target="https://doi.org/10.1073/pnas.2006087117" TargetMode="External" /><Relationship Type="http://schemas.openxmlformats.org/officeDocument/2006/relationships/hyperlink" Id="rId274" Target="https://doi.org/10.1073/pnas.2309945120" TargetMode="External" /><Relationship Type="http://schemas.openxmlformats.org/officeDocument/2006/relationships/hyperlink" Id="rId91" Target="https://doi.org/10.1073/pnas.2419520122" TargetMode="External" /><Relationship Type="http://schemas.openxmlformats.org/officeDocument/2006/relationships/hyperlink" Id="rId219" Target="https://doi.org/10.1080/02724634.2010.522432" TargetMode="External" /><Relationship Type="http://schemas.openxmlformats.org/officeDocument/2006/relationships/hyperlink" Id="rId227" Target="https://doi.org/10.1080/08912963.2017.1294168" TargetMode="External" /><Relationship Type="http://schemas.openxmlformats.org/officeDocument/2006/relationships/hyperlink" Id="rId231"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60" Target="https://doi.org/10.1093/botlinnean/boab098" TargetMode="External" /><Relationship Type="http://schemas.openxmlformats.org/officeDocument/2006/relationships/hyperlink" Id="rId235" Target="https://doi.org/10.1093/jmammal/gyz194" TargetMode="External" /><Relationship Type="http://schemas.openxmlformats.org/officeDocument/2006/relationships/hyperlink" Id="rId278" Target="https://doi.org/10.1093/molbev/msaa189" TargetMode="External" /><Relationship Type="http://schemas.openxmlformats.org/officeDocument/2006/relationships/hyperlink" Id="rId179" Target="https://doi.org/10.1093/sysbio/syq052" TargetMode="External" /><Relationship Type="http://schemas.openxmlformats.org/officeDocument/2006/relationships/hyperlink" Id="rId129" Target="https://doi.org/10.1093/sysbio/syw020" TargetMode="External" /><Relationship Type="http://schemas.openxmlformats.org/officeDocument/2006/relationships/hyperlink" Id="rId151" Target="https://doi.org/10.1093/sysbio/syx082" TargetMode="External" /><Relationship Type="http://schemas.openxmlformats.org/officeDocument/2006/relationships/hyperlink" Id="rId109"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7" Target="https://doi.org/10.1098/rspb.2007.1056" TargetMode="External" /><Relationship Type="http://schemas.openxmlformats.org/officeDocument/2006/relationships/hyperlink" Id="rId233" Target="https://doi.org/10.1098/rspb.2007.1645" TargetMode="External" /><Relationship Type="http://schemas.openxmlformats.org/officeDocument/2006/relationships/hyperlink" Id="rId135" Target="https://doi.org/10.1098/rspb.2011.1439" TargetMode="External" /><Relationship Type="http://schemas.openxmlformats.org/officeDocument/2006/relationships/hyperlink" Id="rId237" Target="https://doi.org/10.1098/rspb.2014.2490" TargetMode="External" /><Relationship Type="http://schemas.openxmlformats.org/officeDocument/2006/relationships/hyperlink" Id="rId191" Target="https://doi.org/10.1098/rspb.2019.2806" TargetMode="External" /><Relationship Type="http://schemas.openxmlformats.org/officeDocument/2006/relationships/hyperlink" Id="rId187"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3"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93" Target="https://doi.org/10.1101/2025.02.27.640393" TargetMode="External" /><Relationship Type="http://schemas.openxmlformats.org/officeDocument/2006/relationships/hyperlink" Id="rId247" Target="https://doi.org/10.1111/2041-210X.12263" TargetMode="External" /><Relationship Type="http://schemas.openxmlformats.org/officeDocument/2006/relationships/hyperlink" Id="rId117" Target="https://doi.org/10.1111/2041-210X.70070" TargetMode="External" /><Relationship Type="http://schemas.openxmlformats.org/officeDocument/2006/relationships/hyperlink" Id="rId111" Target="https://doi.org/10.1111/ele.13382" TargetMode="External" /><Relationship Type="http://schemas.openxmlformats.org/officeDocument/2006/relationships/hyperlink" Id="rId221" Target="https://doi.org/10.1111/evo.13680" TargetMode="External" /><Relationship Type="http://schemas.openxmlformats.org/officeDocument/2006/relationships/hyperlink" Id="rId258" Target="https://doi.org/10.1111/geb.70024" TargetMode="External" /><Relationship Type="http://schemas.openxmlformats.org/officeDocument/2006/relationships/hyperlink" Id="rId75" Target="https://doi.org/10.1111/j.1096-3642.2004.00138.x" TargetMode="External" /><Relationship Type="http://schemas.openxmlformats.org/officeDocument/2006/relationships/hyperlink" Id="rId181" Target="https://doi.org/10.1111/j.1365-2699.2005.01314.x" TargetMode="External" /><Relationship Type="http://schemas.openxmlformats.org/officeDocument/2006/relationships/hyperlink" Id="rId241" Target="https://doi.org/10.1111/j.1469-185X.2010.00137.x" TargetMode="External" /><Relationship Type="http://schemas.openxmlformats.org/officeDocument/2006/relationships/hyperlink" Id="rId127" Target="https://doi.org/10.1111/j.1469-185X.2011.00176.x" TargetMode="External" /><Relationship Type="http://schemas.openxmlformats.org/officeDocument/2006/relationships/hyperlink" Id="rId266" Target="https://doi.org/10.1111/j.1558-5646.1960.tb03121.x" TargetMode="External" /><Relationship Type="http://schemas.openxmlformats.org/officeDocument/2006/relationships/hyperlink" Id="rId254" Target="https://doi.org/10.1111/j.1558-5646.1984.tb00358.x" TargetMode="External" /><Relationship Type="http://schemas.openxmlformats.org/officeDocument/2006/relationships/hyperlink" Id="rId229"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169" Target="https://doi.org/10.1126/sciadv.1601693" TargetMode="External" /><Relationship Type="http://schemas.openxmlformats.org/officeDocument/2006/relationships/hyperlink" Id="rId199" Target="https://doi.org/10.1126/sciadv.aaz1346" TargetMode="External" /><Relationship Type="http://schemas.openxmlformats.org/officeDocument/2006/relationships/hyperlink" Id="rId153" Target="https://doi.org/10.1126/sciadv.adl2643" TargetMode="External" /><Relationship Type="http://schemas.openxmlformats.org/officeDocument/2006/relationships/hyperlink" Id="rId239"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64" Target="https://doi.org/10.1126/science.1194585" TargetMode="External" /><Relationship Type="http://schemas.openxmlformats.org/officeDocument/2006/relationships/hyperlink" Id="rId223" Target="https://doi.org/10.1126/science.1239431" TargetMode="External" /><Relationship Type="http://schemas.openxmlformats.org/officeDocument/2006/relationships/hyperlink" Id="rId276"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62" Target="https://doi.org/10.1130/0091-7613(1995)023&lt;0237:ATAACF&gt;2.3.CO;2" TargetMode="External" /><Relationship Type="http://schemas.openxmlformats.org/officeDocument/2006/relationships/hyperlink" Id="rId131" Target="https://doi.org/10.1130/B30660.1" TargetMode="External" /><Relationship Type="http://schemas.openxmlformats.org/officeDocument/2006/relationships/hyperlink" Id="rId121" Target="https://doi.org/10.1144/jgs2020-188" TargetMode="External" /><Relationship Type="http://schemas.openxmlformats.org/officeDocument/2006/relationships/hyperlink" Id="rId203" Target="https://doi.org/10.1146/annurev-ecolsys-102722-020508" TargetMode="External" /><Relationship Type="http://schemas.openxmlformats.org/officeDocument/2006/relationships/hyperlink" Id="rId147" Target="https://doi.org/10.1146/annurev.ecolsys.28.1.129" TargetMode="External" /><Relationship Type="http://schemas.openxmlformats.org/officeDocument/2006/relationships/hyperlink" Id="rId183" Target="https://doi.org/10.1146/annurev.ecolsys.31.1.33" TargetMode="External" /><Relationship Type="http://schemas.openxmlformats.org/officeDocument/2006/relationships/hyperlink" Id="rId185" Target="https://doi.org/10.1206/0003-0090-363.1.1" TargetMode="External" /><Relationship Type="http://schemas.openxmlformats.org/officeDocument/2006/relationships/hyperlink" Id="rId149" Target="https://doi.org/10.1590/1809-4392202103601" TargetMode="External" /><Relationship Type="http://schemas.openxmlformats.org/officeDocument/2006/relationships/hyperlink" Id="rId145"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7" Target="https://doi.org/10.18814/epiiugs/2025/025001" TargetMode="External" /><Relationship Type="http://schemas.openxmlformats.org/officeDocument/2006/relationships/hyperlink" Id="rId173" Target="https://doi.org/10.2307/2291091" TargetMode="External" /><Relationship Type="http://schemas.openxmlformats.org/officeDocument/2006/relationships/hyperlink" Id="rId81" Target="https://doi.org/10.5252/geodiversitas2019v41a4" TargetMode="External" /><Relationship Type="http://schemas.openxmlformats.org/officeDocument/2006/relationships/hyperlink" Id="rId262" Target="https://doi.org/10.5281/zenodo.18135819" TargetMode="External" /><Relationship Type="http://schemas.openxmlformats.org/officeDocument/2006/relationships/hyperlink" Id="rId205" Target="https://doi.org/10.5710/AMGH.07.07.2023.3551" TargetMode="External" /><Relationship Type="http://schemas.openxmlformats.org/officeDocument/2006/relationships/hyperlink" Id="rId139" Target="https://doi.org/10.5710/PEAPA.01.11.2019.309" TargetMode="External" /><Relationship Type="http://schemas.openxmlformats.org/officeDocument/2006/relationships/hyperlink" Id="rId73" Target="https://doi.org/10.7717/peerj.6088" TargetMode="External" /><Relationship Type="http://schemas.openxmlformats.org/officeDocument/2006/relationships/hyperlink" Id="rId157" Target="https://doi.org/10.7717/peerj.8011" TargetMode="External" /><Relationship Type="http://schemas.openxmlformats.org/officeDocument/2006/relationships/hyperlink" Id="rId217" Target="https://press.uchicago.edu/ucp/books/book/chicago/M/bo18553844.html" TargetMode="External" /><Relationship Type="http://schemas.openxmlformats.org/officeDocument/2006/relationships/hyperlink" Id="rId193" Target="https://www.jstor.org/stable/1688046" TargetMode="External" /><Relationship Type="http://schemas.openxmlformats.org/officeDocument/2006/relationships/hyperlink" Id="rId137" Target="https://www.jstor.org/stable/26519218" TargetMode="External" /><Relationship Type="http://schemas.openxmlformats.org/officeDocument/2006/relationships/hyperlink" Id="rId285"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12" Target="https://discovery.ucl.ac.uk/id/eprint/10220325/" TargetMode="External" /><Relationship Type="http://schemas.openxmlformats.org/officeDocument/2006/relationships/hyperlink" Id="rId195"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201" Target="https://doi.org/10.1007/BF02988789" TargetMode="External" /><Relationship Type="http://schemas.openxmlformats.org/officeDocument/2006/relationships/hyperlink" Id="rId189" Target="https://doi.org/10.1007/s10914-022-09631-7" TargetMode="External" /><Relationship Type="http://schemas.openxmlformats.org/officeDocument/2006/relationships/hyperlink" Id="rId123"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100" Target="https://doi.org/10.1007/s12542-015-0267-3" TargetMode="External" /><Relationship Type="http://schemas.openxmlformats.org/officeDocument/2006/relationships/hyperlink" Id="rId87" Target="https://doi.org/10.1007/s12542-016-0306-8" TargetMode="External" /><Relationship Type="http://schemas.openxmlformats.org/officeDocument/2006/relationships/hyperlink" Id="rId210"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51" Target="https://doi.org/10.1016/j.gr.2024.08.002" TargetMode="External" /><Relationship Type="http://schemas.openxmlformats.org/officeDocument/2006/relationships/hyperlink" Id="rId155"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71" Target="https://doi.org/10.1016/j.palaeo.2012.09.001" TargetMode="External" /><Relationship Type="http://schemas.openxmlformats.org/officeDocument/2006/relationships/hyperlink" Id="rId166"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3" Target="https://doi.org/10.1017/S0094837300015864" TargetMode="External" /><Relationship Type="http://schemas.openxmlformats.org/officeDocument/2006/relationships/hyperlink" Id="rId245" Target="https://doi.org/10.1017/pab.2019.23" TargetMode="External" /><Relationship Type="http://schemas.openxmlformats.org/officeDocument/2006/relationships/hyperlink" Id="rId208" Target="https://doi.org/10.1017/pab.2025.10086" TargetMode="External" /><Relationship Type="http://schemas.openxmlformats.org/officeDocument/2006/relationships/hyperlink" Id="rId125" Target="https://doi.org/10.1038/365748a0" TargetMode="External" /><Relationship Type="http://schemas.openxmlformats.org/officeDocument/2006/relationships/hyperlink" Id="rId214" Target="https://doi.org/10.1038/ncomms2299" TargetMode="External" /><Relationship Type="http://schemas.openxmlformats.org/officeDocument/2006/relationships/hyperlink" Id="rId256" Target="https://doi.org/10.1038/ncomms2508" TargetMode="External" /><Relationship Type="http://schemas.openxmlformats.org/officeDocument/2006/relationships/hyperlink" Id="rId141" Target="https://doi.org/10.1038/s41467-022-30507-0" TargetMode="External" /><Relationship Type="http://schemas.openxmlformats.org/officeDocument/2006/relationships/hyperlink" Id="rId119" Target="https://doi.org/10.1038/s41467-024-48434-7" TargetMode="External" /><Relationship Type="http://schemas.openxmlformats.org/officeDocument/2006/relationships/hyperlink" Id="rId98" Target="https://doi.org/10.1038/s41559-021-01498-w" TargetMode="External" /><Relationship Type="http://schemas.openxmlformats.org/officeDocument/2006/relationships/hyperlink" Id="rId225"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5" Target="https://doi.org/10.1038/s41598-017-05263-7" TargetMode="External" /><Relationship Type="http://schemas.openxmlformats.org/officeDocument/2006/relationships/hyperlink" Id="rId260" Target="https://doi.org/10.1038/s41598-022-05266-z" TargetMode="External" /><Relationship Type="http://schemas.openxmlformats.org/officeDocument/2006/relationships/hyperlink" Id="rId89" Target="https://doi.org/10.1038/s41598-022-26010-7" TargetMode="External" /><Relationship Type="http://schemas.openxmlformats.org/officeDocument/2006/relationships/hyperlink" Id="rId264" Target="https://doi.org/10.1038/s41598-023-28497-0" TargetMode="External" /><Relationship Type="http://schemas.openxmlformats.org/officeDocument/2006/relationships/hyperlink" Id="rId77" Target="https://doi.org/10.1073/pnas.0409518102" TargetMode="External" /><Relationship Type="http://schemas.openxmlformats.org/officeDocument/2006/relationships/hyperlink" Id="rId177"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43" Target="https://doi.org/10.1073/pnas.1502803112" TargetMode="External" /><Relationship Type="http://schemas.openxmlformats.org/officeDocument/2006/relationships/hyperlink" Id="rId113" Target="https://doi.org/10.1073/pnas.1902693116" TargetMode="External" /><Relationship Type="http://schemas.openxmlformats.org/officeDocument/2006/relationships/hyperlink" Id="rId115" Target="https://doi.org/10.1073/pnas.2005571117" TargetMode="External" /><Relationship Type="http://schemas.openxmlformats.org/officeDocument/2006/relationships/hyperlink" Id="rId105" Target="https://doi.org/10.1073/pnas.2006087117" TargetMode="External" /><Relationship Type="http://schemas.openxmlformats.org/officeDocument/2006/relationships/hyperlink" Id="rId274" Target="https://doi.org/10.1073/pnas.2309945120" TargetMode="External" /><Relationship Type="http://schemas.openxmlformats.org/officeDocument/2006/relationships/hyperlink" Id="rId91" Target="https://doi.org/10.1073/pnas.2419520122" TargetMode="External" /><Relationship Type="http://schemas.openxmlformats.org/officeDocument/2006/relationships/hyperlink" Id="rId219" Target="https://doi.org/10.1080/02724634.2010.522432" TargetMode="External" /><Relationship Type="http://schemas.openxmlformats.org/officeDocument/2006/relationships/hyperlink" Id="rId227" Target="https://doi.org/10.1080/08912963.2017.1294168" TargetMode="External" /><Relationship Type="http://schemas.openxmlformats.org/officeDocument/2006/relationships/hyperlink" Id="rId231"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60" Target="https://doi.org/10.1093/botlinnean/boab098" TargetMode="External" /><Relationship Type="http://schemas.openxmlformats.org/officeDocument/2006/relationships/hyperlink" Id="rId235" Target="https://doi.org/10.1093/jmammal/gyz194" TargetMode="External" /><Relationship Type="http://schemas.openxmlformats.org/officeDocument/2006/relationships/hyperlink" Id="rId278" Target="https://doi.org/10.1093/molbev/msaa189" TargetMode="External" /><Relationship Type="http://schemas.openxmlformats.org/officeDocument/2006/relationships/hyperlink" Id="rId179" Target="https://doi.org/10.1093/sysbio/syq052" TargetMode="External" /><Relationship Type="http://schemas.openxmlformats.org/officeDocument/2006/relationships/hyperlink" Id="rId129" Target="https://doi.org/10.1093/sysbio/syw020" TargetMode="External" /><Relationship Type="http://schemas.openxmlformats.org/officeDocument/2006/relationships/hyperlink" Id="rId151" Target="https://doi.org/10.1093/sysbio/syx082" TargetMode="External" /><Relationship Type="http://schemas.openxmlformats.org/officeDocument/2006/relationships/hyperlink" Id="rId109"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7" Target="https://doi.org/10.1098/rspb.2007.1056" TargetMode="External" /><Relationship Type="http://schemas.openxmlformats.org/officeDocument/2006/relationships/hyperlink" Id="rId233" Target="https://doi.org/10.1098/rspb.2007.1645" TargetMode="External" /><Relationship Type="http://schemas.openxmlformats.org/officeDocument/2006/relationships/hyperlink" Id="rId135" Target="https://doi.org/10.1098/rspb.2011.1439" TargetMode="External" /><Relationship Type="http://schemas.openxmlformats.org/officeDocument/2006/relationships/hyperlink" Id="rId237" Target="https://doi.org/10.1098/rspb.2014.2490" TargetMode="External" /><Relationship Type="http://schemas.openxmlformats.org/officeDocument/2006/relationships/hyperlink" Id="rId191" Target="https://doi.org/10.1098/rspb.2019.2806" TargetMode="External" /><Relationship Type="http://schemas.openxmlformats.org/officeDocument/2006/relationships/hyperlink" Id="rId187"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3"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93" Target="https://doi.org/10.1101/2025.02.27.640393" TargetMode="External" /><Relationship Type="http://schemas.openxmlformats.org/officeDocument/2006/relationships/hyperlink" Id="rId247" Target="https://doi.org/10.1111/2041-210X.12263" TargetMode="External" /><Relationship Type="http://schemas.openxmlformats.org/officeDocument/2006/relationships/hyperlink" Id="rId117" Target="https://doi.org/10.1111/2041-210X.70070" TargetMode="External" /><Relationship Type="http://schemas.openxmlformats.org/officeDocument/2006/relationships/hyperlink" Id="rId111" Target="https://doi.org/10.1111/ele.13382" TargetMode="External" /><Relationship Type="http://schemas.openxmlformats.org/officeDocument/2006/relationships/hyperlink" Id="rId221" Target="https://doi.org/10.1111/evo.13680" TargetMode="External" /><Relationship Type="http://schemas.openxmlformats.org/officeDocument/2006/relationships/hyperlink" Id="rId258" Target="https://doi.org/10.1111/geb.70024" TargetMode="External" /><Relationship Type="http://schemas.openxmlformats.org/officeDocument/2006/relationships/hyperlink" Id="rId75" Target="https://doi.org/10.1111/j.1096-3642.2004.00138.x" TargetMode="External" /><Relationship Type="http://schemas.openxmlformats.org/officeDocument/2006/relationships/hyperlink" Id="rId181" Target="https://doi.org/10.1111/j.1365-2699.2005.01314.x" TargetMode="External" /><Relationship Type="http://schemas.openxmlformats.org/officeDocument/2006/relationships/hyperlink" Id="rId241" Target="https://doi.org/10.1111/j.1469-185X.2010.00137.x" TargetMode="External" /><Relationship Type="http://schemas.openxmlformats.org/officeDocument/2006/relationships/hyperlink" Id="rId127" Target="https://doi.org/10.1111/j.1469-185X.2011.00176.x" TargetMode="External" /><Relationship Type="http://schemas.openxmlformats.org/officeDocument/2006/relationships/hyperlink" Id="rId266" Target="https://doi.org/10.1111/j.1558-5646.1960.tb03121.x" TargetMode="External" /><Relationship Type="http://schemas.openxmlformats.org/officeDocument/2006/relationships/hyperlink" Id="rId254" Target="https://doi.org/10.1111/j.1558-5646.1984.tb00358.x" TargetMode="External" /><Relationship Type="http://schemas.openxmlformats.org/officeDocument/2006/relationships/hyperlink" Id="rId229"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169" Target="https://doi.org/10.1126/sciadv.1601693" TargetMode="External" /><Relationship Type="http://schemas.openxmlformats.org/officeDocument/2006/relationships/hyperlink" Id="rId199" Target="https://doi.org/10.1126/sciadv.aaz1346" TargetMode="External" /><Relationship Type="http://schemas.openxmlformats.org/officeDocument/2006/relationships/hyperlink" Id="rId153" Target="https://doi.org/10.1126/sciadv.adl2643" TargetMode="External" /><Relationship Type="http://schemas.openxmlformats.org/officeDocument/2006/relationships/hyperlink" Id="rId239"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64" Target="https://doi.org/10.1126/science.1194585" TargetMode="External" /><Relationship Type="http://schemas.openxmlformats.org/officeDocument/2006/relationships/hyperlink" Id="rId223" Target="https://doi.org/10.1126/science.1239431" TargetMode="External" /><Relationship Type="http://schemas.openxmlformats.org/officeDocument/2006/relationships/hyperlink" Id="rId276"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62" Target="https://doi.org/10.1130/0091-7613(1995)023&lt;0237:ATAACF&gt;2.3.CO;2" TargetMode="External" /><Relationship Type="http://schemas.openxmlformats.org/officeDocument/2006/relationships/hyperlink" Id="rId131" Target="https://doi.org/10.1130/B30660.1" TargetMode="External" /><Relationship Type="http://schemas.openxmlformats.org/officeDocument/2006/relationships/hyperlink" Id="rId121" Target="https://doi.org/10.1144/jgs2020-188" TargetMode="External" /><Relationship Type="http://schemas.openxmlformats.org/officeDocument/2006/relationships/hyperlink" Id="rId203" Target="https://doi.org/10.1146/annurev-ecolsys-102722-020508" TargetMode="External" /><Relationship Type="http://schemas.openxmlformats.org/officeDocument/2006/relationships/hyperlink" Id="rId147" Target="https://doi.org/10.1146/annurev.ecolsys.28.1.129" TargetMode="External" /><Relationship Type="http://schemas.openxmlformats.org/officeDocument/2006/relationships/hyperlink" Id="rId183" Target="https://doi.org/10.1146/annurev.ecolsys.31.1.33" TargetMode="External" /><Relationship Type="http://schemas.openxmlformats.org/officeDocument/2006/relationships/hyperlink" Id="rId185" Target="https://doi.org/10.1206/0003-0090-363.1.1" TargetMode="External" /><Relationship Type="http://schemas.openxmlformats.org/officeDocument/2006/relationships/hyperlink" Id="rId149" Target="https://doi.org/10.1590/1809-4392202103601" TargetMode="External" /><Relationship Type="http://schemas.openxmlformats.org/officeDocument/2006/relationships/hyperlink" Id="rId145"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7" Target="https://doi.org/10.18814/epiiugs/2025/025001" TargetMode="External" /><Relationship Type="http://schemas.openxmlformats.org/officeDocument/2006/relationships/hyperlink" Id="rId173" Target="https://doi.org/10.2307/2291091" TargetMode="External" /><Relationship Type="http://schemas.openxmlformats.org/officeDocument/2006/relationships/hyperlink" Id="rId81" Target="https://doi.org/10.5252/geodiversitas2019v41a4" TargetMode="External" /><Relationship Type="http://schemas.openxmlformats.org/officeDocument/2006/relationships/hyperlink" Id="rId262" Target="https://doi.org/10.5281/zenodo.18135819" TargetMode="External" /><Relationship Type="http://schemas.openxmlformats.org/officeDocument/2006/relationships/hyperlink" Id="rId205" Target="https://doi.org/10.5710/AMGH.07.07.2023.3551" TargetMode="External" /><Relationship Type="http://schemas.openxmlformats.org/officeDocument/2006/relationships/hyperlink" Id="rId139" Target="https://doi.org/10.5710/PEAPA.01.11.2019.309" TargetMode="External" /><Relationship Type="http://schemas.openxmlformats.org/officeDocument/2006/relationships/hyperlink" Id="rId73" Target="https://doi.org/10.7717/peerj.6088" TargetMode="External" /><Relationship Type="http://schemas.openxmlformats.org/officeDocument/2006/relationships/hyperlink" Id="rId157" Target="https://doi.org/10.7717/peerj.8011" TargetMode="External" /><Relationship Type="http://schemas.openxmlformats.org/officeDocument/2006/relationships/hyperlink" Id="rId217" Target="https://press.uchicago.edu/ucp/books/book/chicago/M/bo18553844.html" TargetMode="External" /><Relationship Type="http://schemas.openxmlformats.org/officeDocument/2006/relationships/hyperlink" Id="rId193" Target="https://www.jstor.org/stable/1688046" TargetMode="External" /><Relationship Type="http://schemas.openxmlformats.org/officeDocument/2006/relationships/hyperlink" Id="rId137" Target="https://www.jstor.org/stable/26519218" TargetMode="External" /><Relationship Type="http://schemas.openxmlformats.org/officeDocument/2006/relationships/hyperlink" Id="rId285"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Boivin²*, Alicia Álvarez², Fabien L. Condamine¹, Laurent Marivaux¹</dc:creator>
  <cp:keywords/>
  <dcterms:created xsi:type="dcterms:W3CDTF">2026-03-19T17:20:11Z</dcterms:created>
  <dcterms:modified xsi:type="dcterms:W3CDTF">2026-03-19T17:20:11Z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