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Téma</w:t>
      </w:r>
      <w:r>
        <w:t xml:space="preserve"> </w:t>
      </w:r>
      <w:r>
        <w:t xml:space="preserve">la</w:t>
      </w:r>
      <w:r>
        <w:t xml:space="preserve"> </w:t>
      </w:r>
      <w:r>
        <w:t xml:space="preserve">taille</w:t>
      </w:r>
      <w:r>
        <w:t xml:space="preserve"> </w:t>
      </w:r>
      <w:r>
        <w:t xml:space="preserve">du</w:t>
      </w:r>
      <w:r>
        <w:t xml:space="preserve"> </w:t>
      </w:r>
      <w:r>
        <w:t xml:space="preserve">rat</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Bayesian inference; Body mass; Deep Learning; Disparity; Macroevolution; Rodents</w:t>
      </w:r>
    </w:p>
    <w:p>
      <w:pPr>
        <w:pStyle w:val="BodyText"/>
      </w:pPr>
      <w:r>
        <w:rPr>
          <w:i/>
          <w:iCs/>
        </w:rPr>
        <w:t xml:space="preserve">Journal(s) aimed</w:t>
      </w:r>
      <w:r>
        <w:t xml:space="preserve">: Systematic biology (research article =&gt; we do not have phylogeny) ? Journal of Evolutionary Biology ? Evolution ?</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hystricognaths (Hystricognathi: Caviomorpha), accounting for</w:t>
      </w:r>
      <w:r>
        <w:t xml:space="preserve"> </w:t>
      </w:r>
      <w:r>
        <w:rPr>
          <w:i/>
          <w:iCs/>
        </w:rPr>
        <w:t xml:space="preserve">c.</w:t>
      </w:r>
      <w:r>
        <w:t xml:space="preserve"> </w:t>
      </w:r>
      <w:r>
        <w:t xml:space="preserve">10% of the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50–80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appear to have an enhanced capacity to evolve large sizes</w:t>
      </w:r>
      <w:r>
        <w:t xml:space="preserve"> </w:t>
      </w:r>
      <w:r>
        <w:t xml:space="preserve">(Vucetich et al. 2015)</w:t>
      </w:r>
      <w:r>
        <w:t xml:space="preserve">, raising questions regarding the drivers underlying such an unusual evolutionary pathway among rodents.</w:t>
      </w:r>
    </w:p>
    <w:p>
      <w:pPr>
        <w:pStyle w:val="BodyText"/>
      </w:pPr>
      <w:r>
        <w:t xml:space="preserve">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Such a trend is particularly well illustrated in the superfamily Chinchilloidea. Today, chinchilloids include seven to eight species distributed among four distantly-related genera</w:t>
      </w:r>
      <w:r>
        <w:t xml:space="preserve"> </w:t>
      </w:r>
      <w:r>
        <w:t xml:space="preserve">(</w:t>
      </w:r>
      <w:r>
        <w:rPr>
          <w:i/>
          <w:iCs/>
        </w:rPr>
        <w:t xml:space="preserve">e</w:t>
      </w:r>
      <w:r>
        <w:t xml:space="preserve">.</w:t>
      </w:r>
      <w:r>
        <w:rPr>
          <w:i/>
          <w:iCs/>
        </w:rPr>
        <w:t xml:space="preserve">g</w:t>
      </w:r>
      <w:r>
        <w:t xml:space="preserve">., Upham and Patterson 2015)</w:t>
      </w:r>
      <w:r>
        <w:t xml:space="preserve"> </w:t>
      </w:r>
      <w:r>
        <w:t xml:space="preserve">–</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 Eocene</w:t>
      </w:r>
      <w:r>
        <w:t xml:space="preserve"> </w:t>
      </w:r>
      <w:r>
        <w:t xml:space="preserve">(Antoine et al. 2021)</w:t>
      </w:r>
      <w:r>
        <w:t xml:space="preserve"> </w:t>
      </w:r>
      <w:r>
        <w:t xml:space="preserve">and comprises more than 100 described species</w:t>
      </w:r>
      <w:r>
        <w:t xml:space="preserve"> </w:t>
      </w:r>
      <w:r>
        <w:t xml:space="preserve">(</w:t>
      </w:r>
      <w:r>
        <w:rPr>
          <w:i/>
          <w:iCs/>
        </w:rPr>
        <w:t xml:space="preserve">e</w:t>
      </w:r>
      <w:r>
        <w:t xml:space="preserve">.</w:t>
      </w:r>
      <w:r>
        <w:rPr>
          <w:i/>
          <w:iCs/>
        </w:rPr>
        <w:t xml:space="preserve">g</w:t>
      </w:r>
      <w:r>
        <w:t xml:space="preserve">., Candela 2005, this study)</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Nonetheless, it is worth mentioning that all these giant taxa were parts of a larger radiation that flourished in the late Cenozoic, in particular in the Mio-Pliocene, and further vanished, leaving the modest extant diversity of the group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t xml:space="preserve"> </w:t>
      </w:r>
      <w:r>
        <w:t xml:space="preserve">(see Marivaux et al. 2020; Marivaux et al. 2022 and literature therein)</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w:t>
      </w:r>
      <w:r>
        <w:t xml:space="preserve">.</w:t>
      </w:r>
    </w:p>
    <w:p>
      <w:pPr>
        <w:pStyle w:val="BodyText"/>
      </w:pPr>
      <w:r>
        <w:t xml:space="preserve">Understanding how taxonomic diversity and morphological disparity covary through evolutionary timescales has been a central aim of macroevolutionary research. Seminal works highlighted that clades could experience coordinated or decoupled diversity and disparity trajectories linked to biological diversification –</w:t>
      </w:r>
      <w:r>
        <w:t xml:space="preserve"> </w:t>
      </w:r>
      <w:r>
        <w:rPr>
          <w:i/>
          <w:iCs/>
        </w:rPr>
        <w:t xml:space="preserve">i</w:t>
      </w:r>
      <w:r>
        <w:t xml:space="preserve">.</w:t>
      </w:r>
      <w:r>
        <w:rPr>
          <w:i/>
          <w:iCs/>
        </w:rPr>
        <w:t xml:space="preserve">e</w:t>
      </w:r>
      <w:r>
        <w:t xml:space="preserve">., origination and extinction, the processes generating diversity</w:t>
      </w:r>
      <w:r>
        <w:t xml:space="preserve"> </w:t>
      </w:r>
      <w:r>
        <w:t xml:space="preserve">(Foote 1993, 1997)</w:t>
      </w:r>
      <w:r>
        <w:t xml:space="preserve">. This would stand for many different frameworks, for instance adaptive radiations or biological crises, and origination and extinction could either act as opposing forces or reinforce one another in the contraction/expansion of the morphospace</w:t>
      </w:r>
      <w:r>
        <w:t xml:space="preserve"> </w:t>
      </w:r>
      <w:r>
        <w:t xml:space="preserve">(Simpson 1944; Foote 1993, 1997; Balseiro et al. 2025; Esteve 2025)</w:t>
      </w:r>
      <w:r>
        <w:t xml:space="preserve">. Moreover, diversification has long been postulated to be affected by external biotic or abiotic factors</w:t>
      </w:r>
      <w:r>
        <w:t xml:space="preserve"> </w:t>
      </w:r>
      <w:r>
        <w:t xml:space="preserve">(</w:t>
      </w:r>
      <w:r>
        <w:rPr>
          <w:i/>
          <w:iCs/>
        </w:rPr>
        <w:t xml:space="preserve">e</w:t>
      </w:r>
      <w:r>
        <w:t xml:space="preserve">.</w:t>
      </w:r>
      <w:r>
        <w:rPr>
          <w:i/>
          <w:iCs/>
        </w:rPr>
        <w:t xml:space="preserve">g</w:t>
      </w:r>
      <w:r>
        <w:t xml:space="preserve">., Van Valen 1973a; Benton 1983; Vrba 1995; Barnosky 2001)</w:t>
      </w:r>
      <w:r>
        <w:t xml:space="preserve">, which promoted significant development of methods aiming to elucidate the role of the external environment in the pace at which clades diversify</w:t>
      </w:r>
      <w:r>
        <w:t xml:space="preserve"> </w:t>
      </w:r>
      <w:r>
        <w:t xml:space="preserve">(</w:t>
      </w:r>
      <w:r>
        <w:rPr>
          <w:i/>
          <w:iCs/>
        </w:rPr>
        <w:t xml:space="preserve">e</w:t>
      </w:r>
      <w:r>
        <w:t xml:space="preserve">.</w:t>
      </w:r>
      <w:r>
        <w:rPr>
          <w:i/>
          <w:iCs/>
        </w:rPr>
        <w:t xml:space="preserve">g</w:t>
      </w:r>
      <w:r>
        <w:t xml:space="preserve">., Silvestro et al. 2015; Lehtonen et al. 2017; Morlon et al. 2024 and literature therein)</w:t>
      </w:r>
      <w:r>
        <w:t xml:space="preserve">. Also noteworthy, studies illustrated that phenotypic evolution in itself could also be ruled by similar factors</w:t>
      </w:r>
      <w:r>
        <w:t xml:space="preserve"> </w:t>
      </w:r>
      <w:r>
        <w:t xml:space="preserve">(</w:t>
      </w:r>
      <w:r>
        <w:rPr>
          <w:i/>
          <w:iCs/>
        </w:rPr>
        <w:t xml:space="preserve">e</w:t>
      </w:r>
      <w:r>
        <w:t xml:space="preserve">.</w:t>
      </w:r>
      <w:r>
        <w:rPr>
          <w:i/>
          <w:iCs/>
        </w:rPr>
        <w:t xml:space="preserve">g</w:t>
      </w:r>
      <w:r>
        <w:t xml:space="preserve">., Drury et al. 2016; Clavel and Morlon 2017)</w:t>
      </w:r>
      <w:r>
        <w:t xml:space="preserve">.</w:t>
      </w:r>
    </w:p>
    <w:p>
      <w:pPr>
        <w:pStyle w:val="BodyText"/>
      </w:pPr>
      <w:r>
        <w:t xml:space="preserve">For the Chinchilloidea, several hypotheses have been advocated to explain their unusual body mass evolution, though few relate to their diversification dynamics.</w:t>
      </w:r>
      <w:r>
        <w:t xml:space="preserve"> </w:t>
      </w:r>
      <w:r>
        <w:t xml:space="preserve">Vucetich et al. (2015)</w:t>
      </w:r>
      <w:r>
        <w:t xml:space="preserve"> </w:t>
      </w:r>
      <w:r>
        <w:t xml:space="preserve">proposed a climate component relying on cooling and aridification, coinciding with an expansion of open habitats in continental South America from the Middle Miocene onwards</w:t>
      </w:r>
      <w:r>
        <w:t xml:space="preserve"> </w:t>
      </w:r>
      <w:r>
        <w:t xml:space="preserve">(Palazzesi and Barreda 2012)</w:t>
      </w:r>
      <w:r>
        <w:t xml:space="preserve">. Similar climatic factors are also often invoked to explain a concomitant increase in cheek teeth crown height (</w:t>
      </w:r>
      <w:r>
        <w:rPr>
          <w:i/>
          <w:iCs/>
        </w:rPr>
        <w:t xml:space="preserve">i</w:t>
      </w:r>
      <w:r>
        <w:t xml:space="preserve">.</w:t>
      </w:r>
      <w:r>
        <w:rPr>
          <w:i/>
          <w:iCs/>
        </w:rPr>
        <w:t xml:space="preserve">e</w:t>
      </w:r>
      <w:r>
        <w:t xml:space="preserve">., hypsodonty index) observed in several groups of caviomorphs. Role of Paranense sea regression and resulting environments in Mesopotamian region [see</w:t>
      </w:r>
      <w:r>
        <w:t xml:space="preserve"> </w:t>
      </w:r>
      <w:r>
        <w:rPr>
          <w:b/>
          <w:bCs/>
        </w:rPr>
        <w:t xml:space="preserve">candela2013</w:t>
      </w:r>
      <w:r>
        <w:t xml:space="preserve"> </w:t>
      </w:r>
      <w:r>
        <w:t xml:space="preserve">and literature therein]. In addition, a role of biotic factors, such as intra- or interspecific competition, predator avoidance or physiological constraints (</w:t>
      </w:r>
      <w:r>
        <w:rPr>
          <w:i/>
          <w:iCs/>
        </w:rPr>
        <w:t xml:space="preserve">e</w:t>
      </w:r>
      <w:r>
        <w:t xml:space="preserve">.</w:t>
      </w:r>
      <w:r>
        <w:rPr>
          <w:i/>
          <w:iCs/>
        </w:rPr>
        <w:t xml:space="preserve">g</w:t>
      </w:r>
      <w:r>
        <w:t xml:space="preserve">., metabolic rate) was also suggested, on the basis of results established on modern species showing size-increase patterns</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Caribbean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2016a)</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Besides, questions are also raised by chinchilloid’s recent evolutionary decline. Can this be replaced in the context of the Holocene megafaunal wipe-out, in turn related to climatic and/or anthropogenetic factors</w:t>
      </w:r>
      <w:r>
        <w:t xml:space="preserve"> </w:t>
      </w:r>
      <w:r>
        <w:t xml:space="preserve">(Barnosky and Lindsey 2010)</w:t>
      </w:r>
      <w:r>
        <w:t xml:space="preserve">? To the arrival and further diversification of new mammalian predators from North America during the Great American Biotic Interchange</w:t>
      </w:r>
      <w:r>
        <w:t xml:space="preserve"> </w:t>
      </w:r>
      <w:r>
        <w:t xml:space="preserve">(Marshall et al. 1982; Faurby and Svenning 2016b)</w:t>
      </w:r>
      <w:r>
        <w:t xml:space="preserve">?</w:t>
      </w:r>
    </w:p>
    <w:p>
      <w:pPr>
        <w:pStyle w:val="BodyText"/>
      </w:pPr>
      <w:r>
        <w:t xml:space="preserve">Despite all this, the question of the evolutionary fate of Chinchilloidea has never been approached in its entirety, and many of the hypotheses raised to explain the exceptional phenotypical evolutionary pathway of this rodent group have poorly considered the likely interplay between the latter and biological diversification, even less taking advantage of the quantitative frameworks that have flourished over the last decade.</w:t>
      </w:r>
    </w:p>
    <w:p>
      <w:pPr>
        <w:pStyle w:val="BodyText"/>
      </w:pPr>
      <w:r>
        <w:t xml:space="preserve">Here, we investigate the evolutionary history of Chinchilloidea and underpin its environmental correlates, with an emphasis on body mass evolution. To do so, we compiled and revised 715 chinchilloid fossil occurrences from the literature to build the most exhaustive fossil occurrence database ever produced for this group, encompassing 59 genera and 136 species. In parallel, we collected dental traits and measurements in order to carry out body mass reconstructions based on recently-published sets of predictive equations, and reconstructed hyposodonty indices based on cheek-teeth crown height. We further analysed chinchilloid diversity and diversification dynamics throughout their entire evolutionary history using state-of-the-art preservation-aware methodological frameworks, and sought for their likely environmental drivers, allowing rate variation across time, body size and crown height categories.</w:t>
      </w:r>
    </w:p>
    <w:bookmarkEnd w:id="22"/>
    <w:bookmarkStart w:id="31" w:name="materials-and-methods"/>
    <w:p>
      <w:pPr>
        <w:pStyle w:val="Heading1"/>
      </w:pPr>
      <w:r>
        <w:t xml:space="preserve">Materials and Methods</w:t>
      </w:r>
    </w:p>
    <w:bookmarkStart w:id="23" w:name="fossil-occurrence-database"/>
    <w:p>
      <w:pPr>
        <w:pStyle w:val="Heading2"/>
      </w:pPr>
      <w:r>
        <w:t xml:space="preserve">Fossil occurrence database</w:t>
      </w:r>
    </w:p>
    <w:p>
      <w:pPr>
        <w:pStyle w:val="FirstParagraph"/>
      </w:pPr>
      <w:r>
        <w:t xml:space="preserve">We downloaded genus- and species-level fossil occurrences of Chinchilloidea from The Paleobiology Database (https://paleobiodb.org). Each entry was then checked and, if necessary, updated by us. We excluded occurrences with open nomenclature names (</w:t>
      </w:r>
      <w:r>
        <w:rPr>
          <w:i/>
          <w:iCs/>
        </w:rPr>
        <w:t xml:space="preserve">cf.</w:t>
      </w:r>
      <w:r>
        <w:t xml:space="preserve">,</w:t>
      </w:r>
      <w:r>
        <w:t xml:space="preserve"> </w:t>
      </w:r>
      <w:r>
        <w:rPr>
          <w:i/>
          <w:iCs/>
        </w:rPr>
        <w:t xml:space="preserve">aff.</w:t>
      </w:r>
      <w:r>
        <w:t xml:space="preserve">,</w:t>
      </w:r>
      <w:r>
        <w:t xml:space="preserve"> </w:t>
      </w:r>
      <w:r>
        <w:rPr>
          <w:i/>
          <w:iCs/>
        </w:rPr>
        <w:t xml:space="preserve">?</w:t>
      </w:r>
      <w:r>
        <w:t xml:space="preserve">). This compilation was further complemented by an extensive literature review. To get an exhaustive and unbiased sampling of the clade’s extant diversity, one occurrence of modern age (</w:t>
      </w:r>
      <w:r>
        <w:rPr>
          <w:i/>
          <w:iCs/>
        </w:rPr>
        <w:t xml:space="preserve">i</w:t>
      </w:r>
      <w:r>
        <w:t xml:space="preserve">.</w:t>
      </w:r>
      <w:r>
        <w:rPr>
          <w:i/>
          <w:iCs/>
        </w:rPr>
        <w:t xml:space="preserve">e</w:t>
      </w:r>
      <w:r>
        <w:t xml:space="preserve">.,</w:t>
      </w:r>
      <w:r>
        <w:t xml:space="preserve"> </w:t>
      </w:r>
      <m:oMath>
        <m:sSub>
          <m:e>
            <m:r>
              <m:t>t</m:t>
            </m:r>
          </m:e>
          <m:sub>
            <m:r>
              <m:t>m</m:t>
            </m:r>
            <m:r>
              <m:t>i</m:t>
            </m:r>
            <m:r>
              <m:t>n</m:t>
            </m:r>
          </m:sub>
        </m:sSub>
        <m:r>
          <m:rPr>
            <m:sty m:val="p"/>
          </m:rPr>
          <m:t>=</m:t>
        </m:r>
        <m:sSub>
          <m:e>
            <m:r>
              <m:t>t</m:t>
            </m:r>
          </m:e>
          <m:sub>
            <m:r>
              <m:t>m</m:t>
            </m:r>
            <m:r>
              <m:t>a</m:t>
            </m:r>
            <m:r>
              <m:t>x</m:t>
            </m:r>
          </m:sub>
        </m:sSub>
        <m:r>
          <m:rPr>
            <m:sty m:val="p"/>
          </m:rPr>
          <m:t>=</m:t>
        </m:r>
        <m:r>
          <m:t>0</m:t>
        </m:r>
      </m:oMath>
      <w:r>
        <w:t xml:space="preserve">) was added for each of the seven extant chinchilloid species, even for those not represented in the fossil record. This resulted in one species-level database (493 occurrences, 137 species, including 72 singletons) and one genus-level database (709 occurrences, 64 genera, including 20 singletons), spanning the clade’s entire lifespan (from latest Eocene to present).</w:t>
      </w:r>
    </w:p>
    <w:p>
      <w:pPr>
        <w:pStyle w:val="BodyText"/>
      </w:pPr>
      <w:r>
        <w:t xml:space="preserve">On the basis of their sampling location, occurrences were binned into three spatial domains: Tropical, Extratropical and Caribbean (Figure S1). Due to the immensely parcellar fossil record of the West Indies, the latter domain – only encompassing 5 species,</w:t>
      </w:r>
      <w:r>
        <w:t xml:space="preserve"> </w:t>
      </w:r>
      <w:r>
        <w:rPr>
          <w:i/>
          <w:iCs/>
        </w:rPr>
        <w:t xml:space="preserve">Borikenomys praecursor</w:t>
      </w:r>
      <w:r>
        <w:t xml:space="preserve">,</w:t>
      </w:r>
      <w:r>
        <w:t xml:space="preserve"> </w:t>
      </w:r>
      <w:r>
        <w:rPr>
          <w:i/>
          <w:iCs/>
        </w:rPr>
        <w:t xml:space="preserve">Amblirhiza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early Oligocene occurrence (</w:t>
      </w:r>
      <w:r>
        <w:rPr>
          <w:i/>
          <w:iCs/>
        </w:rPr>
        <w:t xml:space="preserve">B. praecursor</w:t>
      </w:r>
      <w:r>
        <w:t xml:space="preserve">).</w:t>
      </w:r>
    </w:p>
    <w:bookmarkEnd w:id="23"/>
    <w:bookmarkStart w:id="24" w:name="trait-data-collection"/>
    <w:p>
      <w:pPr>
        <w:pStyle w:val="Heading2"/>
      </w:pPr>
      <w:r>
        <w:t xml:space="preserve">Trait data collection</w:t>
      </w:r>
    </w:p>
    <w:p>
      <w:pPr>
        <w:pStyle w:val="FirstParagraph"/>
      </w:pPr>
      <w:r>
        <w:t xml:space="preserve">On the basis of body mass reconstructions carried out from dental proxies detailed in</w:t>
      </w:r>
      <w:r>
        <w:t xml:space="preserve"> </w:t>
      </w:r>
      <w:r>
        <w:t xml:space="preserve">Boivin et al. (2024)</w:t>
      </w:r>
      <w:r>
        <w:t xml:space="preserve">, complemented with a literature review, species were classified in six body size categories: XS (&lt;0.5kg), S (0.5–1kg), M (1–10kg), L (10–100kg), XL (100–200kg) and XXL (&gt;200kg).</w:t>
      </w:r>
    </w:p>
    <w:bookmarkEnd w:id="24"/>
    <w:bookmarkStart w:id="25" w:name="X2179221e6c5b681626996bb6ae6fb1ea6d02ae6"/>
    <w:p>
      <w:pPr>
        <w:pStyle w:val="Heading2"/>
      </w:pPr>
      <w:r>
        <w:t xml:space="preserve">Palaeodiversity and diversification inference from the fossil record</w:t>
      </w:r>
    </w:p>
    <w:p>
      <w:pPr>
        <w:pStyle w:val="FirstParagraph"/>
      </w:pPr>
      <w:r>
        <w:rPr>
          <w:b/>
          <w:bCs/>
        </w:rPr>
        <w:t xml:space="preserve">Place corsair ESS plots in SI</w:t>
      </w:r>
    </w:p>
    <w:p>
      <w:pPr>
        <w:pStyle w:val="BodyText"/>
      </w:pPr>
      <w:r>
        <w:t xml:space="preserve">Our fossil occurrence database was first analysed using PyRate</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w:t>
      </w:r>
      <w:r>
        <w:rPr>
          <w:b/>
          <w:bCs/>
        </w:rPr>
        <w:t xml:space="preserve">Supp. Fig. 1</w:t>
      </w:r>
      <w:r>
        <w:t xml:space="preserve"> </w:t>
      </w:r>
      <w:r>
        <w:t xml:space="preserve">and</w:t>
      </w:r>
      <w:r>
        <w:t xml:space="preserve"> </w:t>
      </w:r>
      <w:r>
        <w:rPr>
          <w:b/>
          <w:bCs/>
        </w:rPr>
        <w:t xml:space="preserve">Supp. Tab. 1</w:t>
      </w:r>
      <w:r>
        <w:t xml:space="preserve">).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over 200 (</w:t>
      </w:r>
      <m:oMath>
        <m:r>
          <m:t>n</m:t>
        </m:r>
        <m:r>
          <m:rPr>
            <m:sty m:val="p"/>
          </m:rPr>
          <m:t>=</m:t>
        </m:r>
        <m:r>
          <m:t>19</m:t>
        </m:r>
      </m:oMath>
      <w:r>
        <w:t xml:space="preserve">,</w:t>
      </w:r>
      <w:r>
        <w:t xml:space="preserve"> </w:t>
      </w:r>
      <w:r>
        <w:rPr>
          <w:b/>
          <w:bCs/>
        </w:rPr>
        <w:t xml:space="preserve">Supp. Fig. 2</w:t>
      </w:r>
      <w:r>
        <w:t xml:space="preserve">) were further combined. To evaluate the robustness of our analyses, we conducted sensitivity danalyses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if their Effective Sample Size (ESS) was above 200.</w:t>
      </w:r>
    </w:p>
    <w:p>
      <w:pPr>
        <w:pStyle w:val="BodyText"/>
      </w:pPr>
      <w:r>
        <w:t xml:space="preserve">Next, to get another flavour of the temporal patterns in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w:t>
      </w:r>
      <w:r>
        <w:t xml:space="preserve"> </w:t>
      </w:r>
      <w:r>
        <w:rPr>
          <w:b/>
          <w:bCs/>
        </w:rPr>
        <w:t xml:space="preserve">Supp. Tab. 8</w:t>
      </w:r>
      <w:r>
        <w:t xml:space="preserve">),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SI Appendix</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w:t>
      </w:r>
      <w:r>
        <w:rPr>
          <w:b/>
          <w:bCs/>
        </w:rPr>
        <w:t xml:space="preserve">Supp. Fig. 2−3</w:t>
      </w:r>
      <w:r>
        <w:t xml:space="preserve"> </w:t>
      </w:r>
      <w:r>
        <w:t xml:space="preserve">and</w:t>
      </w:r>
      <w:r>
        <w:t xml:space="preserve"> </w:t>
      </w:r>
      <w:r>
        <w:rPr>
          <w:b/>
          <w:bCs/>
        </w:rPr>
        <w:t xml:space="preserve">Supp. Tab. 8</w:t>
      </w:r>
      <w:r>
        <w:t xml:space="preserve">).</w:t>
      </w:r>
    </w:p>
    <w:p>
      <w:pPr>
        <w:pStyle w:val="BodyText"/>
      </w:pPr>
      <w:r>
        <w:rPr>
          <w:i/>
          <w:iCs/>
        </w:rPr>
        <w:t xml:space="preserve">Empirical predictions.</w:t>
      </w:r>
      <w:r>
        <w:t xml:space="preserve"> </w:t>
      </w:r>
      <w:r>
        <w:t xml:space="preserve">We made 100 replicates of age assignment for occurrences in our fossil database.</w:t>
      </w:r>
    </w:p>
    <w:bookmarkEnd w:id="25"/>
    <w:bookmarkStart w:id="30" w:name="Xe57631aa6071154f2080e5d1af65f26f612edcb"/>
    <w:p>
      <w:pPr>
        <w:pStyle w:val="Heading2"/>
      </w:pPr>
      <w:r>
        <w:t xml:space="preserve">Drivers behind macroevolutionary patterns</w:t>
      </w:r>
    </w:p>
    <w:bookmarkStart w:id="26"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several biotic and abiotic variables in our workflow.</w:t>
      </w:r>
    </w:p>
    <w:p>
      <w:pPr>
        <w:pStyle w:val="BodyText"/>
      </w:pPr>
      <w:r>
        <w:t xml:space="preserve">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the fact that it does not reflect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w:t>
      </w:r>
    </w:p>
    <w:p>
      <w:pPr>
        <w:pStyle w:val="BodyText"/>
      </w:pPr>
      <w:r>
        <w:t xml:space="preserve">Diversity-dependent effects have been illustrated many times as important drivers for changes in macroevolutionary rates</w:t>
      </w:r>
      <w:r>
        <w:t xml:space="preserve"> </w:t>
      </w:r>
      <w:r>
        <w:t xml:space="preserve">(Etienne et al. 2011; Condamine et al. 2019, 2020)</w:t>
      </w:r>
      <w:r>
        <w:t xml:space="preserve">, just like temperature, in a wide range of clades. Therefore, we allowed for diversity-dependence in our environment-dependent diversification (EDD) analyses.</w:t>
      </w:r>
    </w:p>
    <w:bookmarkEnd w:id="26"/>
    <w:bookmarkStart w:id="27"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a set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Each</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w:t>
      </w:r>
      <w:r>
        <w:t xml:space="preserve">is assigned a shrinkage weight (resp.</w:t>
      </w:r>
      <w:r>
        <w:t xml:space="preserve"> </w:t>
      </w:r>
      <m:oMath>
        <m:sSub>
          <m:e>
            <m:r>
              <m:t>w</m:t>
            </m:r>
          </m:e>
          <m:sub>
            <m:r>
              <m:t>λ</m:t>
            </m:r>
            <m:r>
              <m:rPr>
                <m:sty m:val="p"/>
              </m:rPr>
              <m:t>,</m:t>
            </m:r>
            <m:r>
              <m:t>i</m:t>
            </m:r>
          </m:sub>
        </m:sSub>
      </m:oMath>
      <w:r>
        <w:t xml:space="preserve"> </w:t>
      </w:r>
      <w:r>
        <w:t xml:space="preserve">and</w:t>
      </w:r>
      <w:r>
        <w:t xml:space="preserve"> </w:t>
      </w:r>
      <m:oMath>
        <m:sSub>
          <m:e>
            <m:r>
              <m:t>w</m:t>
            </m:r>
          </m:e>
          <m:sub>
            <m:r>
              <m:t>μ</m:t>
            </m:r>
            <m:r>
              <m:rPr>
                <m:sty m:val="p"/>
              </m:rPr>
              <m:t>,</m:t>
            </m:r>
            <m:r>
              <m:t>i</m:t>
            </m:r>
          </m:sub>
        </m:sSub>
      </m:oMath>
      <w:r>
        <w:t xml:space="preserve">), ranging from 0 to 1, testing for the strength of the relationship between the newly-estimated rate and each environmental variable individually. A correlation coefficient</w:t>
      </w:r>
      <w:r>
        <w:t xml:space="preserve"> </w:t>
      </w:r>
      <m:oMath>
        <m:sSub>
          <m:e>
            <m:r>
              <m:t>G</m:t>
            </m:r>
          </m:e>
          <m:sub>
            <m:r>
              <m:rPr>
                <m:sty m:val="p"/>
              </m:rPr>
              <m:t>.</m:t>
            </m:r>
            <m:r>
              <m:rPr>
                <m:sty m:val="p"/>
              </m:rPr>
              <m:t>,</m:t>
            </m:r>
            <m:r>
              <m:t>i</m:t>
            </m:r>
          </m:sub>
        </m:sSub>
      </m:oMath>
      <w:r>
        <w:t xml:space="preserve"> </w:t>
      </w:r>
      <w:r>
        <w:t xml:space="preserve">is considered significant if</w:t>
      </w:r>
      <w:r>
        <w:t xml:space="preserve"> </w:t>
      </w:r>
      <m:oMath>
        <m:r>
          <m:t>m</m:t>
        </m:r>
        <m:r>
          <m:t>e</m:t>
        </m:r>
        <m:r>
          <m:t>d</m:t>
        </m:r>
        <m:r>
          <m:t>i</m:t>
        </m:r>
        <m:r>
          <m:t>a</m:t>
        </m:r>
        <m:r>
          <m:t>n</m:t>
        </m:r>
        <m:d>
          <m:dPr>
            <m:begChr m:val="("/>
            <m:endChr m:val=")"/>
            <m:sepChr m:val=""/>
            <m:grow/>
          </m:dPr>
          <m:e>
            <m:sSub>
              <m:e>
                <m:r>
                  <m:t>w</m:t>
                </m:r>
              </m:e>
              <m:sub>
                <m:r>
                  <m:rPr>
                    <m:sty m:val="p"/>
                  </m:rPr>
                  <m:t>.</m:t>
                </m:r>
                <m:r>
                  <m:rPr>
                    <m:sty m:val="p"/>
                  </m:rPr>
                  <m:t>,</m:t>
                </m:r>
                <m:r>
                  <m:t>i</m:t>
                </m:r>
              </m:sub>
            </m:sSub>
          </m:e>
        </m:d>
        <m:r>
          <m:rPr>
            <m:sty m:val="p"/>
          </m:rPr>
          <m:t>&gt;</m:t>
        </m:r>
        <m:r>
          <m:t>0.5</m:t>
        </m:r>
      </m:oMath>
      <w:r>
        <w:t xml:space="preserve"> </w:t>
      </w:r>
      <w:r>
        <w:t xml:space="preserve">and if its 95% Highest Posterior Density interval (HPD) does not overlap with 0.</w:t>
      </w:r>
    </w:p>
    <w:p>
      <w:pPr>
        <w:pStyle w:val="BodyText"/>
      </w:pPr>
      <w:r>
        <w:t xml:space="preserve">An MCMC algorithm jointly approximates the posterior distribution of each</w:t>
      </w:r>
      <w:r>
        <w:t xml:space="preserve"> </w:t>
      </w:r>
      <m:oMath>
        <m:sSub>
          <m:e>
            <m:r>
              <m:t>G</m:t>
            </m:r>
          </m:e>
          <m:sub>
            <m:r>
              <m:rPr>
                <m:sty m:val="p"/>
              </m:rPr>
              <m:t>.</m:t>
            </m:r>
            <m:r>
              <m:rPr>
                <m:sty m:val="p"/>
              </m:rPr>
              <m:t>,</m:t>
            </m:r>
            <m:r>
              <m:t>i</m:t>
            </m:r>
          </m:sub>
        </m:sSub>
      </m:oMath>
      <w:r>
        <w:t xml:space="preserve"> </w:t>
      </w:r>
      <w:r>
        <w:t xml:space="preserve">and their associated</w:t>
      </w:r>
      <w:r>
        <w:t xml:space="preserve"> </w:t>
      </w:r>
      <m:oMath>
        <m:sSub>
          <m:e>
            <m:r>
              <m:t>w</m:t>
            </m:r>
          </m:e>
          <m:sub>
            <m:r>
              <m:rPr>
                <m:sty m:val="p"/>
              </m:rPr>
              <m:t>.</m:t>
            </m:r>
            <m:r>
              <m:rPr>
                <m:sty m:val="p"/>
              </m:rPr>
              <m:t>,</m:t>
            </m:r>
            <m:r>
              <m:t>i</m:t>
            </m:r>
          </m:sub>
        </m:sSub>
      </m:oMath>
      <w:r>
        <w:t xml:space="preserve"> </w:t>
      </w:r>
      <w:r>
        <w:t xml:space="preserve">while controlling for over-parameterisation. We ran each set of MBD analyses across 10 million iterations, with a sampling frequency of 10,000. As evidence for the palynological record suggested three distinct floral strata in South America across our study period, reflecting ecosystem-level changes across the entire continent</w:t>
      </w:r>
      <w:r>
        <w:t xml:space="preserve"> </w:t>
      </w:r>
      <w:r>
        <w:t xml:space="preserve">(Wei et al. 2024)</w:t>
      </w:r>
      <w:r>
        <w:t xml:space="preserve">, we independently analysed data from the</w:t>
      </w:r>
      <w:r>
        <w:t xml:space="preserve"> </w:t>
      </w:r>
      <w:r>
        <w:t xml:space="preserve">‘</w:t>
      </w:r>
      <w:r>
        <w:t xml:space="preserve">Early Neogene</w:t>
      </w:r>
      <w:r>
        <w:t xml:space="preserve">’</w:t>
      </w:r>
      <w:r>
        <w:t xml:space="preserve"> </w:t>
      </w:r>
      <w:r>
        <w:t xml:space="preserve">(</w:t>
      </w:r>
      <w:r>
        <w:rPr>
          <w:i/>
          <w:iCs/>
        </w:rPr>
        <w:t xml:space="preserve">i</w:t>
      </w:r>
      <w:r>
        <w:t xml:space="preserve">.</w:t>
      </w:r>
      <w:r>
        <w:rPr>
          <w:i/>
          <w:iCs/>
        </w:rPr>
        <w:t xml:space="preserve">e</w:t>
      </w:r>
      <w:r>
        <w:t xml:space="preserve">., 23.04–13.82 Ma),</w:t>
      </w:r>
      <w:r>
        <w:t xml:space="preserve"> </w:t>
      </w:r>
      <w:r>
        <w:t xml:space="preserve">‘</w:t>
      </w:r>
      <w:r>
        <w:t xml:space="preserve">Late Neogene</w:t>
      </w:r>
      <w:r>
        <w:t xml:space="preserve">’</w:t>
      </w:r>
      <w:r>
        <w:t xml:space="preserve"> </w:t>
      </w:r>
      <w:r>
        <w:t xml:space="preserve">(</w:t>
      </w:r>
      <w:r>
        <w:rPr>
          <w:i/>
          <w:iCs/>
        </w:rPr>
        <w:t xml:space="preserve">i</w:t>
      </w:r>
      <w:r>
        <w:t xml:space="preserve">.</w:t>
      </w:r>
      <w:r>
        <w:rPr>
          <w:i/>
          <w:iCs/>
        </w:rPr>
        <w:t xml:space="preserve">e</w:t>
      </w:r>
      <w:r>
        <w:t xml:space="preserve">., 13.82–2.58 Ma) and Quaternary (last 2.58 Ma).</w:t>
      </w:r>
    </w:p>
    <w:bookmarkEnd w:id="27"/>
    <w:bookmarkStart w:id="28" w:name="X4354b30efd5e7c4fb4ef9647c79b96606b13c61"/>
    <w:p>
      <w:pPr>
        <w:pStyle w:val="Heading3"/>
      </w:pPr>
      <w:r>
        <w:t xml:space="preserve">Birth-Death Neural Networks (BDNN) analyses</w:t>
      </w:r>
    </w:p>
    <w:p>
      <w:pPr>
        <w:pStyle w:val="FirstParagraph"/>
      </w:pPr>
      <w:r>
        <w:t xml:space="preserve">We used the Birth-Death Neural Networks (BDNN) model</w:t>
      </w:r>
      <w:r>
        <w:t xml:space="preserve"> </w:t>
      </w:r>
      <w:r>
        <w:t xml:space="preserve">(Hauffe et al. 2024)</w:t>
      </w:r>
      <w:r>
        <w:t xml:space="preserve"> </w:t>
      </w:r>
      <w:r>
        <w:t xml:space="preserve">to complement the EDD analyses carried out with the MBD model. Built upon PyRate, BDNN extends the birth-death process used to reconstruct speciation and extinction rates given the estimated preservation-aware times of origination and extinction for each species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duality offered by classical EDD approaches.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p>
    <w:p>
      <w:pPr>
        <w:pStyle w:val="BodyText"/>
      </w:pPr>
      <w:r>
        <w:t xml:space="preserve">Predictors were scaled prior their incorporation in the model.</w:t>
      </w:r>
    </w:p>
    <w:bookmarkEnd w:id="28"/>
    <w:bookmarkStart w:id="29" w:name="age-dependent-extinction-model"/>
    <w:p>
      <w:pPr>
        <w:pStyle w:val="Heading3"/>
      </w:pPr>
      <w:r>
        <w:t xml:space="preserve">Age-Dependent Extinction model</w:t>
      </w:r>
    </w:p>
    <w:p>
      <w:pPr>
        <w:pStyle w:val="FirstParagraph"/>
      </w:pPr>
      <w:r>
        <w:t xml:space="preserve">To investigate the potential effect of species age on their extinction probabilities, we used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5.9.2 library, and we considered parameters achieved convergence if their ESS was above 200.</w:t>
      </w:r>
    </w:p>
    <w:bookmarkEnd w:id="29"/>
    <w:bookmarkEnd w:id="30"/>
    <w:bookmarkEnd w:id="31"/>
    <w:bookmarkStart w:id="36" w:name="results"/>
    <w:p>
      <w:pPr>
        <w:pStyle w:val="Heading1"/>
      </w:pPr>
      <w:r>
        <w:t xml:space="preserve">Results</w:t>
      </w:r>
    </w:p>
    <w:bookmarkStart w:id="32" w:name="rjmcmc"/>
    <w:p>
      <w:pPr>
        <w:pStyle w:val="Heading2"/>
      </w:pPr>
      <w:r>
        <w:t xml:space="preserve">RJMCMC</w:t>
      </w:r>
    </w:p>
    <w:p>
      <w:pPr>
        <w:pStyle w:val="FirstParagraph"/>
      </w:pPr>
      <w:r>
        <w:t xml:space="preserve">Are we detecting pulses of mid-late Miocene pulses of diversification that lead to the differenciation of extant lineages postulated from the fossil record ?</w:t>
      </w:r>
      <w:r>
        <w:t xml:space="preserve"> </w:t>
      </w:r>
      <w:r>
        <w:t xml:space="preserve">Vucetich et al. (2015)</w:t>
      </w:r>
    </w:p>
    <w:p>
      <w:pPr>
        <w:pStyle w:val="BodyText"/>
      </w:pPr>
      <w:r>
        <w:t xml:space="preserve">PLOT SPECIES LONGEVITY BY CLADE INCORPORATING INFORMATION ON THEIR BODY MASS !!</w:t>
      </w:r>
    </w:p>
    <w:bookmarkEnd w:id="32"/>
    <w:bookmarkStart w:id="33" w:name="deepdive"/>
    <w:p>
      <w:pPr>
        <w:pStyle w:val="Heading2"/>
      </w:pPr>
      <w:r>
        <w:t xml:space="preserve">Deepdive</w:t>
      </w:r>
    </w:p>
    <w:p>
      <w:pPr>
        <w:pStyle w:val="FirstParagraph"/>
      </w:pPr>
      <w:r>
        <w:t xml:space="preserve">All architectures performed similarly, as long as they comprised at least one dense layer connecting the output of the LSTM layers to the output layer (</w:t>
      </w:r>
      <w:r>
        <w:rPr>
          <w:b/>
          <w:bCs/>
        </w:rPr>
        <w:t xml:space="preserve">Supp. Tab. 8</w:t>
      </w:r>
      <w:r>
        <w:t xml:space="preserve">).</w:t>
      </w:r>
    </w:p>
    <w:bookmarkEnd w:id="33"/>
    <w:bookmarkStart w:id="34" w:name="mbd"/>
    <w:p>
      <w:pPr>
        <w:pStyle w:val="Heading2"/>
      </w:pPr>
      <w:r>
        <w:t xml:space="preserve">MBD</w:t>
      </w:r>
    </w:p>
    <w:p>
      <w:pPr>
        <w:pStyle w:val="FirstParagraph"/>
      </w:pPr>
      <w:r>
        <w:t xml:space="preserve">Full time facetted:</w:t>
      </w:r>
    </w:p>
    <w:p>
      <w:pPr>
        <w:numPr>
          <w:ilvl w:val="0"/>
          <w:numId w:val="1001"/>
        </w:numPr>
      </w:pPr>
      <w:r>
        <w:t xml:space="preserve">Andes: Late Neogene + Quaternary, negative relationship with extiction rate, of increasing magnitude with decreasing time.</w:t>
      </w:r>
    </w:p>
    <w:p>
      <w:pPr>
        <w:numPr>
          <w:ilvl w:val="0"/>
          <w:numId w:val="1001"/>
        </w:numPr>
      </w:pPr>
      <w:r>
        <w:t xml:space="preserve">Temperature: mid-Pliocene Warming Period (mPWP), confounding effect with GABI?</w:t>
      </w:r>
    </w:p>
    <w:bookmarkEnd w:id="34"/>
    <w:bookmarkStart w:id="35" w:name="bdnn"/>
    <w:p>
      <w:pPr>
        <w:pStyle w:val="Heading2"/>
      </w:pPr>
      <w:r>
        <w:t xml:space="preserve">BDNN</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Migrant taxa (</w:t>
      </w:r>
      <w:r>
        <w:rPr>
          <w:i/>
          <w:iCs/>
        </w:rPr>
        <w:t xml:space="preserve">i</w:t>
      </w:r>
      <w:r>
        <w:t xml:space="preserve">.</w:t>
      </w:r>
      <w:r>
        <w:rPr>
          <w:i/>
          <w:iCs/>
        </w:rPr>
        <w:t xml:space="preserve">e</w:t>
      </w:r>
      <w:r>
        <w:t xml:space="preserve">., belonging to groups that reached South America after North and South America were close enough to allow for biotic interchanges) were found to exhibit an overall extinction rate lower that endemic ones.</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5"/>
    <w:bookmarkEnd w:id="36"/>
    <w:bookmarkStart w:id="45" w:name="discussion"/>
    <w:p>
      <w:pPr>
        <w:pStyle w:val="Heading1"/>
      </w:pPr>
      <w:r>
        <w:t xml:space="preserve">Discussion</w:t>
      </w:r>
    </w:p>
    <w:p>
      <w:pPr>
        <w:pStyle w:val="FirstParagraph"/>
      </w:pPr>
      <w:r>
        <w:t xml:space="preserve">Unlike the evidenced decoupled diversity and disparity patterns evidenced between caviomorph superfamilies</w:t>
      </w:r>
      <w:r>
        <w:t xml:space="preserve"> </w:t>
      </w:r>
      <w:r>
        <w:t xml:space="preserve">(Carrillo et al.;</w:t>
      </w:r>
      <w:r>
        <w:t xml:space="preserve"> </w:t>
      </w:r>
      <w:r>
        <w:rPr>
          <w:i/>
          <w:iCs/>
        </w:rPr>
        <w:t xml:space="preserve">e</w:t>
      </w:r>
      <w:r>
        <w:t xml:space="preserve">.</w:t>
      </w:r>
      <w:r>
        <w:rPr>
          <w:i/>
          <w:iCs/>
        </w:rPr>
        <w:t xml:space="preserve">g</w:t>
      </w:r>
      <w:r>
        <w:t xml:space="preserve">., Álvarez et al. 2017)</w:t>
      </w:r>
      <w:r>
        <w:t xml:space="preserve">, our results suggest a coordinated behaviour of chinchilloid diversity and disparity, both peaking in the late Miocene and further declining towards the present.</w:t>
      </w:r>
    </w:p>
    <w:p>
      <w:pPr>
        <w:pStyle w:val="BodyText"/>
      </w:pPr>
      <w:r>
        <w:t xml:space="preserve">This peak though cannot be excluded to be a reflect of fossil deposits abundancy.</w:t>
      </w:r>
    </w:p>
    <w:bookmarkStart w:id="41" w:name="macroevolutionary"/>
    <w:p>
      <w:pPr>
        <w:pStyle w:val="Heading2"/>
      </w:pPr>
      <w:r>
        <w:t xml:space="preserve">Macroevolutionary</w:t>
      </w:r>
    </w:p>
    <w:p>
      <w:pPr>
        <w:pStyle w:val="FirstParagraph"/>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bookmarkStart w:id="40" w:name="drivers"/>
    <w:p>
      <w:pPr>
        <w:pStyle w:val="Heading3"/>
      </w:pPr>
      <w:r>
        <w:t xml:space="preserve">Drivers</w:t>
      </w:r>
    </w:p>
    <w:p>
      <w:pPr>
        <w:pStyle w:val="FirstParagraph"/>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bookmarkStart w:id="37" w:name="andes"/>
    <w:p>
      <w:pPr>
        <w:pStyle w:val="Heading4"/>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37"/>
    <w:bookmarkStart w:id="38" w:name="sea-level"/>
    <w:p>
      <w:pPr>
        <w:pStyle w:val="Heading4"/>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38"/>
    <w:bookmarkStart w:id="39" w:name="self-diversity"/>
    <w:p>
      <w:pPr>
        <w:pStyle w:val="Heading4"/>
      </w:pPr>
      <w:r>
        <w:t xml:space="preserve">Self-diversity</w:t>
      </w:r>
    </w:p>
    <w:p>
      <w:pPr>
        <w:pStyle w:val="FirstParagraph"/>
      </w:pPr>
      <w:r>
        <w:t xml:space="preserve">Court Jester framework. Autocatalytic effect of the huge amazonian biodiversity on itself</w:t>
      </w:r>
    </w:p>
    <w:bookmarkEnd w:id="39"/>
    <w:bookmarkEnd w:id="40"/>
    <w:bookmarkEnd w:id="41"/>
    <w:bookmarkStart w:id="43" w:name="methodological"/>
    <w:p>
      <w:pPr>
        <w:pStyle w:val="Heading2"/>
      </w:pPr>
      <w:r>
        <w:t xml:space="preserve">Methodological</w:t>
      </w:r>
    </w:p>
    <w:p>
      <w:pPr>
        <w:pStyle w:val="FirstParagraph"/>
      </w:pPr>
      <w:r>
        <w:t xml:space="preserve">Lack of phylogenetic framework, hence ignoring phylogenetic relatedness, though proven relevant in previous analyses</w:t>
      </w:r>
      <w:r>
        <w:t xml:space="preserve"> </w:t>
      </w:r>
      <w:r>
        <w:t xml:space="preserve">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p>
    <w:p>
      <w:pPr>
        <w:pStyle w:val="BodyText"/>
      </w:pPr>
      <w:r>
        <w:t xml:space="preserve">(Mis)matches between BDNN and PyRate/MBD:</w:t>
      </w:r>
    </w:p>
    <w:p>
      <w:pPr>
        <w:numPr>
          <w:ilvl w:val="0"/>
          <w:numId w:val="1002"/>
        </w:numPr>
      </w:pPr>
      <w:r>
        <w:t xml:space="preserve">Diversification rate profiles : raw patterns not that dissimilar with shared periods of positive and negative regimes (plot both net rates together on a same figure)</w:t>
      </w:r>
    </w:p>
    <w:p>
      <w:pPr>
        <w:numPr>
          <w:ilvl w:val="0"/>
          <w:numId w:val="1002"/>
        </w:numPr>
      </w:pPr>
      <w:r>
        <w:t xml:space="preserve">Direction of relationship between drivers and diversification rates</w:t>
      </w:r>
    </w:p>
    <w:bookmarkStart w:id="42" w:name="X43a5c40ab90090a16be3051f05829d1f202c26a"/>
    <w:p>
      <w:pPr>
        <w:pStyle w:val="Heading3"/>
      </w:pPr>
      <w:r>
        <w:t xml:space="preserve">On the challenge on inferring body sizes of extinct taxa with little extant representatives</w:t>
      </w:r>
    </w:p>
    <w:p>
      <w:pPr>
        <w:pStyle w:val="FirstParagraph"/>
      </w:pPr>
      <w:r>
        <w:t xml:space="preserve">Estimates can vary significantly based on the proxy used</w:t>
      </w:r>
      <w:r>
        <w:t xml:space="preserve"> </w:t>
      </w:r>
      <w:r>
        <w:t xml:space="preserve">(Paiva et al. 2026)</w:t>
      </w:r>
      <w:r>
        <w:t xml:space="preserve">.</w:t>
      </w:r>
    </w:p>
    <w:bookmarkEnd w:id="42"/>
    <w:bookmarkEnd w:id="43"/>
    <w:bookmarkStart w:id="44" w:name="perspectives"/>
    <w:p>
      <w:pPr>
        <w:pStyle w:val="Heading2"/>
      </w:pPr>
      <w:r>
        <w:t xml:space="preserve">Perspectives</w:t>
      </w:r>
    </w:p>
    <w:p>
      <w:pPr>
        <w:pStyle w:val="FirstParagraph"/>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p>
      <w:pPr>
        <w:pStyle w:val="BodyText"/>
      </w:pPr>
      <w:r>
        <w:t xml:space="preserve">Test for the direct effet of intraspecific interaction in the rate of body mass evolution in a phylogenetic framework [</w:t>
      </w:r>
      <w:r>
        <w:t xml:space="preserve">Drury et al. (2016)</w:t>
      </w:r>
      <w:r>
        <w:t xml:space="preserve">; chabrol inch’bouddah]</w:t>
      </w:r>
    </w:p>
    <w:bookmarkEnd w:id="44"/>
    <w:bookmarkEnd w:id="45"/>
    <w:bookmarkStart w:id="46" w:name="conclusions"/>
    <w:p>
      <w:pPr>
        <w:pStyle w:val="Heading1"/>
      </w:pPr>
      <w:r>
        <w:t xml:space="preserve">Conclusions</w:t>
      </w:r>
    </w:p>
    <w:bookmarkEnd w:id="46"/>
    <w:bookmarkStart w:id="47" w:name="acknowledgements"/>
    <w:p>
      <w:pPr>
        <w:pStyle w:val="Heading1"/>
      </w:pPr>
      <w:r>
        <w:t xml:space="preserve">Acknowledgements</w:t>
      </w:r>
    </w:p>
    <w:p>
      <w:pPr>
        <w:pStyle w:val="FirstParagraph"/>
      </w:pPr>
      <w:r>
        <w:t xml:space="preserve">Torsten Hauffe.</w:t>
      </w:r>
    </w:p>
    <w:p>
      <w:r>
        <w:br w:type="page"/>
      </w:r>
    </w:p>
    <w:bookmarkEnd w:id="47"/>
    <w:bookmarkStart w:id="199" w:name="references"/>
    <w:p>
      <w:pPr>
        <w:pStyle w:val="Heading1"/>
      </w:pPr>
      <w:r>
        <w:t xml:space="preserve">References</w:t>
      </w:r>
    </w:p>
    <w:bookmarkStart w:id="198" w:name="refs"/>
    <w:bookmarkStart w:id="49" w:name="ref-álvarez2017"/>
    <w:p>
      <w:pPr>
        <w:pStyle w:val="Bibliography"/>
      </w:pPr>
      <w:r>
        <w:t xml:space="preserve">Álvarez A., Arévalo R.L.M., Verzi D.H. 2017.</w:t>
      </w:r>
      <w:r>
        <w:t xml:space="preserve"> </w:t>
      </w:r>
      <w:hyperlink r:id="rId48">
        <w:r>
          <w:rPr>
            <w:rStyle w:val="Hyperlink"/>
          </w:rPr>
          <w:t xml:space="preserve">Diversification patterns and size evolution in caviomorph rodents</w:t>
        </w:r>
      </w:hyperlink>
      <w:r>
        <w:t xml:space="preserve">. Biological Journal of the Linnean Society. 121:907–922.</w:t>
      </w:r>
    </w:p>
    <w:bookmarkEnd w:id="49"/>
    <w:bookmarkStart w:id="51" w:name="ref-antoine2021"/>
    <w:p>
      <w:pPr>
        <w:pStyle w:val="Bibliography"/>
      </w:pPr>
      <w:r>
        <w:t xml:space="preserve">Antoine P.-O., Yans J., Castillo A.A., Stutz N., Abello M.A., Adnet S., Custódio M.A., Benites-Palomino A., Billet G., Boivin M., Herrera F., Jaramillo C., Mártinez C., Moreno F., Navarrete R.E., Negri F.R., Parra F., Pujos F., Rage J.-C., Ribeiro A.M., Robinet C., Roddaz M., Tejada-Lara J.V., Varas-Malca R., Ventura Santos R., Salas-Gismondi R., Marivaux L. 2021.</w:t>
      </w:r>
      <w:r>
        <w:t xml:space="preserve"> </w:t>
      </w:r>
      <w:hyperlink r:id="rId50">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1"/>
    <w:bookmarkStart w:id="53" w:name="ref-antonelli2009"/>
    <w:p>
      <w:pPr>
        <w:pStyle w:val="Bibliography"/>
      </w:pPr>
      <w:r>
        <w:t xml:space="preserve">Antonelli A., Nylander J.A.A., Persson C., Sanmartín I. 2009.</w:t>
      </w:r>
      <w:r>
        <w:t xml:space="preserve"> </w:t>
      </w:r>
      <w:hyperlink r:id="rId52">
        <w:r>
          <w:rPr>
            <w:rStyle w:val="Hyperlink"/>
          </w:rPr>
          <w:t xml:space="preserve">Tracing the impact of the andean uplift on neotropical plant evolution</w:t>
        </w:r>
      </w:hyperlink>
      <w:r>
        <w:t xml:space="preserve">. Proceedings of the National Academy of Sciences. 106:9749–9754.</w:t>
      </w:r>
    </w:p>
    <w:bookmarkEnd w:id="53"/>
    <w:bookmarkStart w:id="55" w:name="ref-balseiro2025"/>
    <w:p>
      <w:pPr>
        <w:pStyle w:val="Bibliography"/>
      </w:pPr>
      <w:r>
        <w:t xml:space="preserve">Balseiro D., Serra F., Bignon A. 2025.</w:t>
      </w:r>
      <w:r>
        <w:t xml:space="preserve"> </w:t>
      </w:r>
      <w:hyperlink r:id="rId54">
        <w:r>
          <w:rPr>
            <w:rStyle w:val="Hyperlink"/>
          </w:rPr>
          <w:t xml:space="preserve">Extinction drives both expansion and contraction of morphological disparity in trilobites</w:t>
        </w:r>
      </w:hyperlink>
      <w:r>
        <w:t xml:space="preserve">. Proceedings B.</w:t>
      </w:r>
    </w:p>
    <w:bookmarkEnd w:id="55"/>
    <w:bookmarkStart w:id="57" w:name="ref-barnosky2001"/>
    <w:p>
      <w:pPr>
        <w:pStyle w:val="Bibliography"/>
      </w:pPr>
      <w:r>
        <w:t xml:space="preserve">Barnosky A.D. 2001.</w:t>
      </w:r>
      <w:r>
        <w:t xml:space="preserve"> </w:t>
      </w:r>
      <w:hyperlink r:id="rId56">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57"/>
    <w:bookmarkStart w:id="59" w:name="ref-barnosky2010"/>
    <w:p>
      <w:pPr>
        <w:pStyle w:val="Bibliography"/>
      </w:pPr>
      <w:r>
        <w:t xml:space="preserve">Barnosky A.D., Lindsey E.L. 2010.</w:t>
      </w:r>
      <w:r>
        <w:t xml:space="preserve"> </w:t>
      </w:r>
      <w:hyperlink r:id="rId58">
        <w:r>
          <w:rPr>
            <w:rStyle w:val="Hyperlink"/>
          </w:rPr>
          <w:t xml:space="preserve">Timing of quaternary megafaunal extinction in south america in relation to human arrival and climate change</w:t>
        </w:r>
      </w:hyperlink>
      <w:r>
        <w:t xml:space="preserve">. Quaternary International. 217:10–29.</w:t>
      </w:r>
    </w:p>
    <w:bookmarkEnd w:id="59"/>
    <w:bookmarkStart w:id="61" w:name="ref-benton1983"/>
    <w:p>
      <w:pPr>
        <w:pStyle w:val="Bibliography"/>
      </w:pPr>
      <w:r>
        <w:t xml:space="preserve">Benton M.J. 1983.</w:t>
      </w:r>
      <w:r>
        <w:t xml:space="preserve"> </w:t>
      </w:r>
      <w:hyperlink r:id="rId60">
        <w:r>
          <w:rPr>
            <w:rStyle w:val="Hyperlink"/>
          </w:rPr>
          <w:t xml:space="preserve">Macroevolution: Large-scale replacements in the history of life</w:t>
        </w:r>
      </w:hyperlink>
      <w:r>
        <w:t xml:space="preserve">. Nature. 302:16–17.</w:t>
      </w:r>
    </w:p>
    <w:bookmarkEnd w:id="61"/>
    <w:bookmarkStart w:id="62" w:name="ref-biknevicius1993"/>
    <w:p>
      <w:pPr>
        <w:pStyle w:val="Bibliography"/>
      </w:pPr>
      <w:r>
        <w:t xml:space="preserve">Biknevicius A.R., Macfarlane D.A., MacPhee R.D.E. 1993. Body size in amblyrhiza inundata (rodentia: Caviomorpha), an extinct megafaunal rodent from the anguilla bank, west indies: Estimates and implications. American Museum Novitates.:1–25.</w:t>
      </w:r>
    </w:p>
    <w:bookmarkEnd w:id="62"/>
    <w:bookmarkStart w:id="64" w:name="ref-boivin2024"/>
    <w:p>
      <w:pPr>
        <w:pStyle w:val="Bibliography"/>
      </w:pPr>
      <w:r>
        <w:t xml:space="preserve">Boivin M., Álvarez A., Ercoli M.D., Moyano S.R., Salgado-Ahumada J.S., Tejerina A.M.O., Cassini G.H. 2024.</w:t>
      </w:r>
      <w:r>
        <w:t xml:space="preserve"> </w:t>
      </w:r>
      <w:hyperlink r:id="rId63">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64"/>
    <w:bookmarkStart w:id="66" w:name="ref-boivin2019"/>
    <w:p>
      <w:pPr>
        <w:pStyle w:val="Bibliography"/>
      </w:pPr>
      <w:r>
        <w:t xml:space="preserve">Boivin M., Marivaux L., Antoine P.-O. 2019.</w:t>
      </w:r>
      <w:r>
        <w:t xml:space="preserve"> </w:t>
      </w:r>
      <w:hyperlink r:id="rId65">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66"/>
    <w:bookmarkStart w:id="68" w:name="ref-boschman2021"/>
    <w:p>
      <w:pPr>
        <w:pStyle w:val="Bibliography"/>
      </w:pPr>
      <w:r>
        <w:t xml:space="preserve">Boschman L.M. 2021.</w:t>
      </w:r>
      <w:r>
        <w:t xml:space="preserve"> </w:t>
      </w:r>
      <w:hyperlink r:id="rId67">
        <w:r>
          <w:rPr>
            <w:rStyle w:val="Hyperlink"/>
          </w:rPr>
          <w:t xml:space="preserve">Andean mountain building since the late cretaceous: A paleoelevation reconstruction</w:t>
        </w:r>
      </w:hyperlink>
      <w:r>
        <w:t xml:space="preserve">. Earth-Science Reviews. 220:103640.</w:t>
      </w:r>
    </w:p>
    <w:bookmarkEnd w:id="68"/>
    <w:bookmarkStart w:id="70" w:name="ref-buffan2025"/>
    <w:p>
      <w:pPr>
        <w:pStyle w:val="Bibliography"/>
      </w:pPr>
      <w:r>
        <w:t xml:space="preserve">Buffan L., Condamine F.L., Stutz N.S., Pujos F., Antoine P.-O., Marivaux L. 2025.</w:t>
      </w:r>
      <w:r>
        <w:t xml:space="preserve"> </w:t>
      </w:r>
      <w:hyperlink r:id="rId69">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70"/>
    <w:bookmarkStart w:id="72" w:name="ref-burgin2025"/>
    <w:p>
      <w:pPr>
        <w:pStyle w:val="Bibliography"/>
      </w:pPr>
      <w:r>
        <w:t xml:space="preserve">Burgin C.J., Zijlstra J.S., Becker M.A., Handika H., Alston J.M., Widness J., Liphardt S., Huckaby D.G., Upham N.S. 2025.</w:t>
      </w:r>
      <w:r>
        <w:t xml:space="preserve"> </w:t>
      </w:r>
      <w:hyperlink r:id="rId71">
        <w:r>
          <w:rPr>
            <w:rStyle w:val="Hyperlink"/>
          </w:rPr>
          <w:t xml:space="preserve">How many mammal species are there now? Updates and trends in taxonomic, nomenclatural, and geographic knowledge</w:t>
        </w:r>
      </w:hyperlink>
      <w:r>
        <w:t xml:space="preserve">.</w:t>
      </w:r>
    </w:p>
    <w:bookmarkEnd w:id="72"/>
    <w:bookmarkStart w:id="73" w:name="ref-candela2005"/>
    <w:p>
      <w:pPr>
        <w:pStyle w:val="Bibliography"/>
      </w:pPr>
      <w:r>
        <w:t xml:space="preserve">Candela A.M. 2005. Los roedores del mesopotamiense (mioceno tardí</w:t>
      </w:r>
      <w:r>
        <w:softHyphen/>
      </w:r>
      <w:r>
        <w:t xml:space="preserve">o, formación ituzaingó) de la provincia de entre rí</w:t>
      </w:r>
      <w:r>
        <w:softHyphen/>
      </w:r>
      <w:r>
        <w:t xml:space="preserve">os (argentina). Temas de la Biodiversidad del Litoral fluvial argentino II.:37–48.</w:t>
      </w:r>
    </w:p>
    <w:bookmarkEnd w:id="73"/>
    <w:bookmarkStart w:id="74" w:name="ref-carrillo"/>
    <w:p>
      <w:pPr>
        <w:pStyle w:val="Bibliography"/>
      </w:pPr>
      <w:r>
        <w:t xml:space="preserve">Carrillo J.D., Torres Jiménez M.F., Urrea-Barreto F.J., Antonelli A., Bacon C., Faurby S., Silvestro D. Decoupled diversity and disparity after faunistic turnover in caviomorph rodents.</w:t>
      </w:r>
    </w:p>
    <w:bookmarkEnd w:id="74"/>
    <w:bookmarkStart w:id="76" w:name="ref-clavel2017"/>
    <w:p>
      <w:pPr>
        <w:pStyle w:val="Bibliography"/>
      </w:pPr>
      <w:r>
        <w:t xml:space="preserve">Clavel J., Morlon H. 2017.</w:t>
      </w:r>
      <w:r>
        <w:t xml:space="preserve"> </w:t>
      </w:r>
      <w:hyperlink r:id="rId75">
        <w:r>
          <w:rPr>
            <w:rStyle w:val="Hyperlink"/>
          </w:rPr>
          <w:t xml:space="preserve">Accelerated body size evolution during cold climatic periods in the cenozoic</w:t>
        </w:r>
      </w:hyperlink>
      <w:r>
        <w:t xml:space="preserve">. Proceedings of the National Academy of Sciences. 114:4183–4188.</w:t>
      </w:r>
    </w:p>
    <w:bookmarkEnd w:id="76"/>
    <w:bookmarkStart w:id="78" w:name="ref-condamine2018"/>
    <w:p>
      <w:pPr>
        <w:pStyle w:val="Bibliography"/>
      </w:pPr>
      <w:r>
        <w:t xml:space="preserve">Condamine F.L., Rolland J., Höhna S., Sperling F.A.H., Sanmartín I. 2018.</w:t>
      </w:r>
      <w:r>
        <w:t xml:space="preserve"> </w:t>
      </w:r>
      <w:hyperlink r:id="rId77">
        <w:r>
          <w:rPr>
            <w:rStyle w:val="Hyperlink"/>
          </w:rPr>
          <w:t xml:space="preserve">Testing the role of the red queen and court jester as drivers of the macroevolution of apollo butterflies</w:t>
        </w:r>
      </w:hyperlink>
      <w:r>
        <w:t xml:space="preserve">. Systematic Biology. 67:940–964.</w:t>
      </w:r>
    </w:p>
    <w:bookmarkEnd w:id="78"/>
    <w:bookmarkStart w:id="80" w:name="ref-condamine2019"/>
    <w:p>
      <w:pPr>
        <w:pStyle w:val="Bibliography"/>
      </w:pPr>
      <w:r>
        <w:t xml:space="preserve">Condamine F.L., Rolland J., Morlon H. 2019.</w:t>
      </w:r>
      <w:r>
        <w:t xml:space="preserve"> </w:t>
      </w:r>
      <w:hyperlink r:id="rId79">
        <w:r>
          <w:rPr>
            <w:rStyle w:val="Hyperlink"/>
          </w:rPr>
          <w:t xml:space="preserve">Assessing the causes of diversification slowdowns: temperature-dependent and diversity-dependent models receive equivalent support</w:t>
        </w:r>
      </w:hyperlink>
      <w:r>
        <w:t xml:space="preserve">. Ecology Letters. 22:1900–1912.</w:t>
      </w:r>
    </w:p>
    <w:bookmarkEnd w:id="80"/>
    <w:bookmarkStart w:id="82" w:name="ref-condamine2020"/>
    <w:p>
      <w:pPr>
        <w:pStyle w:val="Bibliography"/>
      </w:pPr>
      <w:r>
        <w:t xml:space="preserve">Condamine F.L., Silvestro D., Koppelhus E.B., Antonelli A. 2020.</w:t>
      </w:r>
      <w:r>
        <w:t xml:space="preserve"> </w:t>
      </w:r>
      <w:hyperlink r:id="rId81">
        <w:r>
          <w:rPr>
            <w:rStyle w:val="Hyperlink"/>
          </w:rPr>
          <w:t xml:space="preserve">The rise of angiosperms pushed conifers to decline during global cooling</w:t>
        </w:r>
      </w:hyperlink>
      <w:r>
        <w:t xml:space="preserve">. Proceedings of the National Academy of Sciences. 117:28867–28875.</w:t>
      </w:r>
    </w:p>
    <w:bookmarkEnd w:id="82"/>
    <w:bookmarkStart w:id="84" w:name="ref-cooper2025"/>
    <w:p>
      <w:pPr>
        <w:pStyle w:val="Bibliography"/>
      </w:pPr>
      <w:r>
        <w:t xml:space="preserve">Cooper R.B., Allen B.J., Silvestro D. 2025.</w:t>
      </w:r>
      <w:r>
        <w:t xml:space="preserve"> </w:t>
      </w:r>
      <w:hyperlink r:id="rId83">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84"/>
    <w:bookmarkStart w:id="86" w:name="ref-cooper2024"/>
    <w:p>
      <w:pPr>
        <w:pStyle w:val="Bibliography"/>
      </w:pPr>
      <w:r>
        <w:t xml:space="preserve">Cooper R.B., Flannery-Sutherland J.T., Silvestro D. 2024.</w:t>
      </w:r>
      <w:r>
        <w:t xml:space="preserve"> </w:t>
      </w:r>
      <w:hyperlink r:id="rId85">
        <w:r>
          <w:rPr>
            <w:rStyle w:val="Hyperlink"/>
          </w:rPr>
          <w:t xml:space="preserve">DeepDive: estimating global biodiversity patterns through time using deep learning</w:t>
        </w:r>
      </w:hyperlink>
      <w:r>
        <w:t xml:space="preserve">. Nature Communications. 15:4199.</w:t>
      </w:r>
    </w:p>
    <w:bookmarkEnd w:id="86"/>
    <w:bookmarkStart w:id="88" w:name="ref-dacunha2023"/>
    <w:p>
      <w:pPr>
        <w:pStyle w:val="Bibliography"/>
      </w:pPr>
      <w:r>
        <w:t xml:space="preserve">Da Cunha L., Viñola-López L.W., MacPhee R.D.E., Kerber L., Vélez-Juarbe J., Antoine P.-O., Boivin M., Hautier L., Lebrun R., Marivaux L., Fabre P.-H. 2023.</w:t>
      </w:r>
      <w:r>
        <w:t xml:space="preserve"> </w:t>
      </w:r>
      <w:hyperlink r:id="rId87">
        <w:r>
          <w:rPr>
            <w:rStyle w:val="Hyperlink"/>
          </w:rPr>
          <w:t xml:space="preserve">The inner ear of caviomorph rodents: Phylogenetic implications and application to extinct West Indian taxa</w:t>
        </w:r>
      </w:hyperlink>
      <w:r>
        <w:t xml:space="preserve">. Journal of Mammalian Evolution. 30:1155–1176.</w:t>
      </w:r>
    </w:p>
    <w:bookmarkEnd w:id="88"/>
    <w:bookmarkStart w:id="90" w:name="ref-damuth1993"/>
    <w:p>
      <w:pPr>
        <w:pStyle w:val="Bibliography"/>
      </w:pPr>
      <w:r>
        <w:t xml:space="preserve">Damuth J. 1993.</w:t>
      </w:r>
      <w:r>
        <w:t xml:space="preserve"> </w:t>
      </w:r>
      <w:hyperlink r:id="rId89">
        <w:r>
          <w:rPr>
            <w:rStyle w:val="Hyperlink"/>
          </w:rPr>
          <w:t xml:space="preserve">Cope’s rule, the island rule and the scaling of mammalian population density</w:t>
        </w:r>
      </w:hyperlink>
      <w:r>
        <w:t xml:space="preserve">. Nature. 365:748–750.</w:t>
      </w:r>
    </w:p>
    <w:bookmarkEnd w:id="90"/>
    <w:bookmarkStart w:id="92" w:name="ref-drury2016"/>
    <w:p>
      <w:pPr>
        <w:pStyle w:val="Bibliography"/>
      </w:pPr>
      <w:r>
        <w:t xml:space="preserve">Drury J., Clavel J., Manceau M., Morlon H. 2016.</w:t>
      </w:r>
      <w:r>
        <w:t xml:space="preserve"> </w:t>
      </w:r>
      <w:hyperlink r:id="rId91">
        <w:r>
          <w:rPr>
            <w:rStyle w:val="Hyperlink"/>
          </w:rPr>
          <w:t xml:space="preserve">Estimating the effect of competition on trait evolution using maximum likelihood inference</w:t>
        </w:r>
      </w:hyperlink>
      <w:r>
        <w:t xml:space="preserve">. Systematic Biology. 65:700–710.</w:t>
      </w:r>
    </w:p>
    <w:bookmarkEnd w:id="92"/>
    <w:bookmarkStart w:id="94" w:name="ref-esteve2025"/>
    <w:p>
      <w:pPr>
        <w:pStyle w:val="Bibliography"/>
      </w:pPr>
      <w:r>
        <w:t xml:space="preserve">Esteve J. 2025.</w:t>
      </w:r>
      <w:r>
        <w:t xml:space="preserve"> </w:t>
      </w:r>
      <w:hyperlink r:id="rId93">
        <w:r>
          <w:rPr>
            <w:rStyle w:val="Hyperlink"/>
          </w:rPr>
          <w:t xml:space="preserve">When extinction expands morphospace: Lessons from trilobites</w:t>
        </w:r>
      </w:hyperlink>
      <w:r>
        <w:t xml:space="preserve">. Proceedings of the Royal Society B: Biological Sciences. 292:20252245.</w:t>
      </w:r>
    </w:p>
    <w:bookmarkEnd w:id="94"/>
    <w:bookmarkStart w:id="96" w:name="ref-etienne2011"/>
    <w:p>
      <w:pPr>
        <w:pStyle w:val="Bibliography"/>
      </w:pPr>
      <w:r>
        <w:t xml:space="preserve">Etienne R.S., Haegeman B., Stadler T., Aze T., Pearson P.N., Purvis A., Phillimore A.B. 2011.</w:t>
      </w:r>
      <w:r>
        <w:t xml:space="preserve"> </w:t>
      </w:r>
      <w:hyperlink r:id="rId95">
        <w:r>
          <w:rPr>
            <w:rStyle w:val="Hyperlink"/>
          </w:rPr>
          <w:t xml:space="preserve">Diversity-dependence brings molecular phylogenies closer to agreement with the fossil record</w:t>
        </w:r>
      </w:hyperlink>
      <w:r>
        <w:t xml:space="preserve">. Proceedings of the Royal Society B: Biological Sciences. 279:1300–1309.</w:t>
      </w:r>
    </w:p>
    <w:bookmarkEnd w:id="96"/>
    <w:bookmarkStart w:id="98" w:name="ref-faurby2016_asym"/>
    <w:p>
      <w:pPr>
        <w:pStyle w:val="Bibliography"/>
      </w:pPr>
      <w:r>
        <w:t xml:space="preserve">Faurby S., Svenning J.-C. 2016b.</w:t>
      </w:r>
      <w:r>
        <w:t xml:space="preserve"> </w:t>
      </w:r>
      <w:hyperlink r:id="rId97">
        <w:r>
          <w:rPr>
            <w:rStyle w:val="Hyperlink"/>
          </w:rPr>
          <w:t xml:space="preserve">The asymmetry in the Great American Biotic Interchange in mammals is consistent with differential susceptibility to mammalian predation</w:t>
        </w:r>
      </w:hyperlink>
      <w:r>
        <w:t xml:space="preserve">. Global Ecology and Biogeography. 25:1443–1453.</w:t>
      </w:r>
    </w:p>
    <w:bookmarkEnd w:id="98"/>
    <w:bookmarkStart w:id="100" w:name="ref-faurby2016"/>
    <w:p>
      <w:pPr>
        <w:pStyle w:val="Bibliography"/>
      </w:pPr>
      <w:r>
        <w:t xml:space="preserve">Faurby S., Svenning J.-C. 2016a.</w:t>
      </w:r>
      <w:r>
        <w:t xml:space="preserve"> </w:t>
      </w:r>
      <w:hyperlink r:id="rId99">
        <w:r>
          <w:rPr>
            <w:rStyle w:val="Hyperlink"/>
          </w:rPr>
          <w:t xml:space="preserve">Resurrection of the island rule: Human-driven extinctions have obscured a basic evolutionary pattern</w:t>
        </w:r>
      </w:hyperlink>
      <w:r>
        <w:t xml:space="preserve">. The American Naturalist. 187:812–820.</w:t>
      </w:r>
    </w:p>
    <w:bookmarkEnd w:id="100"/>
    <w:bookmarkStart w:id="102" w:name="ref-flannery-sutherland2022"/>
    <w:p>
      <w:pPr>
        <w:pStyle w:val="Bibliography"/>
      </w:pPr>
      <w:r>
        <w:t xml:space="preserve">Flannery-Sutherland J.T., Silvestro D., Benton M.J. 2022.</w:t>
      </w:r>
      <w:r>
        <w:t xml:space="preserve"> </w:t>
      </w:r>
      <w:hyperlink r:id="rId101">
        <w:r>
          <w:rPr>
            <w:rStyle w:val="Hyperlink"/>
          </w:rPr>
          <w:t xml:space="preserve">Global diversity dynamics in the fossil record are regionally heterogeneous</w:t>
        </w:r>
      </w:hyperlink>
      <w:r>
        <w:t xml:space="preserve">. Nature Communications. 13:2751.</w:t>
      </w:r>
    </w:p>
    <w:bookmarkEnd w:id="102"/>
    <w:bookmarkStart w:id="104" w:name="ref-foote1993"/>
    <w:p>
      <w:pPr>
        <w:pStyle w:val="Bibliography"/>
      </w:pPr>
      <w:r>
        <w:t xml:space="preserve">Foote M. 1993.</w:t>
      </w:r>
      <w:r>
        <w:t xml:space="preserve"> </w:t>
      </w:r>
      <w:hyperlink r:id="rId103">
        <w:r>
          <w:rPr>
            <w:rStyle w:val="Hyperlink"/>
          </w:rPr>
          <w:t xml:space="preserve">Discordance and concordance between morphological and taxonomic diversity</w:t>
        </w:r>
      </w:hyperlink>
      <w:r>
        <w:t xml:space="preserve">. Paleobiology. 19:185–204.</w:t>
      </w:r>
    </w:p>
    <w:bookmarkEnd w:id="104"/>
    <w:bookmarkStart w:id="106" w:name="ref-foote1997"/>
    <w:p>
      <w:pPr>
        <w:pStyle w:val="Bibliography"/>
      </w:pPr>
      <w:r>
        <w:t xml:space="preserve">Foote M. 1997.</w:t>
      </w:r>
      <w:r>
        <w:t xml:space="preserve"> </w:t>
      </w:r>
      <w:hyperlink r:id="rId105">
        <w:r>
          <w:rPr>
            <w:rStyle w:val="Hyperlink"/>
          </w:rPr>
          <w:t xml:space="preserve">The Evolution of Morphological Diversity</w:t>
        </w:r>
      </w:hyperlink>
      <w:r>
        <w:t xml:space="preserve">. Annual Review of Ecology, Evolution, and Systematics. 28:129–152.</w:t>
      </w:r>
    </w:p>
    <w:bookmarkEnd w:id="106"/>
    <w:bookmarkStart w:id="108" w:name="ref-guayasamin2024"/>
    <w:p>
      <w:pPr>
        <w:pStyle w:val="Bibliography"/>
      </w:pPr>
      <w:r>
        <w:t xml:space="preserve">Guayasamin J.M., Ribas C.C., Carnaval A.C., Carrillo J.D., Hoorn C., Lohmann L.G., Riff D., Ulloa Ulloa C., Albert J.S. 2024.</w:t>
      </w:r>
      <w:r>
        <w:t xml:space="preserve"> </w:t>
      </w:r>
      <w:hyperlink r:id="rId107">
        <w:r>
          <w:rPr>
            <w:rStyle w:val="Hyperlink"/>
          </w:rPr>
          <w:t xml:space="preserve">Evolution of Amazonian biodiversity: A review</w:t>
        </w:r>
      </w:hyperlink>
      <w:r>
        <w:t xml:space="preserve">. Acta Amazonica. 54:e54bc21360.</w:t>
      </w:r>
    </w:p>
    <w:bookmarkEnd w:id="108"/>
    <w:bookmarkStart w:id="110" w:name="ref-hagen2018"/>
    <w:p>
      <w:pPr>
        <w:pStyle w:val="Bibliography"/>
      </w:pPr>
      <w:r>
        <w:t xml:space="preserve">Hagen O., Andermann T., Quental T.B., Antonelli A., Silvestro D. 2018.</w:t>
      </w:r>
      <w:r>
        <w:t xml:space="preserve"> </w:t>
      </w:r>
      <w:hyperlink r:id="rId109">
        <w:r>
          <w:rPr>
            <w:rStyle w:val="Hyperlink"/>
          </w:rPr>
          <w:t xml:space="preserve">Estimating age-dependent extinction: Contrasting evidence from fossils and phylogenies</w:t>
        </w:r>
      </w:hyperlink>
      <w:r>
        <w:t xml:space="preserve">. Systematic Biology. 67:458–474.</w:t>
      </w:r>
    </w:p>
    <w:bookmarkEnd w:id="110"/>
    <w:bookmarkStart w:id="112" w:name="ref-hauffe2024"/>
    <w:p>
      <w:pPr>
        <w:pStyle w:val="Bibliography"/>
      </w:pPr>
      <w:r>
        <w:t xml:space="preserve">Hauffe T., Cantalapiedra J.L., Silvestro D. 2024.</w:t>
      </w:r>
      <w:r>
        <w:t xml:space="preserve"> </w:t>
      </w:r>
      <w:hyperlink r:id="rId111">
        <w:r>
          <w:rPr>
            <w:rStyle w:val="Hyperlink"/>
          </w:rPr>
          <w:t xml:space="preserve">Trait-mediated speciation and human-driven extinctions in proboscideans revealed by unsupervised bayesian neural networks</w:t>
        </w:r>
      </w:hyperlink>
      <w:r>
        <w:t xml:space="preserve">. Science Advances. 10:eadl2643.</w:t>
      </w:r>
    </w:p>
    <w:bookmarkEnd w:id="112"/>
    <w:bookmarkStart w:id="113" w:name="ref-homerocamacho1967"/>
    <w:p>
      <w:pPr>
        <w:pStyle w:val="Bibliography"/>
      </w:pPr>
      <w:r>
        <w:t xml:space="preserve">Homero Camacho H. 1967. Las transgresiones del cretácico superior y terciario de la argentina. Revista de la Asociación Geológica Argentina. 22:253–280.</w:t>
      </w:r>
    </w:p>
    <w:bookmarkEnd w:id="113"/>
    <w:bookmarkStart w:id="115" w:name="ref-hoorn2022"/>
    <w:p>
      <w:pPr>
        <w:pStyle w:val="Bibliography"/>
      </w:pPr>
      <w:r>
        <w:t xml:space="preserve">Hoorn C., Boschman L.M., Kukla T., Sciumbata M., Val P. 2022.</w:t>
      </w:r>
      <w:r>
        <w:t xml:space="preserve"> </w:t>
      </w:r>
      <w:hyperlink r:id="rId114">
        <w:r>
          <w:rPr>
            <w:rStyle w:val="Hyperlink"/>
          </w:rPr>
          <w:t xml:space="preserve">The miocene wetland of western amazonia and its role in neotropical biogeography</w:t>
        </w:r>
      </w:hyperlink>
      <w:r>
        <w:t xml:space="preserve">. Botanical Journal of the Linnean Society. 199:25–35.</w:t>
      </w:r>
    </w:p>
    <w:bookmarkEnd w:id="115"/>
    <w:bookmarkStart w:id="117" w:name="ref-hoorn1995"/>
    <w:p>
      <w:pPr>
        <w:pStyle w:val="Bibliography"/>
      </w:pPr>
      <w:r>
        <w:t xml:space="preserve">Hoorn C., Guerrero J., Sarmiento G.A., Lorente M.A. 1995.</w:t>
      </w:r>
      <w:r>
        <w:t xml:space="preserve"> </w:t>
      </w:r>
      <w:hyperlink r:id="rId116">
        <w:r>
          <w:rPr>
            <w:rStyle w:val="Hyperlink"/>
          </w:rPr>
          <w:t xml:space="preserve">Andean tectonics as a cause for changing drainage patterns in Miocene northern South America</w:t>
        </w:r>
      </w:hyperlink>
      <w:r>
        <w:t xml:space="preserve">. Geology. 23:237.</w:t>
      </w:r>
    </w:p>
    <w:bookmarkEnd w:id="117"/>
    <w:bookmarkStart w:id="119" w:name="ref-hoorn2010"/>
    <w:p>
      <w:pPr>
        <w:pStyle w:val="Bibliography"/>
      </w:pPr>
      <w:r>
        <w:t xml:space="preserve">Hoorn C., Wesselingh F.P., Steege H. ter, Bermudez M.A., Mora A., Sevink J., Sanmartín I., Sanchez-Meseguer A., Anderson C.L., Figueiredo J.P., Jaramillo C., Riff D., Negri F.R., Hooghiemstra H., Lundberg J., Stadler T., Särkinen T., Antonelli A. 2010.</w:t>
      </w:r>
      <w:r>
        <w:t xml:space="preserve"> </w:t>
      </w:r>
      <w:hyperlink r:id="rId118">
        <w:r>
          <w:rPr>
            <w:rStyle w:val="Hyperlink"/>
          </w:rPr>
          <w:t xml:space="preserve">Amazonia through time: Andean uplift, climate change, landscape evolution, and biodiversity</w:t>
        </w:r>
      </w:hyperlink>
      <w:r>
        <w:t xml:space="preserve">. Science. 330:927–931.</w:t>
      </w:r>
    </w:p>
    <w:bookmarkEnd w:id="119"/>
    <w:bookmarkStart w:id="121" w:name="ref-hullot2025"/>
    <w:p>
      <w:pPr>
        <w:pStyle w:val="Bibliography"/>
      </w:pPr>
      <w:r>
        <w:t xml:space="preserve">Hullot M., Robinet C., Vautrin Q., Tabuce R., Antoine P.-O., Merceron G., Lihoreau F. 2025.</w:t>
      </w:r>
      <w:r>
        <w:t xml:space="preserve"> </w:t>
      </w:r>
      <w:hyperlink r:id="rId120">
        <w:r>
          <w:rPr>
            <w:rStyle w:val="Hyperlink"/>
          </w:rPr>
          <w:t xml:space="preserve">Evolution of dietary preferences of the lophiodontidae (mammalia, perissodactyla) from southern france</w:t>
        </w:r>
      </w:hyperlink>
      <w:r>
        <w:t xml:space="preserve">. Palaeogeography, Palaeoclimatology, Palaeoecology. 675:113076.</w:t>
      </w:r>
    </w:p>
    <w:bookmarkEnd w:id="121"/>
    <w:bookmarkStart w:id="123" w:name="ref-jardine2012"/>
    <w:p>
      <w:pPr>
        <w:pStyle w:val="Bibliography"/>
      </w:pPr>
      <w:r>
        <w:t xml:space="preserve">Jardine P.E., Janis C.M., Sahney S., Benton M.J. 2012.</w:t>
      </w:r>
      <w:r>
        <w:t xml:space="preserve"> </w:t>
      </w:r>
      <w:hyperlink r:id="rId122">
        <w:r>
          <w:rPr>
            <w:rStyle w:val="Hyperlink"/>
          </w:rPr>
          <w:t xml:space="preserve">Grit not grass: Concordant patterns of early origin of hypsodonty in great plains ungulates and glires</w:t>
        </w:r>
      </w:hyperlink>
      <w:r>
        <w:t xml:space="preserve">. Palaeogeography, Palaeoclimatology, Palaeoecology. 365-366:1–10.</w:t>
      </w:r>
    </w:p>
    <w:bookmarkEnd w:id="123"/>
    <w:bookmarkStart w:id="125" w:name="ref-lehtonen2017"/>
    <w:p>
      <w:pPr>
        <w:pStyle w:val="Bibliography"/>
      </w:pPr>
      <w:r>
        <w:t xml:space="preserve">Lehtonen S., Silvestro D., Karger D.N., Scotese C., Tuomisto H., Kessler M., Peña C., Wahlberg N., Antonelli A. 2017.</w:t>
      </w:r>
      <w:r>
        <w:t xml:space="preserve"> </w:t>
      </w:r>
      <w:hyperlink r:id="rId124">
        <w:r>
          <w:rPr>
            <w:rStyle w:val="Hyperlink"/>
          </w:rPr>
          <w:t xml:space="preserve">Environmentally driven extinction and opportunistic origination explain fern diversification patterns</w:t>
        </w:r>
      </w:hyperlink>
      <w:r>
        <w:t xml:space="preserve">. Scientific Reports. 7:4831.</w:t>
      </w:r>
    </w:p>
    <w:bookmarkEnd w:id="125"/>
    <w:bookmarkStart w:id="127" w:name="ref-lomolino2005"/>
    <w:p>
      <w:pPr>
        <w:pStyle w:val="Bibliography"/>
      </w:pPr>
      <w:r>
        <w:t xml:space="preserve">Lomolino M.V. 2005.</w:t>
      </w:r>
      <w:r>
        <w:t xml:space="preserve"> </w:t>
      </w:r>
      <w:hyperlink r:id="rId126">
        <w:r>
          <w:rPr>
            <w:rStyle w:val="Hyperlink"/>
          </w:rPr>
          <w:t xml:space="preserve">Body size evolution in insular vertebrates: Generality of the island rule</w:t>
        </w:r>
      </w:hyperlink>
      <w:r>
        <w:t xml:space="preserve">. Journal of Biogeography. 32:1683–1699.</w:t>
      </w:r>
    </w:p>
    <w:bookmarkEnd w:id="127"/>
    <w:bookmarkStart w:id="129" w:name="ref-macphee2011"/>
    <w:p>
      <w:pPr>
        <w:pStyle w:val="Bibliography"/>
      </w:pPr>
      <w:r>
        <w:t xml:space="preserve">MacPhee R.D.E. 2011.</w:t>
      </w:r>
      <w:r>
        <w:t xml:space="preserve"> </w:t>
      </w:r>
      <w:hyperlink r:id="rId128">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29"/>
    <w:bookmarkStart w:id="131" w:name="ref-marivaux2022"/>
    <w:p>
      <w:pPr>
        <w:pStyle w:val="Bibliography"/>
      </w:pPr>
      <w:r>
        <w:t xml:space="preserve">Marivaux L., López L.W.V., Boivin M., Da Cunha L., Fabre P.-H., Joannes-Boyau R., Maincent G., Münch P., Stutz N.S., Vélez-Juarbe J., Antoine P.-O. 2022.</w:t>
      </w:r>
      <w:r>
        <w:t xml:space="preserve"> </w:t>
      </w:r>
      <w:hyperlink r:id="rId130">
        <w:r>
          <w:rPr>
            <w:rStyle w:val="Hyperlink"/>
          </w:rPr>
          <w:t xml:space="preserve">Incisor enamel microstructure of West Indian caviomorph hystricognathous rodents (Octodontoidea and Chinchilloidea)</w:t>
        </w:r>
      </w:hyperlink>
      <w:r>
        <w:t xml:space="preserve">. Journal of Mammalian Evolution. 29:969–995.</w:t>
      </w:r>
    </w:p>
    <w:bookmarkEnd w:id="131"/>
    <w:bookmarkStart w:id="133" w:name="ref-marivaux_early_2020"/>
    <w:p>
      <w:pPr>
        <w:pStyle w:val="Bibliography"/>
      </w:pPr>
      <w:r>
        <w:t xml:space="preserve">Marivaux L., Vélez-Juarbe J., Merzeraud G., Pujos F., Viñola López L.W., Boivin M., Santos-Mercado H., Cruz E.J., Grajales A., Padilla J., Vélez-Rosado K.I., Philippon M., Léticée J.-L., Münch P., Antoine P.-O. 2020.</w:t>
      </w:r>
      <w:r>
        <w:t xml:space="preserve"> </w:t>
      </w:r>
      <w:hyperlink r:id="rId132">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33"/>
    <w:bookmarkStart w:id="135" w:name="ref-marshall1982"/>
    <w:p>
      <w:pPr>
        <w:pStyle w:val="Bibliography"/>
      </w:pPr>
      <w:r>
        <w:t xml:space="preserve">Marshall L.G., Webb S.D., Sepkoski J.J., Raup D.M. 1982.</w:t>
      </w:r>
      <w:r>
        <w:t xml:space="preserve"> </w:t>
      </w:r>
      <w:hyperlink r:id="rId134">
        <w:r>
          <w:rPr>
            <w:rStyle w:val="Hyperlink"/>
          </w:rPr>
          <w:t xml:space="preserve">Mammalian evolution and the great american interchange</w:t>
        </w:r>
      </w:hyperlink>
      <w:r>
        <w:t xml:space="preserve">. Science. 215:1351–1357.</w:t>
      </w:r>
    </w:p>
    <w:bookmarkEnd w:id="135"/>
    <w:bookmarkStart w:id="137" w:name="ref-mcfarlane1998"/>
    <w:p>
      <w:pPr>
        <w:pStyle w:val="Bibliography"/>
      </w:pPr>
      <w:r>
        <w:t xml:space="preserve">McFarlane D.A., MacPhee R.D.E., Ford D.C. 1998.</w:t>
      </w:r>
      <w:r>
        <w:t xml:space="preserve"> </w:t>
      </w:r>
      <w:hyperlink r:id="rId136">
        <w:r>
          <w:rPr>
            <w:rStyle w:val="Hyperlink"/>
          </w:rPr>
          <w:t xml:space="preserve">Body Size Variability and a Sangamonian Extinction Model for Amblyrhiza,a West Indian Megafaunal Rodent</w:t>
        </w:r>
      </w:hyperlink>
      <w:r>
        <w:t xml:space="preserve">. Quaternary Research. 50:80–89.</w:t>
      </w:r>
    </w:p>
    <w:bookmarkEnd w:id="137"/>
    <w:bookmarkStart w:id="139" w:name="ref-meiri2007"/>
    <w:p>
      <w:pPr>
        <w:pStyle w:val="Bibliography"/>
      </w:pPr>
      <w:r>
        <w:t xml:space="preserve">Meiri S., Cooper N., Purvis A. 2007.</w:t>
      </w:r>
      <w:r>
        <w:t xml:space="preserve"> </w:t>
      </w:r>
      <w:hyperlink r:id="rId138">
        <w:r>
          <w:rPr>
            <w:rStyle w:val="Hyperlink"/>
          </w:rPr>
          <w:t xml:space="preserve">The island rule: Made to be broken?</w:t>
        </w:r>
      </w:hyperlink>
      <w:r>
        <w:t xml:space="preserve"> Proceedings of the Royal Society B: Biological Sciences. 275:141–148.</w:t>
      </w:r>
    </w:p>
    <w:bookmarkEnd w:id="139"/>
    <w:bookmarkStart w:id="141" w:name="ref-miller2020"/>
    <w:p>
      <w:pPr>
        <w:pStyle w:val="Bibliography"/>
      </w:pPr>
      <w:r>
        <w:t xml:space="preserve">Miller K.G., Browning J.V., Schmelz W.J., Kopp R.E., Mountain G.S., Wright J.D. 2020.</w:t>
      </w:r>
      <w:r>
        <w:t xml:space="preserve"> </w:t>
      </w:r>
      <w:hyperlink r:id="rId140">
        <w:r>
          <w:rPr>
            <w:rStyle w:val="Hyperlink"/>
          </w:rPr>
          <w:t xml:space="preserve">Cenozoic sea-level and cryospheric evolution from deep-sea geochemical and continental margin records</w:t>
        </w:r>
      </w:hyperlink>
      <w:r>
        <w:t xml:space="preserve">. Science Advances. 6:eaaz1346.</w:t>
      </w:r>
    </w:p>
    <w:bookmarkEnd w:id="141"/>
    <w:bookmarkStart w:id="143" w:name="ref-morlon2024"/>
    <w:p>
      <w:pPr>
        <w:pStyle w:val="Bibliography"/>
      </w:pPr>
      <w:r>
        <w:t xml:space="preserve">Morlon H., Andréoletti J., Barido-Sottani J., Lambert S., Perez-Lamarque B., Quintero I., Senderov V., Veron P. 2024.</w:t>
      </w:r>
      <w:r>
        <w:t xml:space="preserve"> </w:t>
      </w:r>
      <w:hyperlink r:id="rId142">
        <w:r>
          <w:rPr>
            <w:rStyle w:val="Hyperlink"/>
          </w:rPr>
          <w:t xml:space="preserve">Phylogenetic Insights into Diversification</w:t>
        </w:r>
      </w:hyperlink>
      <w:r>
        <w:t xml:space="preserve">. Annual Review of Ecology, Evolution, and Systematics.</w:t>
      </w:r>
    </w:p>
    <w:bookmarkEnd w:id="143"/>
    <w:bookmarkStart w:id="145" w:name="ref-neige2026"/>
    <w:p>
      <w:pPr>
        <w:pStyle w:val="Bibliography"/>
      </w:pPr>
      <w:r>
        <w:t xml:space="preserve">Neige P., Tiel T. van. 2026.</w:t>
      </w:r>
      <w:r>
        <w:t xml:space="preserve"> </w:t>
      </w:r>
      <w:hyperlink r:id="rId144">
        <w:r>
          <w:rPr>
            <w:rStyle w:val="Hyperlink"/>
          </w:rPr>
          <w:t xml:space="preserve">Background extinction due to species specialization? Insights from a high-resolution Jurassic ammonoid case study (Dactylioceratidae)</w:t>
        </w:r>
      </w:hyperlink>
      <w:r>
        <w:t xml:space="preserve">. Paleobiology.:1–17.</w:t>
      </w:r>
    </w:p>
    <w:bookmarkEnd w:id="145"/>
    <w:bookmarkStart w:id="147" w:name="ref-paiva2026"/>
    <w:p>
      <w:pPr>
        <w:pStyle w:val="Bibliography"/>
      </w:pPr>
      <w:r>
        <w:t xml:space="preserve">Paiva A.L., Godoy P., Santos D. dos, Langer M., Mannion P. 2026.</w:t>
      </w:r>
      <w:r>
        <w:t xml:space="preserve"> </w:t>
      </w:r>
      <w:hyperlink r:id="rId146">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147"/>
    <w:bookmarkStart w:id="149" w:name="ref-palazzesi2012"/>
    <w:p>
      <w:pPr>
        <w:pStyle w:val="Bibliography"/>
      </w:pPr>
      <w:r>
        <w:t xml:space="preserve">Palazzesi L., Barreda V. 2012.</w:t>
      </w:r>
      <w:r>
        <w:t xml:space="preserve"> </w:t>
      </w:r>
      <w:hyperlink r:id="rId148">
        <w:r>
          <w:rPr>
            <w:rStyle w:val="Hyperlink"/>
          </w:rPr>
          <w:t xml:space="preserve">Fossil pollen records reveal a late rise of open-habitat ecosystems in Patagonia</w:t>
        </w:r>
      </w:hyperlink>
      <w:r>
        <w:t xml:space="preserve">. Nature Communications. 3:1294.</w:t>
      </w:r>
    </w:p>
    <w:bookmarkEnd w:id="149"/>
    <w:bookmarkStart w:id="151" w:name="ref-patton2015"/>
    <w:p>
      <w:pPr>
        <w:pStyle w:val="Bibliography"/>
      </w:pPr>
      <w:r>
        <w:t xml:space="preserve">Patton J.L., Pardiñas U.F.J., D’Elía G. 2015.</w:t>
      </w:r>
      <w:r>
        <w:t xml:space="preserve"> </w:t>
      </w:r>
      <w:hyperlink r:id="rId150">
        <w:r>
          <w:rPr>
            <w:rStyle w:val="Hyperlink"/>
          </w:rPr>
          <w:t xml:space="preserve">Mammals of South America, Volume 2: Rodents</w:t>
        </w:r>
      </w:hyperlink>
      <w:r>
        <w:t xml:space="preserve">. Chicago, IL: University of Chicago Press.</w:t>
      </w:r>
    </w:p>
    <w:bookmarkEnd w:id="151"/>
    <w:bookmarkStart w:id="153" w:name="ref-rasia_comprehensive_2021"/>
    <w:p>
      <w:pPr>
        <w:pStyle w:val="Bibliography"/>
      </w:pPr>
      <w:r>
        <w:t xml:space="preserve">Rasia L.L., Candela A.M., Cañón C. 2021.</w:t>
      </w:r>
      <w:r>
        <w:t xml:space="preserve"> </w:t>
      </w:r>
      <w:hyperlink r:id="rId152">
        <w:r>
          <w:rPr>
            <w:rStyle w:val="Hyperlink"/>
          </w:rPr>
          <w:t xml:space="preserve">Comprehensive total evidence phylogeny of chinchillids (rodentia, caviomorpha): Cheek teeth anatomy and evolution</w:t>
        </w:r>
      </w:hyperlink>
      <w:r>
        <w:t xml:space="preserve">. Journal of Anatomy. 239:405–423.</w:t>
      </w:r>
    </w:p>
    <w:bookmarkEnd w:id="153"/>
    <w:bookmarkStart w:id="155" w:name="ref-rasia2024"/>
    <w:p>
      <w:pPr>
        <w:pStyle w:val="Bibliography"/>
      </w:pPr>
      <w:r>
        <w:t xml:space="preserve">Rasia L.L., Montalvo C.I., Sostillo R., Kerber L., Tomassini R.L. 2024.</w:t>
      </w:r>
      <w:r>
        <w:t xml:space="preserve"> </w:t>
      </w:r>
      <w:hyperlink r:id="rId154">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155"/>
    <w:bookmarkStart w:id="157" w:name="ref-rinderknecht2008"/>
    <w:p>
      <w:pPr>
        <w:pStyle w:val="Bibliography"/>
      </w:pPr>
      <w:r>
        <w:t xml:space="preserve">Rinderknecht A., Blanco R.E. 2008.</w:t>
      </w:r>
      <w:r>
        <w:t xml:space="preserve"> </w:t>
      </w:r>
      <w:hyperlink r:id="rId156">
        <w:r>
          <w:rPr>
            <w:rStyle w:val="Hyperlink"/>
          </w:rPr>
          <w:t xml:space="preserve">The largest fossil rodent</w:t>
        </w:r>
      </w:hyperlink>
      <w:r>
        <w:t xml:space="preserve">. Proceedings of the Royal Society B: Biological Sciences. 275:923–928.</w:t>
      </w:r>
    </w:p>
    <w:bookmarkEnd w:id="157"/>
    <w:bookmarkStart w:id="159" w:name="ref-robinet2020"/>
    <w:p>
      <w:pPr>
        <w:pStyle w:val="Bibliography"/>
      </w:pPr>
      <w:r>
        <w:t xml:space="preserve">Robinet C., Merceron G., Candela A.M., Marivaux L. 2020.</w:t>
      </w:r>
      <w:r>
        <w:t xml:space="preserve"> </w:t>
      </w:r>
      <w:hyperlink r:id="rId158">
        <w:r>
          <w:rPr>
            <w:rStyle w:val="Hyperlink"/>
          </w:rPr>
          <w:t xml:space="preserve">Dental microwear texture analysis and diet in caviomorphs (rodentia) from the serra do mar atlantic forest (brazil)</w:t>
        </w:r>
      </w:hyperlink>
      <w:r>
        <w:t xml:space="preserve">. Journal of Mammalogy. 101:386–402.</w:t>
      </w:r>
    </w:p>
    <w:bookmarkEnd w:id="159"/>
    <w:bookmarkStart w:id="161" w:name="ref-salas-gismondi2015"/>
    <w:p>
      <w:pPr>
        <w:pStyle w:val="Bibliography"/>
      </w:pPr>
      <w:r>
        <w:t xml:space="preserve">Salas-Gismondi R., Flynn J.J., Baby P., Tejada-Lara J.V., Wesselingh F.P., Antoine P.-O. 2015.</w:t>
      </w:r>
      <w:r>
        <w:t xml:space="preserve"> </w:t>
      </w:r>
      <w:hyperlink r:id="rId160">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161"/>
    <w:bookmarkStart w:id="163" w:name="ref-sánchez-villagra2003"/>
    <w:p>
      <w:pPr>
        <w:pStyle w:val="Bibliography"/>
      </w:pPr>
      <w:r>
        <w:t xml:space="preserve">Sánchez-Villagra M.R., Aguilera O., Horovitz I. 2003.</w:t>
      </w:r>
      <w:r>
        <w:t xml:space="preserve"> </w:t>
      </w:r>
      <w:hyperlink r:id="rId162">
        <w:r>
          <w:rPr>
            <w:rStyle w:val="Hyperlink"/>
          </w:rPr>
          <w:t xml:space="preserve">The anatomy of the world’s largest extinct rodent</w:t>
        </w:r>
      </w:hyperlink>
      <w:r>
        <w:t xml:space="preserve">. Science. 301:1708–1710.</w:t>
      </w:r>
    </w:p>
    <w:bookmarkEnd w:id="163"/>
    <w:bookmarkStart w:id="165" w:name="ref-silvestro2015"/>
    <w:p>
      <w:pPr>
        <w:pStyle w:val="Bibliography"/>
      </w:pPr>
      <w:r>
        <w:t xml:space="preserve">Silvestro D., Antonelli A., Salamin N., Quental T.B. 2015.</w:t>
      </w:r>
      <w:r>
        <w:t xml:space="preserve"> </w:t>
      </w:r>
      <w:hyperlink r:id="rId164">
        <w:r>
          <w:rPr>
            <w:rStyle w:val="Hyperlink"/>
          </w:rPr>
          <w:t xml:space="preserve">The role of clade competition in the diversification of North American canids</w:t>
        </w:r>
      </w:hyperlink>
      <w:r>
        <w:t xml:space="preserve">. Proceedings of the National Academy of Sciences. 112:8684–8689.</w:t>
      </w:r>
    </w:p>
    <w:bookmarkEnd w:id="165"/>
    <w:bookmarkStart w:id="167" w:name="ref-silvestro2019"/>
    <w:p>
      <w:pPr>
        <w:pStyle w:val="Bibliography"/>
      </w:pPr>
      <w:r>
        <w:t xml:space="preserve">Silvestro D., Salamin N., Antonelli A., Meyer X. 2019.</w:t>
      </w:r>
      <w:r>
        <w:t xml:space="preserve"> </w:t>
      </w:r>
      <w:hyperlink r:id="rId166">
        <w:r>
          <w:rPr>
            <w:rStyle w:val="Hyperlink"/>
          </w:rPr>
          <w:t xml:space="preserve">Improved estimation of macroevolutionary rates from fossil data using a Bayesian framework</w:t>
        </w:r>
      </w:hyperlink>
      <w:r>
        <w:t xml:space="preserve">. Paleobiology. 45:546–570.</w:t>
      </w:r>
    </w:p>
    <w:bookmarkEnd w:id="167"/>
    <w:bookmarkStart w:id="169" w:name="ref-silvestro2014"/>
    <w:p>
      <w:pPr>
        <w:pStyle w:val="Bibliography"/>
      </w:pPr>
      <w:r>
        <w:t xml:space="preserve">Silvestro D., Salamin N., Schnitzler J. 2014.</w:t>
      </w:r>
      <w:r>
        <w:t xml:space="preserve"> </w:t>
      </w:r>
      <w:hyperlink r:id="rId168">
        <w:r>
          <w:rPr>
            <w:rStyle w:val="Hyperlink"/>
          </w:rPr>
          <w:t xml:space="preserve">PyRate: a new program to estimate speciation and extinction rates from incomplete fossil data</w:t>
        </w:r>
      </w:hyperlink>
      <w:r>
        <w:t xml:space="preserve">. Methods in Ecology and Evolution. 5:1126–1131.</w:t>
      </w:r>
    </w:p>
    <w:bookmarkEnd w:id="169"/>
    <w:bookmarkStart w:id="170" w:name="ref-simpson1944"/>
    <w:p>
      <w:pPr>
        <w:pStyle w:val="Bibliography"/>
      </w:pPr>
      <w:r>
        <w:t xml:space="preserve">Simpson G.G. 1944. Tempo and mode in evolution.</w:t>
      </w:r>
    </w:p>
    <w:bookmarkEnd w:id="170"/>
    <w:bookmarkStart w:id="171" w:name="ref-simpson1980"/>
    <w:p>
      <w:pPr>
        <w:pStyle w:val="Bibliography"/>
      </w:pPr>
      <w:r>
        <w:t xml:space="preserve">Simpson G.G. 1980. Splendid isolation : The curious history of south american mammals.</w:t>
      </w:r>
    </w:p>
    <w:bookmarkEnd w:id="171"/>
    <w:bookmarkStart w:id="173" w:name="ref-solórzano2024"/>
    <w:p>
      <w:pPr>
        <w:pStyle w:val="Bibliography"/>
      </w:pPr>
      <w:r>
        <w:t xml:space="preserve">Solórzano A., Núñez-Flores M., Rodríguez-Serrano E. 2024.</w:t>
      </w:r>
      <w:r>
        <w:t xml:space="preserve"> </w:t>
      </w:r>
      <w:hyperlink r:id="rId172">
        <w:r>
          <w:rPr>
            <w:rStyle w:val="Hyperlink"/>
          </w:rPr>
          <w:t xml:space="preserve">The rise and fall of notoungulates: How andean uplift, available land area, competition, and depredation driven its diversification dynamics</w:t>
        </w:r>
      </w:hyperlink>
      <w:r>
        <w:t xml:space="preserve">. Gondwana Research.</w:t>
      </w:r>
    </w:p>
    <w:bookmarkEnd w:id="173"/>
    <w:bookmarkStart w:id="174" w:name="ref-stebbins1974"/>
    <w:p>
      <w:pPr>
        <w:pStyle w:val="Bibliography"/>
      </w:pPr>
      <w:r>
        <w:t xml:space="preserve">Stebbins G.L. 1974. Trends of angiosperm phylogeny - the ecological basis of diversity. Cambridge, Mass: p. 156–170.</w:t>
      </w:r>
    </w:p>
    <w:bookmarkEnd w:id="174"/>
    <w:bookmarkStart w:id="176" w:name="ref-strömberg2013"/>
    <w:p>
      <w:pPr>
        <w:pStyle w:val="Bibliography"/>
      </w:pPr>
      <w:r>
        <w:t xml:space="preserve">Strömberg C.A.E., Dunn R.E., Madden R.H., Kohn M.J., Carlini A.A. 2013.</w:t>
      </w:r>
      <w:r>
        <w:t xml:space="preserve"> </w:t>
      </w:r>
      <w:hyperlink r:id="rId175">
        <w:r>
          <w:rPr>
            <w:rStyle w:val="Hyperlink"/>
          </w:rPr>
          <w:t xml:space="preserve">Decoupling the spread of grasslands from the evolution of grazer-type herbivores in South America</w:t>
        </w:r>
      </w:hyperlink>
      <w:r>
        <w:t xml:space="preserve">. Nature Communications. 4:1478.</w:t>
      </w:r>
    </w:p>
    <w:bookmarkEnd w:id="176"/>
    <w:bookmarkStart w:id="178" w:name="ref-tardif2025"/>
    <w:p>
      <w:pPr>
        <w:pStyle w:val="Bibliography"/>
      </w:pPr>
      <w:r>
        <w:t xml:space="preserve">Tardif D., Condamine F.L., Streiff S.J.R., Sepulchre P., Couvreur T.L.P. 2025.</w:t>
      </w:r>
      <w:r>
        <w:t xml:space="preserve"> </w:t>
      </w:r>
      <w:hyperlink r:id="rId177">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178"/>
    <w:bookmarkStart w:id="180" w:name="ref-tarquini2022"/>
    <w:p>
      <w:pPr>
        <w:pStyle w:val="Bibliography"/>
      </w:pPr>
      <w:r>
        <w:t xml:space="preserve">Tarquini S.D., Ladevèze S., Prevosti F.J. 2022.</w:t>
      </w:r>
      <w:r>
        <w:t xml:space="preserve"> </w:t>
      </w:r>
      <w:hyperlink r:id="rId179">
        <w:r>
          <w:rPr>
            <w:rStyle w:val="Hyperlink"/>
          </w:rPr>
          <w:t xml:space="preserve">The multicausal twilight of South American native mammalian predators (Metatheria, Sparassodonta)</w:t>
        </w:r>
      </w:hyperlink>
      <w:r>
        <w:t xml:space="preserve">. Scientific Reports. 12:1224.</w:t>
      </w:r>
    </w:p>
    <w:bookmarkEnd w:id="180"/>
    <w:bookmarkStart w:id="182" w:name="ref-database"/>
    <w:p>
      <w:pPr>
        <w:pStyle w:val="Bibliography"/>
      </w:pPr>
      <w:r>
        <w:t xml:space="preserve">Upham N., Burgin C., Widness J., Liphardt S., Parker C., Becker M., Rochon I., Huckaby D., Zijlstra J. 2026.</w:t>
      </w:r>
      <w:r>
        <w:t xml:space="preserve"> </w:t>
      </w:r>
      <w:hyperlink r:id="rId181">
        <w:r>
          <w:rPr>
            <w:rStyle w:val="Hyperlink"/>
          </w:rPr>
          <w:t xml:space="preserve">Mammal Diversity Database v2.4</w:t>
        </w:r>
      </w:hyperlink>
      <w:r>
        <w:t xml:space="preserve">.</w:t>
      </w:r>
    </w:p>
    <w:bookmarkEnd w:id="182"/>
    <w:bookmarkStart w:id="183" w:name="ref-upham2015"/>
    <w:p>
      <w:pPr>
        <w:pStyle w:val="Bibliography"/>
      </w:pPr>
      <w:r>
        <w:t xml:space="preserve">Upham N.S., Patterson B.D. 2015. Evolution of Caviomorph Rodents: a Complete Phylogeny and Timetree for Living Genera.</w:t>
      </w:r>
    </w:p>
    <w:bookmarkEnd w:id="183"/>
    <w:bookmarkStart w:id="185" w:name="ref-vallejos-garrido2023"/>
    <w:p>
      <w:pPr>
        <w:pStyle w:val="Bibliography"/>
      </w:pPr>
      <w:r>
        <w:t xml:space="preserve">Vallejos-Garrido P., Pino K., Espinoza-Aravena N., Pari A., Inostroza-Michael O., Toledo-Muñoz M., Castillo-Ravanal B., Romero-Alarcón V., Hernández C.E., Palma R.E., Rodríguez-Serrano E. 2023.</w:t>
      </w:r>
      <w:r>
        <w:t xml:space="preserve"> </w:t>
      </w:r>
      <w:hyperlink r:id="rId184">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185"/>
    <w:bookmarkStart w:id="186" w:name="ref-vanvalen1973"/>
    <w:p>
      <w:pPr>
        <w:pStyle w:val="Bibliography"/>
      </w:pPr>
      <w:r>
        <w:t xml:space="preserve">Van Valen L. 1973a. A new evolutionary law. Evolutionary Theory.:1–30.</w:t>
      </w:r>
    </w:p>
    <w:bookmarkEnd w:id="186"/>
    <w:bookmarkStart w:id="187" w:name="ref-van_valen_pattern_1973"/>
    <w:p>
      <w:pPr>
        <w:pStyle w:val="Bibliography"/>
      </w:pPr>
      <w:r>
        <w:t xml:space="preserve">Van Valen L. 1973b. Pattern and the balance of nature. Evol. Theory. 1:31–49.</w:t>
      </w:r>
    </w:p>
    <w:bookmarkEnd w:id="187"/>
    <w:bookmarkStart w:id="188" w:name="ref-vrba1995"/>
    <w:p>
      <w:pPr>
        <w:pStyle w:val="Bibliography"/>
      </w:pPr>
      <w:r>
        <w:t xml:space="preserve">Vrba E.S. 1995. On the connections between paleoclimate and evolution. New Haven; London: p. 25–45.</w:t>
      </w:r>
    </w:p>
    <w:bookmarkEnd w:id="188"/>
    <w:bookmarkStart w:id="189" w:name="ref-vucetich2015"/>
    <w:p>
      <w:pPr>
        <w:pStyle w:val="Bibliography"/>
      </w:pPr>
      <w:r>
        <w:t xml:space="preserve">Vucetich M.G., Arnal M., Deschamps C.M., Pérez M.E. 2015. A brief history of caviomorph rodents as told by the fossil record. Buenos Aires, Argentina: Sociedad Argentina para el Estudio de los Mammíferos (SAREM). p. 11–62.</w:t>
      </w:r>
    </w:p>
    <w:bookmarkEnd w:id="189"/>
    <w:bookmarkStart w:id="191" w:name="ref-wei2024"/>
    <w:p>
      <w:pPr>
        <w:pStyle w:val="Bibliography"/>
      </w:pPr>
      <w:r>
        <w:t xml:space="preserve">Wei C., Li M., Mao L., Mander L., Jardine P.E., Gosling W.D., Hoorn C. 2024.</w:t>
      </w:r>
      <w:r>
        <w:t xml:space="preserve"> </w:t>
      </w:r>
      <w:hyperlink r:id="rId190">
        <w:r>
          <w:rPr>
            <w:rStyle w:val="Hyperlink"/>
          </w:rPr>
          <w:t xml:space="preserve">A 23-million-year record of morphological evolution within Neotropical grass pollen</w:t>
        </w:r>
      </w:hyperlink>
      <w:r>
        <w:t xml:space="preserve">. New Phytologist. n/a.</w:t>
      </w:r>
    </w:p>
    <w:bookmarkEnd w:id="191"/>
    <w:bookmarkStart w:id="193" w:name="ref-weppe2023"/>
    <w:p>
      <w:pPr>
        <w:pStyle w:val="Bibliography"/>
      </w:pPr>
      <w:r>
        <w:t xml:space="preserve">Weppe R., Condamine F.L., Guinot G., Maugoust J., Orliac M.J. 2023.</w:t>
      </w:r>
      <w:r>
        <w:t xml:space="preserve"> </w:t>
      </w:r>
      <w:hyperlink r:id="rId192">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193"/>
    <w:bookmarkStart w:id="195" w:name="ref-westerhold2020"/>
    <w:p>
      <w:pPr>
        <w:pStyle w:val="Bibliography"/>
      </w:pPr>
      <w:r>
        <w:t xml:space="preserve">Westerhold T., Marwan N., Drury A.J., Liebrand D., Agnini C., Anagnostou E., Barnet J.S.K., Bohaty S.M., De Vleeschouwer D., Florindo F., Frederichs T., Hodell D.A., Holbourn A.E., Kroon D., Lauretano V., Littler K., Lourens L.J., Lyle M., Pälike H., Röhl U., Tian J., Wilkens R.H., Wilson P.A., Zachos J.C. 2020.</w:t>
      </w:r>
      <w:r>
        <w:t xml:space="preserve"> </w:t>
      </w:r>
      <w:hyperlink r:id="rId194">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195"/>
    <w:bookmarkStart w:id="197" w:name="ref-woods2021"/>
    <w:p>
      <w:pPr>
        <w:pStyle w:val="Bibliography"/>
      </w:pPr>
      <w:r>
        <w:t xml:space="preserve">Woods R., Barnes I., Brace S., Turvey S.T. 2021.</w:t>
      </w:r>
      <w:r>
        <w:t xml:space="preserve"> </w:t>
      </w:r>
      <w:hyperlink r:id="rId196">
        <w:r>
          <w:rPr>
            <w:rStyle w:val="Hyperlink"/>
          </w:rPr>
          <w:t xml:space="preserve">Ancient DNA suggests single colonization and within-archipelago diversification of caribbean caviomorph rodents</w:t>
        </w:r>
      </w:hyperlink>
      <w:r>
        <w:t xml:space="preserve">. Molecular Biology and Evolution. 38:84–95.</w:t>
      </w:r>
    </w:p>
    <w:bookmarkEnd w:id="197"/>
    <w:bookmarkEnd w:id="198"/>
    <w:bookmarkEnd w:id="19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https://discovery.ucl.ac.uk/id/eprint/10220325/" TargetMode="External" /><Relationship Type="http://schemas.openxmlformats.org/officeDocument/2006/relationships/hyperlink" Id="rId136" Target="https://doi.org/10.1006/qres.1998.1977" TargetMode="External" /><Relationship Type="http://schemas.openxmlformats.org/officeDocument/2006/relationships/hyperlink" Id="rId130" Target="https://doi.org/10.1007/s10914-022-09631-7" TargetMode="External" /><Relationship Type="http://schemas.openxmlformats.org/officeDocument/2006/relationships/hyperlink" Id="rId87" Target="https://doi.org/10.1007/s10914-023-09675-3" TargetMode="External" /><Relationship Type="http://schemas.openxmlformats.org/officeDocument/2006/relationships/hyperlink" Id="rId63" Target="https://doi.org/10.1007/s10914-024-09739-y" TargetMode="External" /><Relationship Type="http://schemas.openxmlformats.org/officeDocument/2006/relationships/hyperlink" Id="rId67" Target="https://doi.org/10.1016/j.earscirev.2021.103640" TargetMode="External" /><Relationship Type="http://schemas.openxmlformats.org/officeDocument/2006/relationships/hyperlink" Id="rId50" Target="https://doi.org/10.1016/j.gloplacha.2021.103512" TargetMode="External" /><Relationship Type="http://schemas.openxmlformats.org/officeDocument/2006/relationships/hyperlink" Id="rId172" Target="https://doi.org/10.1016/j.gr.2024.08.002" TargetMode="External" /><Relationship Type="http://schemas.openxmlformats.org/officeDocument/2006/relationships/hyperlink" Id="rId122" Target="https://doi.org/10.1016/j.palaeo.2012.09.001" TargetMode="External" /><Relationship Type="http://schemas.openxmlformats.org/officeDocument/2006/relationships/hyperlink" Id="rId120" Target="https://doi.org/10.1016/j.palaeo.2025.113076" TargetMode="External" /><Relationship Type="http://schemas.openxmlformats.org/officeDocument/2006/relationships/hyperlink" Id="rId58" Target="https://doi.org/10.1016/j.quaint.2009.11.017" TargetMode="External" /><Relationship Type="http://schemas.openxmlformats.org/officeDocument/2006/relationships/hyperlink" Id="rId103" Target="https://doi.org/10.1017/S0094837300015864" TargetMode="External" /><Relationship Type="http://schemas.openxmlformats.org/officeDocument/2006/relationships/hyperlink" Id="rId166" Target="https://doi.org/10.1017/pab.2019.23" TargetMode="External" /><Relationship Type="http://schemas.openxmlformats.org/officeDocument/2006/relationships/hyperlink" Id="rId144" Target="https://doi.org/10.1017/pab.2025.10086" TargetMode="External" /><Relationship Type="http://schemas.openxmlformats.org/officeDocument/2006/relationships/hyperlink" Id="rId60" Target="https://doi.org/10.1038/302016a0" TargetMode="External" /><Relationship Type="http://schemas.openxmlformats.org/officeDocument/2006/relationships/hyperlink" Id="rId89" Target="https://doi.org/10.1038/365748a0" TargetMode="External" /><Relationship Type="http://schemas.openxmlformats.org/officeDocument/2006/relationships/hyperlink" Id="rId148" Target="https://doi.org/10.1038/ncomms2299" TargetMode="External" /><Relationship Type="http://schemas.openxmlformats.org/officeDocument/2006/relationships/hyperlink" Id="rId175" Target="https://doi.org/10.1038/ncomms2508" TargetMode="External" /><Relationship Type="http://schemas.openxmlformats.org/officeDocument/2006/relationships/hyperlink" Id="rId101" Target="https://doi.org/10.1038/s41467-022-30507-0" TargetMode="External" /><Relationship Type="http://schemas.openxmlformats.org/officeDocument/2006/relationships/hyperlink" Id="rId85" Target="https://doi.org/10.1038/s41467-024-48434-7" TargetMode="External" /><Relationship Type="http://schemas.openxmlformats.org/officeDocument/2006/relationships/hyperlink" Id="rId124" Target="https://doi.org/10.1038/s41598-017-05263-7" TargetMode="External" /><Relationship Type="http://schemas.openxmlformats.org/officeDocument/2006/relationships/hyperlink" Id="rId179" Target="https://doi.org/10.1038/s41598-022-05266-z" TargetMode="External" /><Relationship Type="http://schemas.openxmlformats.org/officeDocument/2006/relationships/hyperlink" Id="rId184" Target="https://doi.org/10.1038/s41598-023-28497-0" TargetMode="External" /><Relationship Type="http://schemas.openxmlformats.org/officeDocument/2006/relationships/hyperlink" Id="rId52" Target="https://doi.org/10.1073/pnas.0811421106" TargetMode="External" /><Relationship Type="http://schemas.openxmlformats.org/officeDocument/2006/relationships/hyperlink" Id="rId164" Target="https://doi.org/10.1073/pnas.1502803112" TargetMode="External" /><Relationship Type="http://schemas.openxmlformats.org/officeDocument/2006/relationships/hyperlink" Id="rId75" Target="https://doi.org/10.1073/pnas.1606868114" TargetMode="External" /><Relationship Type="http://schemas.openxmlformats.org/officeDocument/2006/relationships/hyperlink" Id="rId81" Target="https://doi.org/10.1073/pnas.2005571117" TargetMode="External" /><Relationship Type="http://schemas.openxmlformats.org/officeDocument/2006/relationships/hyperlink" Id="rId192" Target="https://doi.org/10.1073/pnas.2309945120" TargetMode="External" /><Relationship Type="http://schemas.openxmlformats.org/officeDocument/2006/relationships/hyperlink" Id="rId69" Target="https://doi.org/10.1073/pnas.2419520122" TargetMode="External" /><Relationship Type="http://schemas.openxmlformats.org/officeDocument/2006/relationships/hyperlink" Id="rId154" Target="https://doi.org/10.1080/08912963.2024.2390518" TargetMode="External" /><Relationship Type="http://schemas.openxmlformats.org/officeDocument/2006/relationships/hyperlink" Id="rId48" Target="https://doi.org/10.1093/biolinnean/blx026" TargetMode="External" /><Relationship Type="http://schemas.openxmlformats.org/officeDocument/2006/relationships/hyperlink" Id="rId114" Target="https://doi.org/10.1093/botlinnean/boab098" TargetMode="External" /><Relationship Type="http://schemas.openxmlformats.org/officeDocument/2006/relationships/hyperlink" Id="rId158" Target="https://doi.org/10.1093/jmammal/gyz194" TargetMode="External" /><Relationship Type="http://schemas.openxmlformats.org/officeDocument/2006/relationships/hyperlink" Id="rId196" Target="https://doi.org/10.1093/molbev/msaa189" TargetMode="External" /><Relationship Type="http://schemas.openxmlformats.org/officeDocument/2006/relationships/hyperlink" Id="rId91" Target="https://doi.org/10.1093/sysbio/syw020" TargetMode="External" /><Relationship Type="http://schemas.openxmlformats.org/officeDocument/2006/relationships/hyperlink" Id="rId109" Target="https://doi.org/10.1093/sysbio/syx082" TargetMode="External" /><Relationship Type="http://schemas.openxmlformats.org/officeDocument/2006/relationships/hyperlink" Id="rId77" Target="https://doi.org/10.1093/sysbio/syy009" TargetMode="External" /><Relationship Type="http://schemas.openxmlformats.org/officeDocument/2006/relationships/hyperlink" Id="rId138" Target="https://doi.org/10.1098/rspb.2007.1056" TargetMode="External" /><Relationship Type="http://schemas.openxmlformats.org/officeDocument/2006/relationships/hyperlink" Id="rId156" Target="https://doi.org/10.1098/rspb.2007.1645" TargetMode="External" /><Relationship Type="http://schemas.openxmlformats.org/officeDocument/2006/relationships/hyperlink" Id="rId95" Target="https://doi.org/10.1098/rspb.2011.1439" TargetMode="External" /><Relationship Type="http://schemas.openxmlformats.org/officeDocument/2006/relationships/hyperlink" Id="rId160" Target="https://doi.org/10.1098/rspb.2014.2490" TargetMode="External" /><Relationship Type="http://schemas.openxmlformats.org/officeDocument/2006/relationships/hyperlink" Id="rId132" Target="https://doi.org/10.1098/rspb.2019.2806" TargetMode="External" /><Relationship Type="http://schemas.openxmlformats.org/officeDocument/2006/relationships/hyperlink" Id="rId54" Target="https://doi.org/10.1098/rspb.2025.1418" TargetMode="External" /><Relationship Type="http://schemas.openxmlformats.org/officeDocument/2006/relationships/hyperlink" Id="rId93" Target="https://doi.org/10.1098/rspb.2025.2245" TargetMode="External" /><Relationship Type="http://schemas.openxmlformats.org/officeDocument/2006/relationships/hyperlink" Id="rId71" Target="https://doi.org/10.1101/2025.02.27.640393" TargetMode="External" /><Relationship Type="http://schemas.openxmlformats.org/officeDocument/2006/relationships/hyperlink" Id="rId168" Target="https://doi.org/10.1111/2041-210X.12263" TargetMode="External" /><Relationship Type="http://schemas.openxmlformats.org/officeDocument/2006/relationships/hyperlink" Id="rId83" Target="https://doi.org/10.1111/2041-210X.70070" TargetMode="External" /><Relationship Type="http://schemas.openxmlformats.org/officeDocument/2006/relationships/hyperlink" Id="rId79" Target="https://doi.org/10.1111/ele.13382" TargetMode="External" /><Relationship Type="http://schemas.openxmlformats.org/officeDocument/2006/relationships/hyperlink" Id="rId97" Target="https://doi.org/10.1111/geb.12504" TargetMode="External" /><Relationship Type="http://schemas.openxmlformats.org/officeDocument/2006/relationships/hyperlink" Id="rId177" Target="https://doi.org/10.1111/geb.70024" TargetMode="External" /><Relationship Type="http://schemas.openxmlformats.org/officeDocument/2006/relationships/hyperlink" Id="rId126" Target="https://doi.org/10.1111/j.1365-2699.2005.01314.x" TargetMode="External" /><Relationship Type="http://schemas.openxmlformats.org/officeDocument/2006/relationships/hyperlink" Id="rId152" Target="https://doi.org/10.1111/joa.13430" TargetMode="External" /><Relationship Type="http://schemas.openxmlformats.org/officeDocument/2006/relationships/hyperlink" Id="rId190" Target="https://doi.org/10.1111/nph.20214" TargetMode="External" /><Relationship Type="http://schemas.openxmlformats.org/officeDocument/2006/relationships/hyperlink" Id="rId140" Target="https://doi.org/10.1126/sciadv.aaz1346" TargetMode="External" /><Relationship Type="http://schemas.openxmlformats.org/officeDocument/2006/relationships/hyperlink" Id="rId111" Target="https://doi.org/10.1126/sciadv.adl2643" TargetMode="External" /><Relationship Type="http://schemas.openxmlformats.org/officeDocument/2006/relationships/hyperlink" Id="rId162" Target="https://doi.org/10.1126/science.1089332" TargetMode="External" /><Relationship Type="http://schemas.openxmlformats.org/officeDocument/2006/relationships/hyperlink" Id="rId118" Target="https://doi.org/10.1126/science.1194585" TargetMode="External" /><Relationship Type="http://schemas.openxmlformats.org/officeDocument/2006/relationships/hyperlink" Id="rId194" Target="https://doi.org/10.1126/science.aba6853" TargetMode="External" /><Relationship Type="http://schemas.openxmlformats.org/officeDocument/2006/relationships/hyperlink" Id="rId116" Target="https://doi.org/10.1130/0091-7613(1995)023&lt;0237:ATAACF&gt;2.3.CO;2" TargetMode="External" /><Relationship Type="http://schemas.openxmlformats.org/officeDocument/2006/relationships/hyperlink" Id="rId142" Target="https://doi.org/10.1146/annurev-ecolsys-102722-020508" TargetMode="External" /><Relationship Type="http://schemas.openxmlformats.org/officeDocument/2006/relationships/hyperlink" Id="rId105" Target="https://doi.org/10.1146/annurev.ecolsys.28.1.129" TargetMode="External" /><Relationship Type="http://schemas.openxmlformats.org/officeDocument/2006/relationships/hyperlink" Id="rId128" Target="https://doi.org/10.1206/0003-0090-363.1.1" TargetMode="External" /><Relationship Type="http://schemas.openxmlformats.org/officeDocument/2006/relationships/hyperlink" Id="rId107" Target="https://doi.org/10.1590/1809-4392202103601" TargetMode="External" /><Relationship Type="http://schemas.openxmlformats.org/officeDocument/2006/relationships/hyperlink" Id="rId56" Target="https://doi.org/10.1671/0272-4634(2001)021[0172:DTEOTR]2.0.CO;2" TargetMode="External" /><Relationship Type="http://schemas.openxmlformats.org/officeDocument/2006/relationships/hyperlink" Id="rId65" Target="https://doi.org/10.5252/geodiversitas2019v41a4" TargetMode="External" /><Relationship Type="http://schemas.openxmlformats.org/officeDocument/2006/relationships/hyperlink" Id="rId181" Target="https://doi.org/10.5281/zenodo.18135819" TargetMode="External" /><Relationship Type="http://schemas.openxmlformats.org/officeDocument/2006/relationships/hyperlink" Id="rId150" Target="https://press.uchicago.edu/ucp/books/book/chicago/M/bo18553844.html" TargetMode="External" /><Relationship Type="http://schemas.openxmlformats.org/officeDocument/2006/relationships/hyperlink" Id="rId134" Target="https://www.jstor.org/stable/1688046" TargetMode="External" /><Relationship Type="http://schemas.openxmlformats.org/officeDocument/2006/relationships/hyperlink" Id="rId99" Target="https://www.jstor.org/stable/26519218" TargetMode="External" /></Relationships>
</file>

<file path=word/_rels/footnotes.xml.rels><?xml version="1.0" encoding="UTF-8"?><Relationships xmlns="http://schemas.openxmlformats.org/package/2006/relationships"><Relationship Type="http://schemas.openxmlformats.org/officeDocument/2006/relationships/hyperlink" Id="rId146" Target="https://discovery.ucl.ac.uk/id/eprint/10220325/" TargetMode="External" /><Relationship Type="http://schemas.openxmlformats.org/officeDocument/2006/relationships/hyperlink" Id="rId136" Target="https://doi.org/10.1006/qres.1998.1977" TargetMode="External" /><Relationship Type="http://schemas.openxmlformats.org/officeDocument/2006/relationships/hyperlink" Id="rId130" Target="https://doi.org/10.1007/s10914-022-09631-7" TargetMode="External" /><Relationship Type="http://schemas.openxmlformats.org/officeDocument/2006/relationships/hyperlink" Id="rId87" Target="https://doi.org/10.1007/s10914-023-09675-3" TargetMode="External" /><Relationship Type="http://schemas.openxmlformats.org/officeDocument/2006/relationships/hyperlink" Id="rId63" Target="https://doi.org/10.1007/s10914-024-09739-y" TargetMode="External" /><Relationship Type="http://schemas.openxmlformats.org/officeDocument/2006/relationships/hyperlink" Id="rId67" Target="https://doi.org/10.1016/j.earscirev.2021.103640" TargetMode="External" /><Relationship Type="http://schemas.openxmlformats.org/officeDocument/2006/relationships/hyperlink" Id="rId50" Target="https://doi.org/10.1016/j.gloplacha.2021.103512" TargetMode="External" /><Relationship Type="http://schemas.openxmlformats.org/officeDocument/2006/relationships/hyperlink" Id="rId172" Target="https://doi.org/10.1016/j.gr.2024.08.002" TargetMode="External" /><Relationship Type="http://schemas.openxmlformats.org/officeDocument/2006/relationships/hyperlink" Id="rId122" Target="https://doi.org/10.1016/j.palaeo.2012.09.001" TargetMode="External" /><Relationship Type="http://schemas.openxmlformats.org/officeDocument/2006/relationships/hyperlink" Id="rId120" Target="https://doi.org/10.1016/j.palaeo.2025.113076" TargetMode="External" /><Relationship Type="http://schemas.openxmlformats.org/officeDocument/2006/relationships/hyperlink" Id="rId58" Target="https://doi.org/10.1016/j.quaint.2009.11.017" TargetMode="External" /><Relationship Type="http://schemas.openxmlformats.org/officeDocument/2006/relationships/hyperlink" Id="rId103" Target="https://doi.org/10.1017/S0094837300015864" TargetMode="External" /><Relationship Type="http://schemas.openxmlformats.org/officeDocument/2006/relationships/hyperlink" Id="rId166" Target="https://doi.org/10.1017/pab.2019.23" TargetMode="External" /><Relationship Type="http://schemas.openxmlformats.org/officeDocument/2006/relationships/hyperlink" Id="rId144" Target="https://doi.org/10.1017/pab.2025.10086" TargetMode="External" /><Relationship Type="http://schemas.openxmlformats.org/officeDocument/2006/relationships/hyperlink" Id="rId60" Target="https://doi.org/10.1038/302016a0" TargetMode="External" /><Relationship Type="http://schemas.openxmlformats.org/officeDocument/2006/relationships/hyperlink" Id="rId89" Target="https://doi.org/10.1038/365748a0" TargetMode="External" /><Relationship Type="http://schemas.openxmlformats.org/officeDocument/2006/relationships/hyperlink" Id="rId148" Target="https://doi.org/10.1038/ncomms2299" TargetMode="External" /><Relationship Type="http://schemas.openxmlformats.org/officeDocument/2006/relationships/hyperlink" Id="rId175" Target="https://doi.org/10.1038/ncomms2508" TargetMode="External" /><Relationship Type="http://schemas.openxmlformats.org/officeDocument/2006/relationships/hyperlink" Id="rId101" Target="https://doi.org/10.1038/s41467-022-30507-0" TargetMode="External" /><Relationship Type="http://schemas.openxmlformats.org/officeDocument/2006/relationships/hyperlink" Id="rId85" Target="https://doi.org/10.1038/s41467-024-48434-7" TargetMode="External" /><Relationship Type="http://schemas.openxmlformats.org/officeDocument/2006/relationships/hyperlink" Id="rId124" Target="https://doi.org/10.1038/s41598-017-05263-7" TargetMode="External" /><Relationship Type="http://schemas.openxmlformats.org/officeDocument/2006/relationships/hyperlink" Id="rId179" Target="https://doi.org/10.1038/s41598-022-05266-z" TargetMode="External" /><Relationship Type="http://schemas.openxmlformats.org/officeDocument/2006/relationships/hyperlink" Id="rId184" Target="https://doi.org/10.1038/s41598-023-28497-0" TargetMode="External" /><Relationship Type="http://schemas.openxmlformats.org/officeDocument/2006/relationships/hyperlink" Id="rId52" Target="https://doi.org/10.1073/pnas.0811421106" TargetMode="External" /><Relationship Type="http://schemas.openxmlformats.org/officeDocument/2006/relationships/hyperlink" Id="rId164" Target="https://doi.org/10.1073/pnas.1502803112" TargetMode="External" /><Relationship Type="http://schemas.openxmlformats.org/officeDocument/2006/relationships/hyperlink" Id="rId75" Target="https://doi.org/10.1073/pnas.1606868114" TargetMode="External" /><Relationship Type="http://schemas.openxmlformats.org/officeDocument/2006/relationships/hyperlink" Id="rId81" Target="https://doi.org/10.1073/pnas.2005571117" TargetMode="External" /><Relationship Type="http://schemas.openxmlformats.org/officeDocument/2006/relationships/hyperlink" Id="rId192" Target="https://doi.org/10.1073/pnas.2309945120" TargetMode="External" /><Relationship Type="http://schemas.openxmlformats.org/officeDocument/2006/relationships/hyperlink" Id="rId69" Target="https://doi.org/10.1073/pnas.2419520122" TargetMode="External" /><Relationship Type="http://schemas.openxmlformats.org/officeDocument/2006/relationships/hyperlink" Id="rId154" Target="https://doi.org/10.1080/08912963.2024.2390518" TargetMode="External" /><Relationship Type="http://schemas.openxmlformats.org/officeDocument/2006/relationships/hyperlink" Id="rId48" Target="https://doi.org/10.1093/biolinnean/blx026" TargetMode="External" /><Relationship Type="http://schemas.openxmlformats.org/officeDocument/2006/relationships/hyperlink" Id="rId114" Target="https://doi.org/10.1093/botlinnean/boab098" TargetMode="External" /><Relationship Type="http://schemas.openxmlformats.org/officeDocument/2006/relationships/hyperlink" Id="rId158" Target="https://doi.org/10.1093/jmammal/gyz194" TargetMode="External" /><Relationship Type="http://schemas.openxmlformats.org/officeDocument/2006/relationships/hyperlink" Id="rId196" Target="https://doi.org/10.1093/molbev/msaa189" TargetMode="External" /><Relationship Type="http://schemas.openxmlformats.org/officeDocument/2006/relationships/hyperlink" Id="rId91" Target="https://doi.org/10.1093/sysbio/syw020" TargetMode="External" /><Relationship Type="http://schemas.openxmlformats.org/officeDocument/2006/relationships/hyperlink" Id="rId109" Target="https://doi.org/10.1093/sysbio/syx082" TargetMode="External" /><Relationship Type="http://schemas.openxmlformats.org/officeDocument/2006/relationships/hyperlink" Id="rId77" Target="https://doi.org/10.1093/sysbio/syy009" TargetMode="External" /><Relationship Type="http://schemas.openxmlformats.org/officeDocument/2006/relationships/hyperlink" Id="rId138" Target="https://doi.org/10.1098/rspb.2007.1056" TargetMode="External" /><Relationship Type="http://schemas.openxmlformats.org/officeDocument/2006/relationships/hyperlink" Id="rId156" Target="https://doi.org/10.1098/rspb.2007.1645" TargetMode="External" /><Relationship Type="http://schemas.openxmlformats.org/officeDocument/2006/relationships/hyperlink" Id="rId95" Target="https://doi.org/10.1098/rspb.2011.1439" TargetMode="External" /><Relationship Type="http://schemas.openxmlformats.org/officeDocument/2006/relationships/hyperlink" Id="rId160" Target="https://doi.org/10.1098/rspb.2014.2490" TargetMode="External" /><Relationship Type="http://schemas.openxmlformats.org/officeDocument/2006/relationships/hyperlink" Id="rId132" Target="https://doi.org/10.1098/rspb.2019.2806" TargetMode="External" /><Relationship Type="http://schemas.openxmlformats.org/officeDocument/2006/relationships/hyperlink" Id="rId54" Target="https://doi.org/10.1098/rspb.2025.1418" TargetMode="External" /><Relationship Type="http://schemas.openxmlformats.org/officeDocument/2006/relationships/hyperlink" Id="rId93" Target="https://doi.org/10.1098/rspb.2025.2245" TargetMode="External" /><Relationship Type="http://schemas.openxmlformats.org/officeDocument/2006/relationships/hyperlink" Id="rId71" Target="https://doi.org/10.1101/2025.02.27.640393" TargetMode="External" /><Relationship Type="http://schemas.openxmlformats.org/officeDocument/2006/relationships/hyperlink" Id="rId168" Target="https://doi.org/10.1111/2041-210X.12263" TargetMode="External" /><Relationship Type="http://schemas.openxmlformats.org/officeDocument/2006/relationships/hyperlink" Id="rId83" Target="https://doi.org/10.1111/2041-210X.70070" TargetMode="External" /><Relationship Type="http://schemas.openxmlformats.org/officeDocument/2006/relationships/hyperlink" Id="rId79" Target="https://doi.org/10.1111/ele.13382" TargetMode="External" /><Relationship Type="http://schemas.openxmlformats.org/officeDocument/2006/relationships/hyperlink" Id="rId97" Target="https://doi.org/10.1111/geb.12504" TargetMode="External" /><Relationship Type="http://schemas.openxmlformats.org/officeDocument/2006/relationships/hyperlink" Id="rId177" Target="https://doi.org/10.1111/geb.70024" TargetMode="External" /><Relationship Type="http://schemas.openxmlformats.org/officeDocument/2006/relationships/hyperlink" Id="rId126" Target="https://doi.org/10.1111/j.1365-2699.2005.01314.x" TargetMode="External" /><Relationship Type="http://schemas.openxmlformats.org/officeDocument/2006/relationships/hyperlink" Id="rId152" Target="https://doi.org/10.1111/joa.13430" TargetMode="External" /><Relationship Type="http://schemas.openxmlformats.org/officeDocument/2006/relationships/hyperlink" Id="rId190" Target="https://doi.org/10.1111/nph.20214" TargetMode="External" /><Relationship Type="http://schemas.openxmlformats.org/officeDocument/2006/relationships/hyperlink" Id="rId140" Target="https://doi.org/10.1126/sciadv.aaz1346" TargetMode="External" /><Relationship Type="http://schemas.openxmlformats.org/officeDocument/2006/relationships/hyperlink" Id="rId111" Target="https://doi.org/10.1126/sciadv.adl2643" TargetMode="External" /><Relationship Type="http://schemas.openxmlformats.org/officeDocument/2006/relationships/hyperlink" Id="rId162" Target="https://doi.org/10.1126/science.1089332" TargetMode="External" /><Relationship Type="http://schemas.openxmlformats.org/officeDocument/2006/relationships/hyperlink" Id="rId118" Target="https://doi.org/10.1126/science.1194585" TargetMode="External" /><Relationship Type="http://schemas.openxmlformats.org/officeDocument/2006/relationships/hyperlink" Id="rId194" Target="https://doi.org/10.1126/science.aba6853" TargetMode="External" /><Relationship Type="http://schemas.openxmlformats.org/officeDocument/2006/relationships/hyperlink" Id="rId116" Target="https://doi.org/10.1130/0091-7613(1995)023&lt;0237:ATAACF&gt;2.3.CO;2" TargetMode="External" /><Relationship Type="http://schemas.openxmlformats.org/officeDocument/2006/relationships/hyperlink" Id="rId142" Target="https://doi.org/10.1146/annurev-ecolsys-102722-020508" TargetMode="External" /><Relationship Type="http://schemas.openxmlformats.org/officeDocument/2006/relationships/hyperlink" Id="rId105" Target="https://doi.org/10.1146/annurev.ecolsys.28.1.129" TargetMode="External" /><Relationship Type="http://schemas.openxmlformats.org/officeDocument/2006/relationships/hyperlink" Id="rId128" Target="https://doi.org/10.1206/0003-0090-363.1.1" TargetMode="External" /><Relationship Type="http://schemas.openxmlformats.org/officeDocument/2006/relationships/hyperlink" Id="rId107" Target="https://doi.org/10.1590/1809-4392202103601" TargetMode="External" /><Relationship Type="http://schemas.openxmlformats.org/officeDocument/2006/relationships/hyperlink" Id="rId56" Target="https://doi.org/10.1671/0272-4634(2001)021[0172:DTEOTR]2.0.CO;2" TargetMode="External" /><Relationship Type="http://schemas.openxmlformats.org/officeDocument/2006/relationships/hyperlink" Id="rId65" Target="https://doi.org/10.5252/geodiversitas2019v41a4" TargetMode="External" /><Relationship Type="http://schemas.openxmlformats.org/officeDocument/2006/relationships/hyperlink" Id="rId181" Target="https://doi.org/10.5281/zenodo.18135819" TargetMode="External" /><Relationship Type="http://schemas.openxmlformats.org/officeDocument/2006/relationships/hyperlink" Id="rId150" Target="https://press.uchicago.edu/ucp/books/book/chicago/M/bo18553844.html" TargetMode="External" /><Relationship Type="http://schemas.openxmlformats.org/officeDocument/2006/relationships/hyperlink" Id="rId134" Target="https://www.jstor.org/stable/1688046" TargetMode="External" /><Relationship Type="http://schemas.openxmlformats.org/officeDocument/2006/relationships/hyperlink" Id="rId99" Target="https://www.jstor.org/stable/26519218"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Téma la taille du rat</dc:title>
  <dc:creator>Lucas Buffan¹*, Myriam Boivin²*, Alicia Álvarez², Fabien L. Condamine¹, Laurent Marivaux¹</dc:creator>
  <cp:keywords/>
  <dcterms:created xsi:type="dcterms:W3CDTF">2026-02-04T17:48:26Z</dcterms:created>
  <dcterms:modified xsi:type="dcterms:W3CDTF">2026-02-04T17:48:26Z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systematic-biology.csl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