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2.png" ContentType="image/png"/>
  <Override PartName="/word/media/rId344.png" ContentType="image/png"/>
  <Override PartName="/word/media/rId356.png" ContentType="image/png"/>
  <Override PartName="/word/media/rId335.png" ContentType="image/png"/>
  <Override PartName="/word/media/rId348.png" ContentType="image/png"/>
  <Override PartName="/word/media/rId3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 lucas.l.buffan@gmail.com, mboivin@idgym.unju.edu.ar</w:t>
      </w:r>
    </w:p>
    <w:p>
      <w:pPr>
        <w:pStyle w:val="BodyText"/>
      </w:pPr>
      <w:r>
        <w:rPr>
          <w:b/>
          <w:bCs/>
        </w:rPr>
        <w:t xml:space="preserve">Keywords:</w:t>
      </w:r>
      <w:r>
        <w:t xml:space="preserve"> </w:t>
      </w:r>
      <w:r>
        <w:t xml:space="preserve">Body Mass; Environment-dependent Diversification; Extinction Selectivity; Rodentia; South America; Trait-dependent Diversification</w:t>
      </w:r>
    </w:p>
    <w:bookmarkStart w:id="20" w:name="abstract"/>
    <w:p>
      <w:pPr>
        <w:pStyle w:val="Heading1"/>
      </w:pPr>
      <w:r>
        <w:t xml:space="preserve">Abstract</w:t>
      </w:r>
    </w:p>
    <w:p>
      <w:pPr>
        <w:pStyle w:val="FirstParagraph"/>
      </w:pPr>
      <w:r>
        <w:t xml:space="preserve">Understanding the causes behind evolutionary declines is a central aim of macroevolutionary research. Today,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a capybara – the heaviest living rodent. Despite several hypotheses, the tempo of chinchilloid diversification remains poorly elucidated, and the causes behind their substantial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suggesting that the tectonically- and eustatically-controlled Late Miocene collapse of large wetlands contributed to selectively shape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bookmarkEnd w:id="20"/>
    <w:bookmarkStart w:id="22"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subsequent demise of these remarkable phenotypes</w:t>
      </w:r>
      <w:r>
        <w:t xml:space="preserve"> </w:t>
      </w:r>
      <w:r>
        <w:t xml:space="preserve">(</w:t>
      </w:r>
      <w:r>
        <w:rPr>
          <w:i/>
          <w:iCs/>
        </w:rPr>
        <w:t xml:space="preserve">e</w:t>
      </w:r>
      <w:r>
        <w:t xml:space="preserve">.</w:t>
      </w:r>
      <w:r>
        <w:rPr>
          <w:i/>
          <w:iCs/>
        </w:rPr>
        <w:t xml:space="preserve">g</w:t>
      </w:r>
      <w:r>
        <w:t xml:space="preserve">., Pimiento et al. 2019; Boessenecker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During most of the Cenozoic, the isolation of South America constrained the landmass’ mammalian fauna to evolve in a vacuum, leading to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w:t>
      </w:r>
      <w:r>
        <w:t xml:space="preserve">. 10% of the global extant rodent diversity</w:t>
      </w:r>
      <w:r>
        <w:t xml:space="preserve"> </w:t>
      </w:r>
      <w:r>
        <w:t xml:space="preserve">(Upham et al. 2026)</w:t>
      </w:r>
      <w:r>
        <w:t xml:space="preserve">.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Today, Chinchilloidea includes eight small-to-moderate-sized species with high-crowned, ever-growing (euhypsodont) cheek teeth, distributed among four distantly-related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Figure 1</w:t>
        </w:r>
      </w:hyperlink>
      <w:r>
        <w:t xml:space="preserve">).</w:t>
      </w:r>
      <w:r>
        <w:t xml:space="preserve"> </w:t>
      </w:r>
      <w:r>
        <w:rPr>
          <w:i/>
          <w:iCs/>
        </w:rPr>
        <w:t xml:space="preserve">Chinchilla</w:t>
      </w:r>
      <w:r>
        <w:t xml:space="preserve"> </w:t>
      </w:r>
      <w:r>
        <w:t xml:space="preserve">and</w:t>
      </w:r>
      <w:r>
        <w:t xml:space="preserve"> </w:t>
      </w:r>
      <w:r>
        <w:rPr>
          <w:i/>
          <w:iCs/>
        </w:rPr>
        <w:t xml:space="preserve">Lagidium</w:t>
      </w:r>
      <w:r>
        <w:t xml:space="preserve">, encompassing six out of the eight described chinchilloid species, are distributed in the Andean cordillera, whereas</w:t>
      </w:r>
      <w:r>
        <w:t xml:space="preserve"> </w:t>
      </w:r>
      <w:r>
        <w:rPr>
          <w:i/>
          <w:iCs/>
        </w:rPr>
        <w:t xml:space="preserve">Lagostomus</w:t>
      </w:r>
      <w:r>
        <w:t xml:space="preserve"> </w:t>
      </w:r>
      <w:r>
        <w:t xml:space="preserve">and</w:t>
      </w:r>
      <w:r>
        <w:t xml:space="preserve"> </w:t>
      </w:r>
      <w:r>
        <w:rPr>
          <w:i/>
          <w:iCs/>
        </w:rPr>
        <w:t xml:space="preserve">Dinomys</w:t>
      </w:r>
      <w:r>
        <w:t xml:space="preserve"> </w:t>
      </w:r>
      <w:r>
        <w:t xml:space="preserve">inhabit the Argentinian and the West-Amazonian plains, respectively. The fossil record of Chinchilloidea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On the South American landmass,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or</w:t>
      </w:r>
      <w:r>
        <w:t xml:space="preserve"> </w:t>
      </w:r>
      <m:oMath>
        <m:r>
          <m:rPr>
            <m:sty m:val="p"/>
          </m:rPr>
          <m:t>†</m:t>
        </m:r>
      </m:oMath>
      <w:r>
        <w:rPr>
          <w:i/>
          <w:iCs/>
        </w:rPr>
        <w:t xml:space="preserve">Josephoartigasia</w:t>
      </w:r>
      <w:r>
        <w:t xml:space="preserve"> </w:t>
      </w:r>
      <w:r>
        <w:t xml:space="preserve">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are considered as likely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w:t>
      </w:r>
      <w:r>
        <w:t xml:space="preserve">, a lifestyle that totally disappeared in the extant representatives of the superfamily. In addition, systematics based on morphological characters [primarily dental traits;</w:t>
      </w:r>
      <w:r>
        <w:t xml:space="preserve"> </w:t>
      </w:r>
      <w:r>
        <w:t xml:space="preserve">Marivaux et al. (2020)</w:t>
      </w:r>
      <w:r>
        <w:t xml:space="preserve">] also placed the Pleistocene Caribbean</w:t>
      </w:r>
      <w:r>
        <w:t xml:space="preserve"> </w:t>
      </w:r>
      <w:r>
        <w:t xml:space="preserve">‘</w:t>
      </w:r>
      <w:r>
        <w:t xml:space="preserve">giant hutias</w:t>
      </w:r>
      <w:r>
        <w:t xml:space="preserve">’</w:t>
      </w:r>
      <w:r>
        <w:t xml:space="preserve"> </w:t>
      </w:r>
      <m:oMath>
        <m:r>
          <m:rPr>
            <m:sty m:val="p"/>
          </m:rPr>
          <m:t>†</m:t>
        </m:r>
      </m:oMath>
      <w:r>
        <w:rPr>
          <w:i/>
          <w:iCs/>
        </w:rPr>
        <w:t xml:space="preserve">Amblyrhiza inundata</w:t>
      </w:r>
      <w:r>
        <w:t xml:space="preserve"> </w:t>
      </w:r>
      <w:r>
        <w:t xml:space="preserve">Cope, 1868 and</w:t>
      </w:r>
      <w:r>
        <w:t xml:space="preserve"> </w:t>
      </w:r>
      <m:oMath>
        <m:r>
          <m:rPr>
            <m:sty m:val="p"/>
          </m:rPr>
          <m:t>†</m:t>
        </m:r>
      </m:oMath>
      <w:r>
        <w:rPr>
          <w:i/>
          <w:iCs/>
        </w:rPr>
        <w:t xml:space="preserve">Elasmodontomys obliquus</w:t>
      </w:r>
      <w:r>
        <w:t xml:space="preserve"> </w:t>
      </w:r>
      <w:r>
        <w:t xml:space="preserve">Anthony, 1916 within Chinchilloidea</w:t>
      </w:r>
      <w:r>
        <w:rPr>
          <w:rStyle w:val="FootnoteReference"/>
        </w:rPr>
        <w:footnoteReference w:id="21"/>
      </w:r>
      <w:r>
        <w:t xml:space="preserve">.</w:t>
      </w:r>
    </w:p>
    <w:p>
      <w:pPr>
        <w:pStyle w:val="BodyText"/>
      </w:pPr>
      <w:r>
        <w:t xml:space="preserve">Several hypotheses have been advocated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replaced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w:t>
      </w:r>
      <w:r>
        <w:t xml:space="preserve"> </w:t>
      </w:r>
      <w:r>
        <w:t xml:space="preserve">(</w:t>
      </w:r>
      <w:r>
        <w:rPr>
          <w:i/>
          <w:iCs/>
        </w:rPr>
        <w:t xml:space="preserve">but see</w:t>
      </w:r>
      <w:r>
        <w:t xml:space="preserve"> </w:t>
      </w:r>
      <w:r>
        <w:t xml:space="preserve">Carrillo et al. 2026)</w:t>
      </w:r>
      <w:r>
        <w:t xml:space="preserve">. In addition, despite the major palaeoenvironmental upheavals that took place in South America since the late Eocene (</w:t>
      </w:r>
      <w:r>
        <w:rPr>
          <w:i/>
          <w:iCs/>
        </w:rPr>
        <w:t xml:space="preserve">e</w:t>
      </w:r>
      <w:r>
        <w:t xml:space="preserve">.</w:t>
      </w:r>
      <w:r>
        <w:rPr>
          <w:i/>
          <w:iCs/>
        </w:rPr>
        <w:t xml:space="preserve">g</w:t>
      </w:r>
      <w:r>
        <w:t xml:space="preserve">., Andean orogeny, marine introgressions, river network changes, onset of the dry diagonal) as well as the vast array of methods that flourished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the macroevolutionary dynamics of Chinchilloidea have never been analysed in a trait- and environment-dependent diversification framework.</w:t>
      </w:r>
    </w:p>
    <w:p>
      <w:pPr>
        <w:pStyle w:val="BodyText"/>
      </w:pPr>
      <w:r>
        <w:t xml:space="preserve">Here, we investigate the evolutionary history of Chinchilloidea and highlight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in order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(iii) the magnitude of the changes in speciation and/or extinction rates were heterogeneous across body size and crown height categories.</w:t>
      </w:r>
    </w:p>
    <w:bookmarkEnd w:id="22"/>
    <w:bookmarkStart w:id="35" w:name="materials-and-methods"/>
    <w:p>
      <w:pPr>
        <w:pStyle w:val="Heading1"/>
      </w:pPr>
      <w:r>
        <w:t xml:space="preserve">Materials and Methods</w:t>
      </w:r>
    </w:p>
    <w:bookmarkStart w:id="25"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tried to give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upstream analyses. Additional details on our data cleaning procedure may be found in Supplementary materials.</w:t>
      </w:r>
    </w:p>
    <w:p>
      <w:pPr>
        <w:pStyle w:val="BodyText"/>
      </w:pPr>
      <w:r>
        <w:t xml:space="preserve">We then obtained an exhaustive dated caviomorph phylogeny from VertLife (http://vertlife.org/phylosubsets). This tree was extracted from the credible set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rPr>
          <w:rStyle w:val="FootnoteReference"/>
        </w:rPr>
        <w:footnoteReference w:id="23"/>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rPr>
          <w:rStyle w:val="FootnoteReference"/>
        </w:rPr>
        <w:footnoteReference w:id="24"/>
      </w:r>
      <w:r>
        <w:t xml:space="preserve">,</w:t>
      </w:r>
      <w:r>
        <w:t xml:space="preserve"> </w:t>
      </w:r>
      <w:r>
        <w:rPr>
          <w:i/>
          <w:iCs/>
        </w:rPr>
        <w:t xml:space="preserve">Lagidium wolffsohni</w:t>
      </w:r>
      <w:r>
        <w:t xml:space="preserve">, and</w:t>
      </w:r>
      <w:r>
        <w:t xml:space="preserve"> </w:t>
      </w:r>
      <w:r>
        <w:rPr>
          <w:i/>
          <w:iCs/>
        </w:rPr>
        <w:t xml:space="preserve">Dinomys branickii</w:t>
      </w:r>
      <w:r>
        <w:t xml:space="preserve">) in our database (</w:t>
      </w:r>
      <w:hyperlink w:anchor="fig-ExtSampl">
        <w:r>
          <w:rPr>
            <w:rStyle w:val="Hyperlink"/>
          </w:rPr>
          <w:t xml:space="preserve">Figure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Jouault et al. 2024; Marion et al. 2025)</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and carried out their macroevolutionary inference out of a single combined origination and extinction times dataset – acknowledging that the extinction times of extant species were by definition equal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w:t>
      </w:r>
      <w:r>
        <w:t xml:space="preserve"> </w:t>
      </w:r>
      <m:oMath>
        <m:d>
          <m:dPr>
            <m:begChr m:val="["/>
            <m:endChr m:val="]"/>
            <m:sepChr m:val=""/>
            <m:grow/>
          </m:dPr>
          <m:e>
            <m:r>
              <m:t>0</m:t>
            </m:r>
            <m:r>
              <m:rPr>
                <m:sty m:val="p"/>
              </m:rPr>
              <m:t>,</m:t>
            </m:r>
            <m:sSub>
              <m:e>
                <m:r>
                  <m:t>T</m:t>
                </m:r>
              </m:e>
              <m:sub>
                <m:r>
                  <m:t>d</m:t>
                </m:r>
                <m:r>
                  <m:rPr>
                    <m:sty m:val="p"/>
                  </m:rPr>
                  <m:t>,</m:t>
                </m:r>
                <m:r>
                  <m:t>i</m:t>
                </m:r>
              </m:sub>
            </m:sSub>
          </m:e>
        </m:d>
      </m:oMath>
      <w:r>
        <w:t xml:space="preserve"> </w:t>
      </w:r>
      <w:r>
        <w:t xml:space="preserve">(</w:t>
      </w:r>
      <w:hyperlink w:anchor="fig-ExtSampl">
        <w:r>
          <w:rPr>
            <w:rStyle w:val="Hyperlink"/>
          </w:rPr>
          <w:t xml:space="preserve">Figure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(Table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2</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we set</w:t>
      </w:r>
      <w:r>
        <w:t xml:space="preserve"> </w:t>
      </w:r>
      <m:oMath>
        <m:r>
          <m:t>α</m:t>
        </m:r>
        <m:r>
          <m:rPr>
            <m:sty m:val="p"/>
          </m:rPr>
          <m:t>=</m:t>
        </m:r>
        <m:r>
          <m:t>0.999</m:t>
        </m:r>
      </m:oMath>
      <w:r>
        <w:t xml:space="preserve"> </w:t>
      </w:r>
      <w:r>
        <w:t xml:space="preserve">(Figure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All this resulted in one species-level database (536 occurrences, 124 species, including 56 singletons) and one genus-level database (769 occurrences, 61 genera, including 13 singletons), spanning the entire lifespan of the clade (from the latest Eocene to present), spread across South America and the West Indies (Figure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pipeline that we went to describe)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(Figure S1).</w:t>
      </w:r>
    </w:p>
    <w:p>
      <w:pPr>
        <w:pStyle w:val="BodyText"/>
      </w:pPr>
      <w:r>
        <w:t xml:space="preserve">To assess potential heterogeneities in diversification rates across latitude, occurrences were binned into three spatial domains on the basis of their sampling location: Tropical, Extratropical and Caribbean. Due to the substantially fragmented nature of the West Indian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bookmarkEnd w:id="25"/>
    <w:bookmarkStart w:id="26"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 (</w:t>
      </w:r>
      <w:hyperlink w:anchor="fig-lifespans">
        <w:r>
          <w:rPr>
            <w:rStyle w:val="Hyperlink"/>
          </w:rPr>
          <w:t xml:space="preserve">Figure 4</w:t>
        </w:r>
      </w:hyperlink>
      <w:r>
        <w:t xml:space="preserve">).</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recognized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(Figure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26"/>
    <w:bookmarkStart w:id="27" w:name="X2179221e6c5b681626996bb6ae6fb1ea6d02ae6"/>
    <w:p>
      <w:pPr>
        <w:pStyle w:val="Heading2"/>
      </w:pPr>
      <w:r>
        <w:t xml:space="preserve">Palaeodiversity and diversification inference from the fossil record</w:t>
      </w:r>
    </w:p>
    <w:p>
      <w:pPr>
        <w:pStyle w:val="FirstParagraph"/>
      </w:pPr>
      <w:r>
        <w:t xml:space="preserve">Our occurrence database was first analysed using PyRate v3.1.3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We used a time-dependent preservation process allowing for preservation rate shift between geological stages (Figure S4).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Figure S5) were further combined. Several sensitivity analyses were conducted to assess the impact of (1) our new phylogeny-based sampling scheme for extant species lacking fossil record, (2) removing singletons and (3) incorporating recently-published taxonomic revision of a hyperdiverse dinomyid fauna located in North-East Argentina [Ituzaingó formation;</w:t>
      </w:r>
      <w:r>
        <w:t xml:space="preserve"> </w:t>
      </w:r>
      <w:r>
        <w:t xml:space="preserve">Rasia (2026)</w:t>
      </w:r>
      <w:r>
        <w:t xml:space="preserve">] on the reconstructed diversification pattern. We also carried out analyses at the genus level. Parameter convergence was monitored using the pymc 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In order 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v1.0.28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Table S1), the same features are extracted from the empirical set of fossil occurrences and fed into the trained neural network to get an estimate of palaeodiversity through time. Consequently, DeepDive complements the inference of diversity through time made by PyRate very nicely,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v1.0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Table S1): one comprised two LSTM layers (64 and 32 nodes) coupled with two dense layers (64 and 32 nodes) (Figure S18), the other three LSTM layers (128, 64, and 32 nodes) coupled with two dense layers (64 and 32 nodes) (Figure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27"/>
    <w:bookmarkStart w:id="34"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West Indian taxa</w:t>
      </w:r>
      <w:r>
        <w:rPr>
          <w:rStyle w:val="FootnoteReference"/>
        </w:rPr>
        <w:footnoteReference w:id="28"/>
      </w:r>
      <w:r>
        <w:t xml:space="preserve"> </w:t>
      </w:r>
      <w:r>
        <w:t xml:space="preserve">from our environment-dependent diversification analyses. In particular, this avoided to test spurious relationships, for instance, the effect of the Andean uplift on the diversification of Caribbean taxa.</w:t>
      </w:r>
    </w:p>
    <w:bookmarkStart w:id="29" w:name="environmental-variable-selection"/>
    <w:p>
      <w:pPr>
        <w:pStyle w:val="Heading3"/>
      </w:pPr>
      <w:r>
        <w:t xml:space="preserve">Environmental variable selection</w:t>
      </w:r>
    </w:p>
    <w:p>
      <w:pPr>
        <w:pStyle w:val="FirstParagraph"/>
      </w:pPr>
      <w:r>
        <w:t xml:space="preserve">To make sense of the macroevolutionary patterns that we reconstructed in terms of environmental process, we incorporated two regional and one global abiotic variables in our workflow (Figure S23). First, as illustrated by many studies, the Andean uplift has often been identified as a key driver for the build-up of South American ecosystems from the Neogene to the present</w:t>
      </w:r>
      <w:r>
        <w:t xml:space="preserve"> </w:t>
      </w:r>
      <w:r>
        <w:t xml:space="preserve">(Hoorn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2021)</w:t>
      </w:r>
      <w:r>
        <w:t xml:space="preserve"> </w:t>
      </w:r>
      <w:r>
        <w:t xml:space="preserve">–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Westerhold et al. 2020)</w:t>
      </w:r>
      <w:r>
        <w:t xml:space="preserve">. The main limitation of this approach is that it poorly reflects regional climatic idiosyncrasies. We therefore used the regional South American average temperature reconstructions recently produced by</w:t>
      </w:r>
      <w:r>
        <w:t xml:space="preserve"> </w:t>
      </w:r>
      <w:r>
        <w:t xml:space="preserve">Tardif et al. (2025)</w:t>
      </w:r>
      <w:r>
        <w:t xml:space="preserve">. Also, South America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2011; Condamine et al. 2019a, 2020)</w:t>
      </w:r>
      <w:r>
        <w:t xml:space="preserve"> </w:t>
      </w:r>
      <w:r>
        <w:t xml:space="preserve">in a wide range of clades. Therefore, we allowed for diversity-dependence in our environment-dependent diversification (EDD) analyses.</w:t>
      </w:r>
    </w:p>
    <w:bookmarkEnd w:id="29"/>
    <w:bookmarkStart w:id="30"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w:t>
      </w:r>
      <w:r>
        <w:t xml:space="preserve"> </w:t>
      </w:r>
      <w:r>
        <w:rPr>
          <w:i/>
          <w:iCs/>
        </w:rPr>
        <w:t xml:space="preserve">de novo</w:t>
      </w:r>
      <w:r>
        <w:t xml:space="preserve"> </w:t>
      </w:r>
      <w:r>
        <w:t xml:space="preserve">estimates 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 gamma 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rPr>
            <m:sty m:val="p"/>
          </m:rPr>
          <m:t>*</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0"/>
    <w:bookmarkStart w:id="32"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so-estimated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algorithm that we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w:t>
      </w:r>
      <w:r>
        <w:rPr>
          <w:rStyle w:val="FootnoteReference"/>
        </w:rPr>
        <w:footnoteReference w:id="31"/>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Figure 4</w:t>
        </w:r>
      </w:hyperlink>
      <w:r>
        <w:t xml:space="preserve">) and low crown heights (brachydont and mesodont) (Figure SX), we only allowed missing taxa to have moderate-to-large body sizes (M, L or XL) with high-crowned (un)rooted cheek teeth (protohypsodont or euhypsodont).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2"/>
    <w:bookmarkStart w:id="33"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algorithm that we ran across 40 million MCMC generations, sampling every 40,000. Parameter convergence was assessed using pymc, and we considered parameters achieved convergence if their ESS was above 200.</w:t>
      </w:r>
    </w:p>
    <w:bookmarkEnd w:id="33"/>
    <w:bookmarkEnd w:id="34"/>
    <w:bookmarkEnd w:id="35"/>
    <w:bookmarkStart w:id="39" w:name="results"/>
    <w:p>
      <w:pPr>
        <w:pStyle w:val="Heading1"/>
      </w:pPr>
      <w:r>
        <w:t xml:space="preserve">Results</w:t>
      </w:r>
    </w:p>
    <w:bookmarkStart w:id="36"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evidenced a Late Miocene increase in chinchilloid diversity followed by a sharp decline from</w:t>
      </w:r>
      <w:r>
        <w:t xml:space="preserve"> </w:t>
      </w:r>
      <w:r>
        <w:rPr>
          <w:i/>
          <w:iCs/>
        </w:rPr>
        <w:t xml:space="preserve">ca</w:t>
      </w:r>
      <w:r>
        <w:t xml:space="preserve">. 6 Ma (</w:t>
      </w:r>
      <w:hyperlink w:anchor="fig-diversityBM">
        <w:r>
          <w:rPr>
            <w:rStyle w:val="Hyperlink"/>
          </w:rPr>
          <w:t xml:space="preserve">Figure 3</w:t>
        </w:r>
      </w:hyperlink>
      <w:r>
        <w:t xml:space="preserve"> </w:t>
      </w:r>
      <w:r>
        <w:t xml:space="preserve">A–B). At their maximum, median sampled and corrected diversities exhibit a three-fold difference between each other, respectively peaking at 22 and 62. Four additional – though more attenuated – peaks may be reported from the sampled diversity curve (PyRate) : one in the late Oligocene (Deseadan SALMA), two in the Early Miocene (Colhuehuapian and Santacrucian SALMAs) and one in the late Middle Miocene (Laventan SALMA) (</w:t>
      </w:r>
      <w:hyperlink w:anchor="fig-diversityBM">
        <w:r>
          <w:rPr>
            <w:rStyle w:val="Hyperlink"/>
          </w:rPr>
          <w:t xml:space="preserve">Figure 3</w:t>
        </w:r>
      </w:hyperlink>
      <w:r>
        <w:t xml:space="preserve"> </w:t>
      </w:r>
      <w:r>
        <w:t xml:space="preserve">A). These peaks are barely recovered from the corrected diversity curve (</w:t>
      </w:r>
      <w:hyperlink w:anchor="fig-diversityBM">
        <w:r>
          <w:rPr>
            <w:rStyle w:val="Hyperlink"/>
          </w:rPr>
          <w:t xml:space="preserve">Figure 3</w:t>
        </w:r>
      </w:hyperlink>
      <w:r>
        <w:t xml:space="preserve"> </w:t>
      </w:r>
      <w:r>
        <w:t xml:space="preserve">B). The overall pattern of sampled diversity was conserved when conducting genus-level analyses (Figure S10 C) or when excluding singletons from the species-level dataset (Figure S8 C), though we may report that the amplitude of changes in diversity was attenuated in either case when compared to the analysis of the complete species-level dataset.</w:t>
      </w:r>
    </w:p>
    <w:p>
      <w:pPr>
        <w:pStyle w:val="BodyText"/>
      </w:pPr>
      <w:r>
        <w:t xml:space="preserve">This diversity pattern elegantly matched the temporal dynamics of body size across the history of the clade made from the body mass estimations that we obtained for nearly all species (97%) represented in our occurrence dataset (</w:t>
      </w:r>
      <w:hyperlink w:anchor="fig-diversityBM">
        <w:r>
          <w:rPr>
            <w:rStyle w:val="Hyperlink"/>
          </w:rPr>
          <w:t xml:space="preserve">Figure 3</w:t>
        </w:r>
      </w:hyperlink>
      <w:r>
        <w:t xml:space="preserve"> </w:t>
      </w:r>
      <w:r>
        <w:t xml:space="preserve">C, Dataset SX). Indeed, median chinchilloid body size was slightly above 100 g at the beginning of the evolutionary history of the clade (latest Eocene–earliest Oligocene), peaked around 35 [1.90, 233] kg in the late Miocene and further declined until the present (1.9 [0.45, 12.6] kg). Overlaying body mass estimates with species-specific origination and extinction times reconstructed with PyRate clearly highlights a coordinated temporal trend towards body mass increase among several chinchilloid lineages until the latest Miocene (</w:t>
      </w:r>
      <w:hyperlink w:anchor="fig-lifespans">
        <w:r>
          <w:rPr>
            <w:rStyle w:val="Hyperlink"/>
          </w:rPr>
          <w:t xml:space="preserve">Figure 4</w:t>
        </w:r>
      </w:hyperlink>
      <w:r>
        <w:t xml:space="preserve">). Small-bodied species (&lt; 1kg) are mostly restricted to Palaeogene–Early Miocene basal (</w:t>
      </w:r>
      <w:r>
        <w:t xml:space="preserve">‘</w:t>
      </w:r>
      <w:r>
        <w:t xml:space="preserve">stem</w:t>
      </w:r>
      <w:r>
        <w:t xml:space="preserve">’</w:t>
      </w:r>
      <w:r>
        <w:t xml:space="preserve">) forms,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to be reported, mostly within the two families</w:t>
      </w:r>
      <w:r>
        <w:t xml:space="preserve"> </w:t>
      </w:r>
      <m:oMath>
        <m:r>
          <m:rPr>
            <m:sty m:val="p"/>
          </m:rPr>
          <m:t>†</m:t>
        </m:r>
      </m:oMath>
      <w:r>
        <w:t xml:space="preserve">Neoepiblemidae and Dinomyidae, with the first giant taxa (&gt;100 kg) originating</w:t>
      </w:r>
      <w:r>
        <w:t xml:space="preserve"> </w:t>
      </w:r>
      <w:r>
        <w:rPr>
          <w:i/>
          <w:iCs/>
        </w:rPr>
        <w:t xml:space="preserve">ca</w:t>
      </w:r>
      <w:r>
        <w:t xml:space="preserve">. 10 Ma. Then, in continental South America, most of this flourishing large-sized diversity disappeared at</w:t>
      </w:r>
      <w:r>
        <w:t xml:space="preserve"> </w:t>
      </w:r>
      <w:r>
        <w:rPr>
          <w:i/>
          <w:iCs/>
        </w:rPr>
        <w:t xml:space="preserve">ca</w:t>
      </w:r>
      <w:r>
        <w:t xml:space="preserve">. 6 Ma, and only persisted the lineages that gave birth to the extant moderate-sized representatives of the group. In the West Indies,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bookmarkEnd w:id="36"/>
    <w:bookmarkStart w:id="37" w:name="X3dd8a6b8fe755db649aa27609e7691feaf8d36d"/>
    <w:p>
      <w:pPr>
        <w:pStyle w:val="Heading2"/>
      </w:pPr>
      <w:r>
        <w:t xml:space="preserve">Diversification dynamics of Chinchilloidea : a cautionary tale on extant sampling scheme and taxonomy</w:t>
      </w:r>
    </w:p>
    <w:p>
      <w:pPr>
        <w:pStyle w:val="FirstParagraph"/>
      </w:pPr>
      <w:r>
        <w:t xml:space="preserve">Our findings revealed that the aforementioned changes in 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remained constant during their evolutionary history (</w:t>
      </w:r>
      <w:hyperlink w:anchor="fig-diversification">
        <w:r>
          <w:rPr>
            <w:rStyle w:val="Hyperlink"/>
          </w:rPr>
          <w:t xml:space="preserve">Figure 5</w:t>
        </w:r>
      </w:hyperlink>
      <w:r>
        <w:t xml:space="preserve"> </w:t>
      </w:r>
      <w:r>
        <w:t xml:space="preserve">A and C, Figure S6 A). This result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Figure 5</w:t>
        </w:r>
      </w:hyperlink>
      <w:r>
        <w:t xml:space="preserve"> </w:t>
      </w:r>
      <w:r>
        <w:t xml:space="preserve">G), and was not found significantly associated with any of the variables (Figure S20). The results obtained with the BDNN model also corroborate this conclusion. Indeed, when plotted against time, BDNN-inferred marginal speciation rate remained overall stable across the study period (</w:t>
      </w:r>
      <w:hyperlink w:anchor="fig-diversification">
        <w:r>
          <w:rPr>
            <w:rStyle w:val="Hyperlink"/>
          </w:rPr>
          <w:t xml:space="preserve">Figure 5</w:t>
        </w:r>
      </w:hyperlink>
      <w:r>
        <w:t xml:space="preserve"> </w:t>
      </w:r>
      <w:r>
        <w:t xml:space="preserve">E, Figure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Figure 5</w:t>
        </w:r>
      </w:hyperlink>
      <w:r>
        <w:t xml:space="preserve"> </w:t>
      </w:r>
      <w:r>
        <w:t xml:space="preserve">B, D, F, H) and lineages (</w:t>
      </w:r>
      <w:hyperlink w:anchor="fig-ExtinctionDrivers">
        <w:r>
          <w:rPr>
            <w:rStyle w:val="Hyperlink"/>
          </w:rPr>
          <w:t xml:space="preserve">Figure 6</w:t>
        </w:r>
      </w:hyperlink>
      <w:r>
        <w:t xml:space="preserve"> </w:t>
      </w:r>
      <w:r>
        <w:t xml:space="preserve">and Table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Figure 5</w:t>
        </w:r>
      </w:hyperlink>
      <w:r>
        <w:t xml:space="preserve"> </w:t>
      </w:r>
      <w:r>
        <w:t xml:space="preserve">B, Figure S5 B), coinciding with the onset of the diversity decline described in the previous section (</w:t>
      </w:r>
      <w:hyperlink w:anchor="fig-diversityBM">
        <w:r>
          <w:rPr>
            <w:rStyle w:val="Hyperlink"/>
          </w:rPr>
          <w:t xml:space="preserve">Figure 3</w:t>
        </w:r>
      </w:hyperlink>
      <w:r>
        <w:t xml:space="preserve">). The significance of this shift was nevertheless altered as we updated our temporal occurrence dataset accounting for recent taxonomic revisions among the Late Miocene rodent fauna of the Ituzaingó formation (Entre Ríos Province, Argentina, Figure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Figure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Figure 5</w:t>
        </w:r>
      </w:hyperlink>
      <w:r>
        <w:t xml:space="preserve"> </w:t>
      </w:r>
      <w:r>
        <w:t xml:space="preserve">D, F, H). That being said, removing singleton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(Figure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upstream reconstructions of 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(Figure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(Figure S2 A–C). Also noteworthy, the magnitude of the late Miocene increase in chinchilloid extinction rate was three times higher in the analysis of the two alternative datasets (Figure S2 D–F).</w:t>
      </w:r>
    </w:p>
    <w:bookmarkEnd w:id="37"/>
    <w:bookmarkStart w:id="3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(Table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(&gt;1500 m,</w:t>
      </w:r>
      <w:r>
        <w:t xml:space="preserve"> </w:t>
      </w:r>
      <w:hyperlink w:anchor="fig-ExtinctionDrivers">
        <w:r>
          <w:rPr>
            <w:rStyle w:val="Hyperlink"/>
          </w:rPr>
          <w:t xml:space="preserve">Figure 6</w:t>
        </w:r>
      </w:hyperlink>
      <w:r>
        <w:t xml:space="preserve"> </w:t>
      </w:r>
      <w:r>
        <w:t xml:space="preserve">C). Tropical and extratropical species respectively show a similar response to increasing uplift (Figure S24). This overall pattern of uplift-dependent extinction was also conserved across body size classes, except for the smallest taxa (XS, Figure S25). Furthermore, we evidenced that larger-bodied species had higher extinction rates than smaller-bodied species, with up to a 1.84-fold difference in average values (</w:t>
      </w:r>
      <w:hyperlink w:anchor="fig-ExtinctionDrivers">
        <w:r>
          <w:rPr>
            <w:rStyle w:val="Hyperlink"/>
          </w:rPr>
          <w:t xml:space="preserve">Figure 6</w:t>
        </w:r>
      </w:hyperlink>
      <w:r>
        <w:t xml:space="preserve"> </w:t>
      </w:r>
      <w:r>
        <w:t xml:space="preserve">A, Table S7). The independent rjMCMC analyses that we conducted for each body size class confirmed the higher susceptibility of large-sized taxa to go extinct (Figure S14 B). These analyses also indicate that the aforementioned Late Miocene increase in chinchilloid extinction rate was mainly driven by these large body-size classes (Figure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Figure 3</w:t>
        </w:r>
      </w:hyperlink>
      <w:r>
        <w:t xml:space="preserve"> </w:t>
      </w:r>
      <w:r>
        <w:t xml:space="preserve">C and</w:t>
      </w:r>
      <w:r>
        <w:t xml:space="preserve"> </w:t>
      </w:r>
      <w:hyperlink w:anchor="fig-lifespans">
        <w:r>
          <w:rPr>
            <w:rStyle w:val="Hyperlink"/>
          </w:rPr>
          <w:t xml:space="preserve">Figure 4</w:t>
        </w:r>
      </w:hyperlink>
      <w:r>
        <w:t xml:space="preserve">). Last, on average, tropical species were found to have 1.5-times lower extinction rates than extra-tropical species (</w:t>
      </w:r>
      <w:hyperlink w:anchor="fig-ExtinctionDrivers">
        <w:r>
          <w:rPr>
            <w:rStyle w:val="Hyperlink"/>
          </w:rPr>
          <w:t xml:space="preserve">Figure 6</w:t>
        </w:r>
      </w:hyperlink>
      <w:r>
        <w:t xml:space="preserve"> </w:t>
      </w:r>
      <w:r>
        <w:t xml:space="preserve">C, Table S8). This difference in extinction rate between tropical and extratropical taxa were particularly pronounced in moderate-to-large classes (</w:t>
      </w:r>
      <w:r>
        <w:rPr>
          <w:i/>
          <w:iCs/>
        </w:rPr>
        <w:t xml:space="preserve">i</w:t>
      </w:r>
      <w:r>
        <w:t xml:space="preserve">.</w:t>
      </w:r>
      <w:r>
        <w:rPr>
          <w:i/>
          <w:iCs/>
        </w:rPr>
        <w:t xml:space="preserve">e</w:t>
      </w:r>
      <w:r>
        <w:t xml:space="preserve">., M, L, XL; Figure S26). We might precise that, in our BDNN analyses, time was always ranked as the least important predictor (Table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(Table S6). Our findings indeed highlight differential extinction sensitivities within high-crowned taxa. Extinction rate was indeed on average 1.59 times higher for protohypsodont (rooted) than for euhypsodont (unrooted) species (Table S9, Figure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Figure S7).</w:t>
      </w:r>
    </w:p>
    <w:p>
      <w:pPr>
        <w:pStyle w:val="BodyText"/>
      </w:pPr>
      <w:r>
        <w:t xml:space="preserve">The best predictor for inter-lineage extinction rate variations in the Chinchilloidea drastically differ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Figure 6</w:t>
        </w:r>
      </w:hyperlink>
      <w:r>
        <w:t xml:space="preserve"> </w:t>
      </w:r>
      <w:r>
        <w:t xml:space="preserve">D). This factor was always ranked as the second-to-least important predictor by BDNN (Table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(Figure S13 and Table S11).</w:t>
      </w:r>
    </w:p>
    <w:bookmarkEnd w:id="38"/>
    <w:bookmarkEnd w:id="39"/>
    <w:bookmarkStart w:id="45" w:name="discussion"/>
    <w:p>
      <w:pPr>
        <w:pStyle w:val="Heading1"/>
      </w:pPr>
      <w:r>
        <w:t xml:space="preserve">Discussion</w:t>
      </w:r>
    </w:p>
    <w:bookmarkStart w:id="4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diversity in the Chinchilloidea. From the late Eocene–early Oligocene to the Late Miocene, chinchilloids experienced a steady increase in median body size and body size range (</w:t>
      </w:r>
      <w:hyperlink w:anchor="fig-diversityBM">
        <w:r>
          <w:rPr>
            <w:rStyle w:val="Hyperlink"/>
          </w:rPr>
          <w:t xml:space="preserve">Figure 3</w:t>
        </w:r>
      </w:hyperlink>
      <w:r>
        <w:t xml:space="preserve"> </w:t>
      </w:r>
      <w:r>
        <w:t xml:space="preserve">C). Such an increase may elegantly illustrate a long-recognised tendency for lineages to increase in body size over evolutionary time, known as Cope’s rule</w:t>
      </w:r>
      <w:r>
        <w:t xml:space="preserve"> </w:t>
      </w:r>
      <w:r>
        <w:t xml:space="preserve">(Cope 1896)</w:t>
      </w:r>
      <w:r>
        <w:t xml:space="preserve">. A similar increase is suggested by our reconstructions of diversity through time, particularly from the Middle Miocene (</w:t>
      </w:r>
      <w:hyperlink w:anchor="fig-diversityBM">
        <w:r>
          <w:rPr>
            <w:rStyle w:val="Hyperlink"/>
          </w:rPr>
          <w:t xml:space="preserve">Figure 3</w:t>
        </w:r>
      </w:hyperlink>
      <w:r>
        <w:t xml:space="preserve"> </w:t>
      </w:r>
      <w:r>
        <w:t xml:space="preserve">A–B). The largest body mass range – together with the largest clade-wise median body mass – were concomitantly achieved when the clade diversity peaked, in the Late Miocene (</w:t>
      </w:r>
      <w:hyperlink w:anchor="fig-diversityBM">
        <w:r>
          <w:rPr>
            <w:rStyle w:val="Hyperlink"/>
          </w:rPr>
          <w:t xml:space="preserve">Figure 3</w:t>
        </w:r>
      </w:hyperlink>
      <w:r>
        <w:t xml:space="preserve">). Species diversity and body mass disparity then subsequently declined (</w:t>
      </w:r>
      <w:hyperlink w:anchor="fig-diversityBM">
        <w:r>
          <w:rPr>
            <w:rStyle w:val="Hyperlink"/>
          </w:rPr>
          <w:t xml:space="preserve">Figure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1973a,b)</w:t>
      </w:r>
      <w:r>
        <w:t xml:space="preserve">. A positive relationship between diversity and disparity was supported by empirical case studies on several vertebrate clades</w:t>
      </w:r>
      <w:r>
        <w:t xml:space="preserve"> </w:t>
      </w:r>
      <w:r>
        <w:t xml:space="preserve">(</w:t>
      </w:r>
      <w:r>
        <w:rPr>
          <w:i/>
          <w:iCs/>
        </w:rPr>
        <w:t xml:space="preserve">e</w:t>
      </w:r>
      <w:r>
        <w:t xml:space="preserve">.</w:t>
      </w:r>
      <w:r>
        <w:rPr>
          <w:i/>
          <w:iCs/>
        </w:rPr>
        <w:t xml:space="preserve">g</w:t>
      </w:r>
      <w:r>
        <w:t xml:space="preserve">., Hughes et al. 2013; Rabosky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 Despite the fact that, over their evolutionary history, chinchilloids have been unquestionably more morphologically-diverse but less species-diverse than their sister clade (octodontoids), suggesting an inter-clade decoupling between diversity and disparity, at the intra-clade scale, chinchilloid dynamics of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w:t>
      </w:r>
    </w:p>
    <w:bookmarkEnd w:id="40"/>
    <w:bookmarkStart w:id="4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Figure 5</w:t>
        </w:r>
      </w:hyperlink>
      <w:r>
        <w:t xml:space="preserve">; Figure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did not apply uniformly to all species of the clade. Rather, extinction rates were higher for larger-bodied and extratropical taxa (</w:t>
      </w:r>
      <w:hyperlink w:anchor="fig-ExtinctionDrivers">
        <w:r>
          <w:rPr>
            <w:rStyle w:val="Hyperlink"/>
          </w:rPr>
          <w:t xml:space="preserve">Figure 6</w:t>
        </w:r>
      </w:hyperlink>
      <w:r>
        <w:t xml:space="preserve"> </w:t>
      </w:r>
      <w:r>
        <w:t xml:space="preserve">A–B; Figure S14 B, S26). The size selectivity of extinction over chinchilloid evolution explains the 32 kg-decline in median body size quantified from the Late Miocene to the present (</w:t>
      </w:r>
      <w:hyperlink w:anchor="fig-diversityBM">
        <w:r>
          <w:rPr>
            <w:rStyle w:val="Hyperlink"/>
          </w:rPr>
          <w:t xml:space="preserve">Figure 3</w:t>
        </w:r>
      </w:hyperlink>
      <w:r>
        <w:t xml:space="preserve"> </w:t>
      </w:r>
      <w:r>
        <w:t xml:space="preserve">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(Figure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Also, we uncovered a sustained age-dependent extinction (ADE) pattern over the evolutionary history of Chinchilloidea, in which extinction probability decreases with increasing species age (Figure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Guinot and Condamine 2023)</w:t>
      </w:r>
      <w:r>
        <w:t xml:space="preserve">. The idea that older species would be associated to larger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Figure 4</w:t>
        </w:r>
      </w:hyperlink>
      <w:r>
        <w:t xml:space="preserve">).</w:t>
      </w:r>
    </w:p>
    <w:p>
      <w:pPr>
        <w:pStyle w:val="BodyText"/>
      </w:pPr>
      <w:r>
        <w:t xml:space="preserve">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Figure 6</w:t>
        </w:r>
      </w:hyperlink>
      <w:r>
        <w:t xml:space="preserve"> </w:t>
      </w:r>
      <w:r>
        <w:t xml:space="preserve">C; Figure S24 and S26; Table S6). The uplift of the Andes, by generating new niches and re-distributing climatic advections at the continent scale, had major repercussions on South American palaeoenvironments</w:t>
      </w:r>
      <w:r>
        <w:t xml:space="preserve"> </w:t>
      </w:r>
      <w:r>
        <w:t xml:space="preserve">(Hoorn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Boschman and Condamine 2022; Hoorn et al. 2023; Vallejos-Garrido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Figure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(Table S6). Several palaeontological studies indeed evidenced that many Late Miocene chinchilloids – and particularly large forms – were likely semi-aquatic, suggesting their macroevolutionary dynamics to be tightly related to the hydrographic history of South America</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During most of the Miocene, what is now western Amazonia was flooded by a vast wetland known as the Pebas System, recognised to have greatly favoured lineage diversification in tropical South America</w:t>
      </w:r>
      <w:r>
        <w:t xml:space="preserve"> </w:t>
      </w:r>
      <w:r>
        <w:t xml:space="preserve">(Antoine et al. 2017; Hoorn et al. 2022)</w:t>
      </w:r>
      <w:r>
        <w:t xml:space="preserve">. Similarly, a marine introgression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(Candela et al. 2013; Nasif et al. 2013)</w:t>
      </w:r>
      <w:r>
        <w:t xml:space="preserve">. Our results fail to quantitatively support a positive imprint of these hydrographic changes in the diversification of Chinchilloidea. That being said, the Late Miocene demise of the Pebas System, a by-product of tectonic (Andean) and eustatic factors</w:t>
      </w:r>
      <w:r>
        <w:t xml:space="preserve"> </w:t>
      </w:r>
      <w:r>
        <w:t xml:space="preserve">(Hoorn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unique South American wetlands</w:t>
      </w:r>
      <w:r>
        <w:t xml:space="preserve"> </w:t>
      </w:r>
      <w:r>
        <w:t xml:space="preserve">(Hernández et al. 2005)</w:t>
      </w:r>
      <w:r>
        <w:t xml:space="preserve">.</w:t>
      </w:r>
    </w:p>
    <w:p>
      <w:pPr>
        <w:pStyle w:val="BodyText"/>
      </w:pPr>
      <w:r>
        <w:t xml:space="preserve">The ecologically-selective demise of chinchilloids somewhat mirrors that of sloths (Xenarthra: Folivora), that also experienced a massive decline in both species diversity and body mass disparity over their evolutionary history</w:t>
      </w:r>
      <w:r>
        <w:t xml:space="preserve"> </w:t>
      </w:r>
      <w:r>
        <w:t xml:space="preserve">(Boscaini et al. 2025)</w:t>
      </w:r>
      <w:r>
        <w:t xml:space="preserve">. This decline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p>
      <w:pPr>
        <w:pStyle w:val="BodyText"/>
      </w:pPr>
      <w:r>
        <w:t xml:space="preserve">We also evidenced heterogeneous extinction rates across hypsodonty classes, with euhypsodont (high-crowned ever-growing cheek teeth) species having attenuated extinction rates (Figure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(Figure S7). On the contrary, few chinchilloid taxa have been described with low-crowned cheek teeth (</w:t>
      </w:r>
      <w:r>
        <w:rPr>
          <w:i/>
          <w:iCs/>
        </w:rPr>
        <w:t xml:space="preserve">i</w:t>
      </w:r>
      <w:r>
        <w:t xml:space="preserve">.</w:t>
      </w:r>
      <w:r>
        <w:rPr>
          <w:i/>
          <w:iCs/>
        </w:rPr>
        <w:t xml:space="preserve">e</w:t>
      </w:r>
      <w:r>
        <w:t xml:space="preserve">., brachydont and mesodont, Figure S7).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(Vucetich et al. 2015)</w:t>
      </w:r>
      <w:r>
        <w:t xml:space="preserve">. Growing evidence increasingly suggests that, instead of being related to grass consumption – as it has been historically proposed</w:t>
      </w:r>
      <w:r>
        <w:t xml:space="preserve"> </w:t>
      </w:r>
      <w:r>
        <w:t xml:space="preserve">(</w:t>
      </w:r>
      <w:r>
        <w:rPr>
          <w:i/>
          <w:iCs/>
        </w:rPr>
        <w:t xml:space="preserve">e</w:t>
      </w:r>
      <w:r>
        <w:t xml:space="preserve">.</w:t>
      </w:r>
      <w:r>
        <w:rPr>
          <w:i/>
          <w:iCs/>
        </w:rPr>
        <w:t xml:space="preserve">g</w:t>
      </w:r>
      <w:r>
        <w:t xml:space="preserve">., Stebbins 1981; MacFadden 2000)</w:t>
      </w:r>
      <w:r>
        <w:t xml:space="preserve"> </w:t>
      </w:r>
      <w:r>
        <w:t xml:space="preserve">– hypsodonty (at least in South American mammals) might be promoted by external sources of abrasive materials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to conclude on the drivers that underlay the notable success of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Last, our analyses failed to provide support for an effect of diversity dependence and temperature change on the diversification dynamics of Chinchilloidea, both across time (</w:t>
      </w:r>
      <w:hyperlink w:anchor="fig-ExtinctionDrivers">
        <w:r>
          <w:rPr>
            <w:rStyle w:val="Hyperlink"/>
          </w:rPr>
          <w:t xml:space="preserve">Figure 6</w:t>
        </w:r>
      </w:hyperlink>
      <w:r>
        <w:t xml:space="preserve"> </w:t>
      </w:r>
      <w:r>
        <w:t xml:space="preserve">D) and lineages (Table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2011; Condamine et al. 2019a)</w:t>
      </w:r>
      <w:r>
        <w:t xml:space="preserve">, recent advances in macroevolutionary modelling have challenged the importance of diversity dependence as a primary driver of diversification rates</w:t>
      </w:r>
      <w:r>
        <w:t xml:space="preserve"> </w:t>
      </w:r>
      <w:r>
        <w:t xml:space="preserve">(Quintero et al. 2025)</w:t>
      </w:r>
      <w:r>
        <w:t xml:space="preserve">.</w:t>
      </w:r>
    </w:p>
    <w:bookmarkEnd w:id="41"/>
    <w:bookmarkStart w:id="44"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makes some sense. Our analyses evidenced that reconstructions of chinchilloid diversification dynamics were highly impacted by the extant sampling scheme (Figure S2). In particular, incorporating extant taxa using our new sampling scheme totally eroded any temporal shift in speciation rate, and significantly reduced the magnitude of the Late Miocene shift in extinction rate (Figure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estimations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w:t>
      </w:r>
      <w:r>
        <w:rPr>
          <w:i/>
          <w:iCs/>
        </w:rPr>
        <w:t xml:space="preserve">e</w:t>
      </w:r>
      <w:r>
        <w:t xml:space="preserve">.</w:t>
      </w:r>
      <w:r>
        <w:rPr>
          <w:i/>
          <w:iCs/>
        </w:rPr>
        <w:t xml:space="preserve">g</w:t>
      </w:r>
      <w:r>
        <w:t xml:space="preserve">., Flannery-Sutherland et al. 2022; Jouault et al. 2022; Moharrek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(Figure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w:t>
      </w:r>
      <w:r>
        <w:rPr>
          <w:rStyle w:val="FootnoteReference"/>
        </w:rPr>
        <w:footnoteReference w:id="42"/>
      </w:r>
      <w:r>
        <w:t xml:space="preserve"> </w:t>
      </w:r>
      <w:r>
        <w:t xml:space="preserve">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 The Paleobiology Database, subsequently carefully revised and completed by taxonomic experts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(Figure S22), overall summarised in that species tend to persist longer in their database (due to the fact that they preferentially binned occurrences in the corresponding geological stages whereas we intended to use more refined published ages of the corresponding localities/formations when available), though this trend is not statistically significant (Figure S21).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Figure 3</w:t>
        </w:r>
      </w:hyperlink>
      <w:r>
        <w:t xml:space="preserve"> </w:t>
      </w:r>
      <w:r>
        <w:t xml:space="preserve">B) did not substantially differ from their reconstruction, both in trends and amplitude. The only noticeable difference is that they estimated higher species diversities in the Oligocene–Early Miocene compared to us. That being said,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 broadly-recognised limitation of the PyRate framework is that it unrealistically assumes complete lineage sampling in its reconstructions of macroevolutionary processes</w:t>
      </w:r>
      <w:r>
        <w:t xml:space="preserve"> </w:t>
      </w:r>
      <w:r>
        <w:t xml:space="preserve">(Silvestro et al. 2014)</w:t>
      </w:r>
      <w:r>
        <w:t xml:space="preserve">. We intended to overcome this limitation by reconstructing complete diversity through time using the simulation-based framework implemented in DeepDive</w:t>
      </w:r>
      <w:r>
        <w:t xml:space="preserve"> </w:t>
      </w:r>
      <w:r>
        <w:t xml:space="preserve">(Cooper et al. 2024)</w:t>
      </w:r>
      <w:r>
        <w:t xml:space="preserve">, leading to no major difference in the trends of diversity through time that we reconstructed for the Chinchilloidea (</w:t>
      </w:r>
      <w:hyperlink w:anchor="fig-diversityBM">
        <w:r>
          <w:rPr>
            <w:rStyle w:val="Hyperlink"/>
          </w:rPr>
          <w:t xml:space="preserve">Figure 3</w:t>
        </w:r>
      </w:hyperlink>
      <w:r>
        <w:t xml:space="preserve">). An additional avenue that could be explored may involve the use of a probabilistic framework incorporating a sampling parameter to test the impact of the assumption of complete sampling on diversification rate estimations</w:t>
      </w:r>
      <w:r>
        <w:t xml:space="preserve"> </w:t>
      </w:r>
      <w:r>
        <w:t xml:space="preserve">(</w:t>
      </w:r>
      <w:r>
        <w:rPr>
          <w:i/>
          <w:iCs/>
        </w:rPr>
        <w:t xml:space="preserve">e</w:t>
      </w:r>
      <w:r>
        <w:t xml:space="preserve">.</w:t>
      </w:r>
      <w:r>
        <w:rPr>
          <w:i/>
          <w:iCs/>
        </w:rPr>
        <w:t xml:space="preserve">g</w:t>
      </w:r>
      <w:r>
        <w:t xml:space="preserve">., Warnock et al. 2020; Flannery Sutherland et al. 2025)</w:t>
      </w:r>
      <w:r>
        <w:t xml:space="preserve">.</w:t>
      </w:r>
    </w:p>
    <w:p>
      <w:pPr>
        <w:pStyle w:val="BodyText"/>
      </w:pPr>
      <w:r>
        <w:t xml:space="preserve">An additional limitation to this study is the absence of integrative phylogenetic reconstruction for our focal clade. To date, existing phylogenies incorporating extinct members of Chinchilloidea have respectively accounted for 26</w:t>
      </w:r>
      <w:r>
        <w:t xml:space="preserve"> </w:t>
      </w:r>
      <w:r>
        <w:t xml:space="preserve">(Boivin et al. 2019)</w:t>
      </w:r>
      <w:r>
        <w:t xml:space="preserve"> </w:t>
      </w:r>
      <w:r>
        <w:t xml:space="preserve">and 43</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an elegant way to validate the extinction selectivity that we raised over this work, with larger extratropical species having greater extinction rates (</w:t>
      </w:r>
      <w:hyperlink w:anchor="fig-ExtinctionDrivers">
        <w:r>
          <w:rPr>
            <w:rStyle w:val="Hyperlink"/>
          </w:rPr>
          <w:t xml:space="preserve">Figure 6</w:t>
        </w:r>
      </w:hyperlink>
      <w:r>
        <w:t xml:space="preserve"> </w:t>
      </w:r>
      <w:r>
        <w:t xml:space="preserve">A–B and Figure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the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2026a,b)</w:t>
      </w:r>
      <w:r>
        <w:t xml:space="preserve">.</w:t>
      </w:r>
    </w:p>
    <w:p>
      <w:pPr>
        <w:pStyle w:val="BodyText"/>
      </w:pPr>
      <w:r>
        <w:t xml:space="preserve">Last, given that the time frame of the demise of the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44"/>
    <w:bookmarkEnd w:id="45"/>
    <w:bookmarkStart w:id="46"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involved increase in extinction rate was likely mediated by the Andean uplift and sea-level changes, possibly pointing towards an implication of the Late Miocene tectonically- and eustatically-controlled collapse of South American large wetlands.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adress macroevolutionary issues.</w:t>
      </w:r>
    </w:p>
    <w:bookmarkEnd w:id="46"/>
    <w:bookmarkStart w:id="47" w:name="acknowledgements"/>
    <w:p>
      <w:pPr>
        <w:pStyle w:val="Heading1"/>
      </w:pPr>
      <w:r>
        <w:t xml:space="preserve">Acknowledgements</w:t>
      </w:r>
    </w:p>
    <w:p>
      <w:pPr>
        <w:pStyle w:val="FirstParagraph"/>
      </w:pPr>
      <w:r>
        <w:t xml:space="preserve">We are grateful to Torsten Hauffe, Rebecca B. Cooper and Bethany J. Allen for their helpful methodological advice. We also thank Guillaume Guinot for useful feedbacks and recommendations. L.B. was funded by a grant offered by the École Normale Supérieure de Lyon.</w:t>
      </w:r>
    </w:p>
    <w:p>
      <w:r>
        <w:br w:type="page"/>
      </w:r>
    </w:p>
    <w:bookmarkEnd w:id="47"/>
    <w:bookmarkStart w:id="334" w:name="references"/>
    <w:p>
      <w:pPr>
        <w:pStyle w:val="Heading1"/>
      </w:pPr>
      <w:r>
        <w:t xml:space="preserve">References</w:t>
      </w:r>
    </w:p>
    <w:bookmarkStart w:id="333" w:name="refs"/>
    <w:bookmarkStart w:id="49" w:name="ref-alhajeri2016"/>
    <w:p>
      <w:pPr>
        <w:pStyle w:val="Bibliography"/>
      </w:pPr>
      <w:r>
        <w:t xml:space="preserve">Alhajeri, B. H., J. J. Schenk, and S. J. Steppan. 2016.</w:t>
      </w:r>
      <w:r>
        <w:t xml:space="preserve"> </w:t>
      </w:r>
      <w:hyperlink r:id="rId48">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49"/>
    <w:bookmarkStart w:id="51" w:name="ref-álvarez2017"/>
    <w:p>
      <w:pPr>
        <w:pStyle w:val="Bibliography"/>
      </w:pPr>
      <w:r>
        <w:t xml:space="preserve">Álvarez, A., R. L. M. Arévalo, and D. H. Verzi. 2017.</w:t>
      </w:r>
      <w:r>
        <w:t xml:space="preserve"> </w:t>
      </w:r>
      <w:hyperlink r:id="rId50">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51"/>
    <w:bookmarkStart w:id="53" w:name="ref-antoine2017"/>
    <w:p>
      <w:pPr>
        <w:pStyle w:val="Bibliography"/>
      </w:pPr>
      <w:r>
        <w:t xml:space="preserve">Antoine, P.-O., R. Salas-Gismondi, F. Pujos, M. Ganerød, and L. Marivaux. 2017.</w:t>
      </w:r>
      <w:r>
        <w:t xml:space="preserve"> </w:t>
      </w:r>
      <w:hyperlink r:id="rId52">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53"/>
    <w:bookmarkStart w:id="55" w:name="ref-antoine2021"/>
    <w:p>
      <w:pPr>
        <w:pStyle w:val="Bibliography"/>
      </w:pPr>
      <w:r>
        <w:t xml:space="preserve">Antoine, P.-O., J. Yans, A. A. Castillo, N. Stutz, M. A. Abello, S. Adnet, M. A. Custódio, A. Benites-Palomino, G. Billet, M. Boivin, F. Herrera, C. Jaramillo, C. Mártinez, F. Moreno, R. E. Navarrete, F. R. Negri, F. Parra, F. Pujos, J.-C. Rage, A. M. Ribeiro, C. Robinet, M. Roddaz, J. V. Tejada-Lara, R. Varas-Malca, R. Ventura Santos, R. Salas-Gismondi, and L. Marivaux. 2021.</w:t>
      </w:r>
      <w:r>
        <w:t xml:space="preserve"> </w:t>
      </w:r>
      <w:hyperlink r:id="rId54">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55"/>
    <w:bookmarkStart w:id="57" w:name="ref-antonelli2018"/>
    <w:p>
      <w:pPr>
        <w:pStyle w:val="Bibliography"/>
      </w:pPr>
      <w:r>
        <w:t xml:space="preserve">Antonelli, A., W. D. Kissling, S. G. A. Flantua, M. A. Bermúdez, A. Mulch, A. N. Muellner-Riehl, H. Kreft, H. P. Linder, C. Badgley, J. Fjeldså, S. A. Fritz, C. Rahbek, F. Herman, H. Hooghiemstra, and C. Hoorn. 2018.</w:t>
      </w:r>
      <w:r>
        <w:t xml:space="preserve"> </w:t>
      </w:r>
      <w:hyperlink r:id="rId56">
        <w:r>
          <w:rPr>
            <w:rStyle w:val="Hyperlink"/>
          </w:rPr>
          <w:t xml:space="preserve">G</w:t>
        </w:r>
        <w:r>
          <w:rPr>
            <w:rStyle w:val="Hyperlink"/>
          </w:rPr>
          <w:t xml:space="preserve">eological and climatic influences on mountain biodiversity</w:t>
        </w:r>
      </w:hyperlink>
      <w:r>
        <w:t xml:space="preserve">. Nature Geoscience 11:718–725.</w:t>
      </w:r>
    </w:p>
    <w:bookmarkEnd w:id="57"/>
    <w:bookmarkStart w:id="59" w:name="ref-antonelli2009"/>
    <w:p>
      <w:pPr>
        <w:pStyle w:val="Bibliography"/>
      </w:pPr>
      <w:r>
        <w:t xml:space="preserve">Antonelli, A., J. A. A. Nylander, C. Persson, and I. Sanmartín. 2009.</w:t>
      </w:r>
      <w:r>
        <w:t xml:space="preserve"> </w:t>
      </w:r>
      <w:hyperlink r:id="rId58">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59"/>
    <w:bookmarkStart w:id="61" w:name="ref-arbogast2002"/>
    <w:p>
      <w:pPr>
        <w:pStyle w:val="Bibliography"/>
      </w:pPr>
      <w:r>
        <w:t xml:space="preserve">Arbogast, B. S., S. V. Edwards, J. Wakeley, P. Beerli, and J. B. Slowinski. 2002.</w:t>
      </w:r>
      <w:r>
        <w:t xml:space="preserve"> </w:t>
      </w:r>
      <w:hyperlink r:id="rId60">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61"/>
    <w:bookmarkStart w:id="63" w:name="ref-armella2026"/>
    <w:p>
      <w:pPr>
        <w:pStyle w:val="Bibliography"/>
      </w:pPr>
      <w:r>
        <w:t xml:space="preserve">Armella, M. A., and D. A. Croft. 2026.</w:t>
      </w:r>
      <w:r>
        <w:t xml:space="preserve"> </w:t>
      </w:r>
      <w:hyperlink r:id="rId62">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63"/>
    <w:bookmarkStart w:id="65" w:name="ref-arnal2026"/>
    <w:p>
      <w:pPr>
        <w:pStyle w:val="Bibliography"/>
      </w:pPr>
      <w:r>
        <w:t xml:space="preserve">Arnal, M., R. F. Kay, L. A. Valdivia, W. Salenbien, P. E. Morse, M. R. Borths, B. A. Williams, C. Riddle, J.-N. Martínez, and L. A. Gonzales. 2026.</w:t>
      </w:r>
      <w:r>
        <w:t xml:space="preserve"> </w:t>
      </w:r>
      <w:hyperlink r:id="rId64">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65"/>
    <w:bookmarkStart w:id="67" w:name="ref-balseiro2025"/>
    <w:p>
      <w:pPr>
        <w:pStyle w:val="Bibliography"/>
      </w:pPr>
      <w:r>
        <w:t xml:space="preserve">Balseiro, D., F. Serra, and A. Bignon. 2025.</w:t>
      </w:r>
      <w:r>
        <w:t xml:space="preserve"> </w:t>
      </w:r>
      <w:r>
        <w:t xml:space="preserve">E</w:t>
      </w:r>
      <w:r>
        <w:t xml:space="preserve">xtinction drives both expansion and contraction of morphological disparity in trilobites. Proceedings B, doi:</w:t>
      </w:r>
      <w:r>
        <w:t xml:space="preserve"> </w:t>
      </w:r>
      <w:hyperlink r:id="rId66">
        <w:r>
          <w:rPr>
            <w:rStyle w:val="Hyperlink"/>
          </w:rPr>
          <w:t xml:space="preserve">10.1098/rspb.2025.1418</w:t>
        </w:r>
      </w:hyperlink>
      <w:r>
        <w:t xml:space="preserve">.</w:t>
      </w:r>
    </w:p>
    <w:bookmarkEnd w:id="67"/>
    <w:bookmarkStart w:id="69" w:name="ref-barnosky2001"/>
    <w:p>
      <w:pPr>
        <w:pStyle w:val="Bibliography"/>
      </w:pPr>
      <w:r>
        <w:t xml:space="preserve">Barnosky, A. D. 2001.</w:t>
      </w:r>
      <w:r>
        <w:t xml:space="preserve"> </w:t>
      </w:r>
      <w:hyperlink r:id="rId68">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69"/>
    <w:bookmarkStart w:id="71" w:name="ref-benton2009"/>
    <w:p>
      <w:pPr>
        <w:pStyle w:val="Bibliography"/>
      </w:pPr>
      <w:r>
        <w:t xml:space="preserve">Benton, M. J. 2009.</w:t>
      </w:r>
      <w:r>
        <w:t xml:space="preserve"> </w:t>
      </w:r>
      <w:hyperlink r:id="rId70">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71"/>
    <w:bookmarkStart w:id="73" w:name="ref-bianucci2023"/>
    <w:p>
      <w:pPr>
        <w:pStyle w:val="Bibliography"/>
      </w:pPr>
      <w:r>
        <w:t xml:space="preserve">Bianucci, G., O. Lambert, M. Urbina, M. Merella, A. Collareta, R. Bennion, R. Salas-Gismondi, A. Benites-Palomino, K. Post, C. de Muizon, G. Bosio, C. Di Celma, E. Malinverno, P. P. Pierantoni, I. M. Villa, and E. Amson. 2023.</w:t>
      </w:r>
      <w:r>
        <w:t xml:space="preserve"> </w:t>
      </w:r>
      <w:hyperlink r:id="rId72">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73"/>
    <w:bookmarkStart w:id="74" w:name="ref-biknevicius1993"/>
    <w:p>
      <w:pPr>
        <w:pStyle w:val="Bibliography"/>
      </w:pPr>
      <w:r>
        <w:t xml:space="preserve">Biknevicius, A. R., D. A. Macfarlane, and R. D. E. MacPhee.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 1–25.</w:t>
      </w:r>
    </w:p>
    <w:bookmarkEnd w:id="74"/>
    <w:bookmarkStart w:id="76" w:name="ref-billet2009"/>
    <w:p>
      <w:pPr>
        <w:pStyle w:val="Bibliography"/>
      </w:pPr>
      <w:r>
        <w:t xml:space="preserve">Billet, G., C. Blondel, and C. de Muizon. 2009.</w:t>
      </w:r>
      <w:r>
        <w:t xml:space="preserve"> </w:t>
      </w:r>
      <w:hyperlink r:id="rId75">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76"/>
    <w:bookmarkStart w:id="78" w:name="ref-boessenecker2019"/>
    <w:p>
      <w:pPr>
        <w:pStyle w:val="Bibliography"/>
      </w:pPr>
      <w:r>
        <w:t xml:space="preserve">Boessenecker, R. W., D. J. Ehret, D. J. Long, M. Churchill, E. Martin, and S. J. Boessenecker. 2019.</w:t>
      </w:r>
      <w:r>
        <w:t xml:space="preserve"> </w:t>
      </w:r>
      <w:hyperlink r:id="rId77">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78"/>
    <w:bookmarkStart w:id="80" w:name="ref-boivin2024"/>
    <w:p>
      <w:pPr>
        <w:pStyle w:val="Bibliography"/>
      </w:pPr>
      <w:r>
        <w:t xml:space="preserve">Boivin, M., A. Álvarez, M. D. Ercoli, S. R. Moyano, J. S. Salgado-Ahumada, A. M. O. Tejerina, and G. H. Cassini. 2024.</w:t>
      </w:r>
      <w:r>
        <w:t xml:space="preserve"> </w:t>
      </w:r>
      <w:hyperlink r:id="rId79">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80"/>
    <w:bookmarkStart w:id="82" w:name="ref-boivin2019"/>
    <w:p>
      <w:pPr>
        <w:pStyle w:val="Bibliography"/>
      </w:pPr>
      <w:r>
        <w:t xml:space="preserve">Boivin, M., L. Marivaux, and P.-O. Antoine. 2019.</w:t>
      </w:r>
      <w:r>
        <w:t xml:space="preserve"> </w:t>
      </w:r>
      <w:hyperlink r:id="rId81">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82"/>
    <w:bookmarkStart w:id="84" w:name="ref-boscaini2025"/>
    <w:p>
      <w:pPr>
        <w:pStyle w:val="Bibliography"/>
      </w:pPr>
      <w:r>
        <w:t xml:space="preserve">Boscaini, A., D. M. Casali, N. Toledo, J. L. Cantalapiedra, M. S. Bargo, G. De Iuliis, T. J. Gaudin, M. C. Langer, R. Narducci, F. Pujos, E. M. Soto, S. F. Vizcaíno, and I. M. Soto. 2025.</w:t>
      </w:r>
      <w:r>
        <w:t xml:space="preserve"> </w:t>
      </w:r>
      <w:hyperlink r:id="rId83">
        <w:r>
          <w:rPr>
            <w:rStyle w:val="Hyperlink"/>
          </w:rPr>
          <w:t xml:space="preserve">T</w:t>
        </w:r>
        <w:r>
          <w:rPr>
            <w:rStyle w:val="Hyperlink"/>
          </w:rPr>
          <w:t xml:space="preserve">he emergence and demise of giant sloths</w:t>
        </w:r>
      </w:hyperlink>
      <w:r>
        <w:t xml:space="preserve">. Science 388:864–868.</w:t>
      </w:r>
    </w:p>
    <w:bookmarkEnd w:id="84"/>
    <w:bookmarkStart w:id="86" w:name="ref-boschman2021"/>
    <w:p>
      <w:pPr>
        <w:pStyle w:val="Bibliography"/>
      </w:pPr>
      <w:r>
        <w:t xml:space="preserve">Boschman, L. M. 2021.</w:t>
      </w:r>
      <w:r>
        <w:t xml:space="preserve"> </w:t>
      </w:r>
      <w:hyperlink r:id="rId85">
        <w:r>
          <w:rPr>
            <w:rStyle w:val="Hyperlink"/>
          </w:rPr>
          <w:t xml:space="preserve">A</w:t>
        </w:r>
        <w:r>
          <w:rPr>
            <w:rStyle w:val="Hyperlink"/>
          </w:rPr>
          <w:t xml:space="preserve">ndean mountain building since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C</w:t>
        </w:r>
        <w:r>
          <w:rPr>
            <w:rStyle w:val="Hyperlink"/>
          </w:rPr>
          <w:t xml:space="preserve">retaceous:</w:t>
        </w:r>
        <w:r>
          <w:rPr>
            <w:rStyle w:val="Hyperlink"/>
          </w:rPr>
          <w:t xml:space="preserve"> </w:t>
        </w:r>
        <w:r>
          <w:rPr>
            <w:rStyle w:val="Hyperlink"/>
          </w:rPr>
          <w:t xml:space="preserve">A</w:t>
        </w:r>
        <w:r>
          <w:rPr>
            <w:rStyle w:val="Hyperlink"/>
          </w:rPr>
          <w:t xml:space="preserve"> </w:t>
        </w:r>
        <w:r>
          <w:rPr>
            <w:rStyle w:val="Hyperlink"/>
          </w:rPr>
          <w:t xml:space="preserve">paleoelevation reconstruction</w:t>
        </w:r>
      </w:hyperlink>
      <w:r>
        <w:t xml:space="preserve">. Earth-Science Reviews 220:103640.</w:t>
      </w:r>
    </w:p>
    <w:bookmarkEnd w:id="86"/>
    <w:bookmarkStart w:id="88" w:name="ref-boschman2022"/>
    <w:p>
      <w:pPr>
        <w:pStyle w:val="Bibliography"/>
      </w:pPr>
      <w:r>
        <w:t xml:space="preserve">Boschman, L. M., and F. L. Condamine. 2022.</w:t>
      </w:r>
      <w:r>
        <w:t xml:space="preserve"> </w:t>
      </w:r>
      <w:hyperlink r:id="rId87">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88"/>
    <w:bookmarkStart w:id="90" w:name="ref-brandoni2016"/>
    <w:p>
      <w:pPr>
        <w:pStyle w:val="Bibliography"/>
      </w:pPr>
      <w:r>
        <w:t xml:space="preserve">Brandoni, D., L. G. Ruiz, M. F. Tejedor, G. Martin, and J. G. Fleagle. 2016.</w:t>
      </w:r>
      <w:r>
        <w:t xml:space="preserve"> </w:t>
      </w:r>
      <w:hyperlink r:id="rId89">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90"/>
    <w:bookmarkStart w:id="92" w:name="ref-brée2022"/>
    <w:p>
      <w:pPr>
        <w:pStyle w:val="Bibliography"/>
      </w:pPr>
      <w:r>
        <w:t xml:space="preserve">Brée, B., F. L. Condamine, and G. Guinot. 2022.</w:t>
      </w:r>
      <w:r>
        <w:t xml:space="preserve"> </w:t>
      </w:r>
      <w:hyperlink r:id="rId91">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92"/>
    <w:bookmarkStart w:id="94" w:name="ref-buffan2025"/>
    <w:p>
      <w:pPr>
        <w:pStyle w:val="Bibliography"/>
      </w:pPr>
      <w:r>
        <w:t xml:space="preserve">Buffan, L., F. L. Condamine, N. S. Stutz, F. Pujos, P.-O. Antoine, and L. Marivaux. 2025.</w:t>
      </w:r>
      <w:r>
        <w:t xml:space="preserve"> </w:t>
      </w:r>
      <w:hyperlink r:id="rId93">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94"/>
    <w:bookmarkStart w:id="95" w:name="ref-candela2005"/>
    <w:p>
      <w:pPr>
        <w:pStyle w:val="Bibliography"/>
      </w:pPr>
      <w:r>
        <w:t xml:space="preserve">Candela, A. 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 37–48.</w:t>
      </w:r>
    </w:p>
    <w:bookmarkEnd w:id="95"/>
    <w:bookmarkStart w:id="97" w:name="ref-candela2013"/>
    <w:p>
      <w:pPr>
        <w:pStyle w:val="Bibliography"/>
      </w:pPr>
      <w:r>
        <w:t xml:space="preserve">Candela, A. M., G. H. Cassini, and N. L. Nasif. 2013.</w:t>
      </w:r>
      <w:r>
        <w:t xml:space="preserve"> </w:t>
      </w:r>
      <w:hyperlink r:id="rId96">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97"/>
    <w:bookmarkStart w:id="99" w:name="ref-cantalapiedra2017"/>
    <w:p>
      <w:pPr>
        <w:pStyle w:val="Bibliography"/>
      </w:pPr>
      <w:r>
        <w:t xml:space="preserve">Cantalapiedra, J. L., J. L. Prado, M. Hernández Fernández, and M. T. Alberdi. 2017.</w:t>
      </w:r>
      <w:r>
        <w:t xml:space="preserve"> </w:t>
      </w:r>
      <w:hyperlink r:id="rId98">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99"/>
    <w:bookmarkStart w:id="101" w:name="ref-carrillo2026"/>
    <w:p>
      <w:pPr>
        <w:pStyle w:val="Bibliography"/>
      </w:pPr>
      <w:r>
        <w:t xml:space="preserve">Carrillo, J. D., M. F. Torres Jimenez, F. J. Urrea-Barreto, K. Pino, R. B. Cooper, A. Antonelli, C. D. Bacon, S. Faurby, and D. Silvestro. 2026.</w:t>
      </w:r>
      <w:r>
        <w:t xml:space="preserve"> </w:t>
      </w:r>
      <w:hyperlink r:id="rId100">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01"/>
    <w:bookmarkStart w:id="103" w:name="ref-chiarenza2020"/>
    <w:p>
      <w:pPr>
        <w:pStyle w:val="Bibliography"/>
      </w:pPr>
      <w:r>
        <w:t xml:space="preserve">Chiarenza, A. A., A. Farnsworth, P. D. Mannion, D. J. Lunt, P. J. Valdes, J. V. Morgan, and P. A. Allison. 2020.</w:t>
      </w:r>
      <w:r>
        <w:t xml:space="preserve"> </w:t>
      </w:r>
      <w:hyperlink r:id="rId102">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03"/>
    <w:bookmarkStart w:id="105" w:name="ref-clavel2017"/>
    <w:p>
      <w:pPr>
        <w:pStyle w:val="Bibliography"/>
      </w:pPr>
      <w:r>
        <w:t xml:space="preserve">Clavel, J., and H. Morlon. 2017.</w:t>
      </w:r>
      <w:r>
        <w:t xml:space="preserve"> </w:t>
      </w:r>
      <w:hyperlink r:id="rId104">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05"/>
    <w:bookmarkStart w:id="107" w:name="ref-cohen2025"/>
    <w:p>
      <w:pPr>
        <w:pStyle w:val="Bibliography"/>
      </w:pPr>
      <w:r>
        <w:t xml:space="preserve">Cohen, K., D. Harper, P. Gibbard, and N. Car. 2025.</w:t>
      </w:r>
      <w:r>
        <w:t xml:space="preserve"> </w:t>
      </w:r>
      <w:hyperlink r:id="rId106">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07"/>
    <w:bookmarkStart w:id="109" w:name="ref-condamine2018"/>
    <w:p>
      <w:pPr>
        <w:pStyle w:val="Bibliography"/>
      </w:pPr>
      <w:r>
        <w:t xml:space="preserve">Condamine, F. L., J. Rolland, S. Höhna, F. A. H. Sperling, and I. Sanmartín. 2018.</w:t>
      </w:r>
      <w:r>
        <w:t xml:space="preserve"> </w:t>
      </w:r>
      <w:hyperlink r:id="rId108">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09"/>
    <w:bookmarkStart w:id="111" w:name="ref-condamine2019"/>
    <w:p>
      <w:pPr>
        <w:pStyle w:val="Bibliography"/>
      </w:pPr>
      <w:r>
        <w:t xml:space="preserve">Condamine, F. L., J. Rolland, and H. Morlon. 2019a.</w:t>
      </w:r>
      <w:r>
        <w:t xml:space="preserve"> </w:t>
      </w:r>
      <w:hyperlink r:id="rId110">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11"/>
    <w:bookmarkStart w:id="113" w:name="ref-condamine_climate_2019"/>
    <w:p>
      <w:pPr>
        <w:pStyle w:val="Bibliography"/>
      </w:pPr>
      <w:r>
        <w:t xml:space="preserve">Condamine, F. L., J. Romieu, and G. Guinot. 2019b.</w:t>
      </w:r>
      <w:r>
        <w:t xml:space="preserve"> </w:t>
      </w:r>
      <w:hyperlink r:id="rId112">
        <w:r>
          <w:rPr>
            <w:rStyle w:val="Hyperlink"/>
          </w:rPr>
          <w:t xml:space="preserve">C</w:t>
        </w:r>
        <w:r>
          <w:rPr>
            <w:rStyle w:val="Hyperlink"/>
          </w:rPr>
          <w:t xml:space="preserve">limate cooling and clade competition likely drove the decline of lamniform sharks</w:t>
        </w:r>
      </w:hyperlink>
      <w:r>
        <w:t xml:space="preserve">. Proc. Nat. Acad. Sc. U.S.A 116. Proceedings of the National Academy of Sciences.</w:t>
      </w:r>
    </w:p>
    <w:bookmarkEnd w:id="113"/>
    <w:bookmarkStart w:id="115" w:name="ref-condamine2020"/>
    <w:p>
      <w:pPr>
        <w:pStyle w:val="Bibliography"/>
      </w:pPr>
      <w:r>
        <w:t xml:space="preserve">Condamine, F. L., D. Silvestro, E. B. Koppelhus, and A. Antonelli. 2020.</w:t>
      </w:r>
      <w:r>
        <w:t xml:space="preserve"> </w:t>
      </w:r>
      <w:hyperlink r:id="rId114">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15"/>
    <w:bookmarkStart w:id="117" w:name="ref-cooney2021"/>
    <w:p>
      <w:pPr>
        <w:pStyle w:val="Bibliography"/>
      </w:pPr>
      <w:r>
        <w:t xml:space="preserve">Cooney, C. R., and G. H. Thomas. 2021.</w:t>
      </w:r>
      <w:r>
        <w:t xml:space="preserve"> </w:t>
      </w:r>
      <w:hyperlink r:id="rId116">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17"/>
    <w:bookmarkStart w:id="119" w:name="ref-cooper2025"/>
    <w:p>
      <w:pPr>
        <w:pStyle w:val="Bibliography"/>
      </w:pPr>
      <w:r>
        <w:t xml:space="preserve">Cooper, R. B., B. J. Allen, and D. Silvestro. 2025.</w:t>
      </w:r>
      <w:r>
        <w:t xml:space="preserve"> </w:t>
      </w:r>
      <w:hyperlink r:id="rId118">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19"/>
    <w:bookmarkStart w:id="121" w:name="ref-cooper2024"/>
    <w:p>
      <w:pPr>
        <w:pStyle w:val="Bibliography"/>
      </w:pPr>
      <w:r>
        <w:t xml:space="preserve">Cooper, R. B., J. T. Flannery-Sutherland, and D. Silvestro. 2024.</w:t>
      </w:r>
      <w:r>
        <w:t xml:space="preserve"> </w:t>
      </w:r>
      <w:hyperlink r:id="rId120">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21"/>
    <w:bookmarkStart w:id="122" w:name="ref-cope1896"/>
    <w:p>
      <w:pPr>
        <w:pStyle w:val="Bibliography"/>
      </w:pPr>
      <w:r>
        <w:t xml:space="preserve">Cope, E. D. 1896.</w:t>
      </w:r>
      <w:r>
        <w:t xml:space="preserve"> </w:t>
      </w:r>
      <w:r>
        <w:t xml:space="preserve">T</w:t>
      </w:r>
      <w:r>
        <w:t xml:space="preserve">he primary factors of organic evolution. The Open Court Publishing Company.</w:t>
      </w:r>
    </w:p>
    <w:bookmarkEnd w:id="122"/>
    <w:bookmarkStart w:id="124" w:name="ref-croft2018"/>
    <w:p>
      <w:pPr>
        <w:pStyle w:val="Bibliography"/>
      </w:pPr>
      <w:r>
        <w:t xml:space="preserve">Croft, D. A., R. K. Engelman, T. Dolgushina, and G. Wesley. 2018.</w:t>
      </w:r>
      <w:r>
        <w:t xml:space="preserve"> </w:t>
      </w:r>
      <w:hyperlink r:id="rId123">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24"/>
    <w:bookmarkStart w:id="126" w:name="ref-croft2020"/>
    <w:p>
      <w:pPr>
        <w:pStyle w:val="Bibliography"/>
      </w:pPr>
      <w:r>
        <w:t xml:space="preserve">Croft, D. A., J. N. Gelfo, and G. M. López. 2020.</w:t>
      </w:r>
      <w:r>
        <w:t xml:space="preserve"> </w:t>
      </w:r>
      <w:hyperlink r:id="rId125">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26"/>
    <w:bookmarkStart w:id="128" w:name="ref-cuitiño2021"/>
    <w:p>
      <w:pPr>
        <w:pStyle w:val="Bibliography"/>
      </w:pPr>
      <w:r>
        <w:t xml:space="preserve">Cuitiño, J. I., M. Sol Raigemborn, M. Susana Bargo, S. F. Vizcaíno, N. A. Muñoz, M. J. Kohn, and R. F. Kay. 2021.</w:t>
      </w:r>
      <w:r>
        <w:t xml:space="preserve"> </w:t>
      </w:r>
      <w:hyperlink r:id="rId127">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28"/>
    <w:bookmarkStart w:id="130" w:name="ref-dacunha2023"/>
    <w:p>
      <w:pPr>
        <w:pStyle w:val="Bibliography"/>
      </w:pPr>
      <w:r>
        <w:t xml:space="preserve">Da Cunha, L., L. W. Viñola-López, R. D. E. MacPhee, L. Kerber, J. Vélez-Juarbe, P.-O. Antoine, M. Boivin, L. Hautier, R. Lebrun, L. Marivaux, and P.-H. Fabre. 2023.</w:t>
      </w:r>
      <w:r>
        <w:t xml:space="preserve"> </w:t>
      </w:r>
      <w:hyperlink r:id="rId129">
        <w:r>
          <w:rPr>
            <w:rStyle w:val="Hyperlink"/>
          </w:rPr>
          <w:t xml:space="preserve">T</w:t>
        </w:r>
        <w:r>
          <w:rPr>
            <w:rStyle w:val="Hyperlink"/>
          </w:rPr>
          <w:t xml:space="preserve">he inner ear of caviomorph rodents:</w:t>
        </w:r>
        <w:r>
          <w:rPr>
            <w:rStyle w:val="Hyperlink"/>
          </w:rPr>
          <w:t xml:space="preserve"> </w:t>
        </w:r>
        <w:r>
          <w:rPr>
            <w:rStyle w:val="Hyperlink"/>
          </w:rPr>
          <w:t xml:space="preserve">P</w:t>
        </w:r>
        <w:r>
          <w:rPr>
            <w:rStyle w:val="Hyperlink"/>
          </w:rPr>
          <w:t xml:space="preserve">hylogenetic implications and application to extinct</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taxa</w:t>
        </w:r>
      </w:hyperlink>
      <w:r>
        <w:t xml:space="preserve">. Journal of Mammalian Evolution 30:1155–1176.</w:t>
      </w:r>
    </w:p>
    <w:bookmarkEnd w:id="130"/>
    <w:bookmarkStart w:id="132" w:name="ref-damuth1993"/>
    <w:p>
      <w:pPr>
        <w:pStyle w:val="Bibliography"/>
      </w:pPr>
      <w:r>
        <w:t xml:space="preserve">Damuth, J. 1993.</w:t>
      </w:r>
      <w:r>
        <w:t xml:space="preserve"> </w:t>
      </w:r>
      <w:hyperlink r:id="rId131">
        <w:r>
          <w:rPr>
            <w:rStyle w:val="Hyperlink"/>
          </w:rPr>
          <w:t xml:space="preserve">C</w:t>
        </w:r>
        <w:r>
          <w:rPr>
            <w:rStyle w:val="Hyperlink"/>
          </w:rPr>
          <w:t xml:space="preserve">ope’s rule, the island rule and the scaling of mammalian population density</w:t>
        </w:r>
      </w:hyperlink>
      <w:r>
        <w:t xml:space="preserve">. Nature 365:748–750.</w:t>
      </w:r>
    </w:p>
    <w:bookmarkEnd w:id="132"/>
    <w:bookmarkStart w:id="134" w:name="ref-drury2016"/>
    <w:p>
      <w:pPr>
        <w:pStyle w:val="Bibliography"/>
      </w:pPr>
      <w:r>
        <w:t xml:space="preserve">Drury, J., J. Clavel, M. Manceau, and H. Morlon. 2016.</w:t>
      </w:r>
      <w:r>
        <w:t xml:space="preserve"> </w:t>
      </w:r>
      <w:hyperlink r:id="rId133">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34"/>
    <w:bookmarkStart w:id="136" w:name="ref-dunn2013"/>
    <w:p>
      <w:pPr>
        <w:pStyle w:val="Bibliography"/>
      </w:pPr>
      <w:r>
        <w:t xml:space="preserve">Dunn, R. E., R. H. Madden, M. J. Kohn, M. D. Schmitz, C. A. E. Strömberg, A. A. Carlini, G. H. Ré, and J. Crowley. 2013.</w:t>
      </w:r>
      <w:r>
        <w:t xml:space="preserve"> </w:t>
      </w:r>
      <w:hyperlink r:id="rId135">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w:t>
        </w:r>
        <w:r>
          <w:rPr>
            <w:rStyle w:val="Hyperlink"/>
          </w:rPr>
          <w:t xml:space="preserv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36"/>
    <w:bookmarkStart w:id="138" w:name="ref-esteve2025"/>
    <w:p>
      <w:pPr>
        <w:pStyle w:val="Bibliography"/>
      </w:pPr>
      <w:r>
        <w:t xml:space="preserve">Esteve, J. 2025.</w:t>
      </w:r>
      <w:r>
        <w:t xml:space="preserve"> </w:t>
      </w:r>
      <w:hyperlink r:id="rId137">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38"/>
    <w:bookmarkStart w:id="140" w:name="ref-etienne2011"/>
    <w:p>
      <w:pPr>
        <w:pStyle w:val="Bibliography"/>
      </w:pPr>
      <w:r>
        <w:t xml:space="preserve">Etienne, R. S., B. Haegeman, T. Stadler, T. Aze, P. N. Pearson, A. Purvis, and A. B. Phillimore. 2011.</w:t>
      </w:r>
      <w:r>
        <w:t xml:space="preserve"> </w:t>
      </w:r>
      <w:hyperlink r:id="rId139">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40"/>
    <w:bookmarkStart w:id="142" w:name="ref-felsenstein1985"/>
    <w:p>
      <w:pPr>
        <w:pStyle w:val="Bibliography"/>
      </w:pPr>
      <w:r>
        <w:t xml:space="preserve">Felsenstein, J. 1985.</w:t>
      </w:r>
      <w:r>
        <w:t xml:space="preserve"> </w:t>
      </w:r>
      <w:hyperlink r:id="rId141">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42"/>
    <w:bookmarkStart w:id="144" w:name="ref-fernicola2019"/>
    <w:p>
      <w:pPr>
        <w:pStyle w:val="Bibliography"/>
      </w:pPr>
      <w:r>
        <w:t xml:space="preserve">Fernicola, J. C., S. F. Vizcaíno, M. S. Bargo, R. F. Kay, and J. I. Cuitiño. 2019.</w:t>
      </w:r>
      <w:r>
        <w:t xml:space="preserve"> </w:t>
      </w:r>
      <w:hyperlink r:id="rId143">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44"/>
    <w:bookmarkStart w:id="146" w:name="ref-finnegan2008"/>
    <w:p>
      <w:pPr>
        <w:pStyle w:val="Bibliography"/>
      </w:pPr>
      <w:r>
        <w:t xml:space="preserve">Finnegan, S., J. L. Payne, and S. C. Wang. 2008.</w:t>
      </w:r>
      <w:r>
        <w:t xml:space="preserve"> </w:t>
      </w:r>
      <w:hyperlink r:id="rId145">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46"/>
    <w:bookmarkStart w:id="148" w:name="ref-flannerysutherland2025"/>
    <w:p>
      <w:pPr>
        <w:pStyle w:val="Bibliography"/>
      </w:pPr>
      <w:r>
        <w:t xml:space="preserve">Flannery Sutherland, J., S. Henderson, S. Fasey, and S. Giles. 2025.</w:t>
      </w:r>
      <w:r>
        <w:t xml:space="preserve"> </w:t>
      </w:r>
      <w:hyperlink r:id="rId147">
        <w:r>
          <w:rPr>
            <w:rStyle w:val="Hyperlink"/>
          </w:rPr>
          <w:t xml:space="preserve">D</w:t>
        </w:r>
        <w:r>
          <w:rPr>
            <w:rStyle w:val="Hyperlink"/>
          </w:rPr>
          <w:t xml:space="preserve">iversification dynamics of the</w:t>
        </w:r>
        <w:r>
          <w:rPr>
            <w:rStyle w:val="Hyperlink"/>
          </w:rPr>
          <w:t xml:space="preserve"> </w:t>
        </w:r>
        <w:r>
          <w:rPr>
            <w:rStyle w:val="Hyperlink"/>
          </w:rPr>
          <w:t xml:space="preserve">P</w:t>
        </w:r>
        <w:r>
          <w:rPr>
            <w:rStyle w:val="Hyperlink"/>
          </w:rPr>
          <w:t xml:space="preserve">alaeozoic actinopterygian radiation</w:t>
        </w:r>
      </w:hyperlink>
      <w:r>
        <w:t xml:space="preserve">. Proceedings of the Royal Society B: Biological Sciences 292:20252732.</w:t>
      </w:r>
    </w:p>
    <w:bookmarkEnd w:id="148"/>
    <w:bookmarkStart w:id="150" w:name="ref-flannery-sutherland2022"/>
    <w:p>
      <w:pPr>
        <w:pStyle w:val="Bibliography"/>
      </w:pPr>
      <w:r>
        <w:t xml:space="preserve">Flannery-Sutherland, J. T., D. Silvestro, and M. J. Benton. 2022.</w:t>
      </w:r>
      <w:r>
        <w:t xml:space="preserve"> </w:t>
      </w:r>
      <w:hyperlink r:id="rId149">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50"/>
    <w:bookmarkStart w:id="152" w:name="ref-foote1993"/>
    <w:p>
      <w:pPr>
        <w:pStyle w:val="Bibliography"/>
      </w:pPr>
      <w:r>
        <w:t xml:space="preserve">Foote, M. 1993.</w:t>
      </w:r>
      <w:r>
        <w:t xml:space="preserve"> </w:t>
      </w:r>
      <w:hyperlink r:id="rId151">
        <w:r>
          <w:rPr>
            <w:rStyle w:val="Hyperlink"/>
          </w:rPr>
          <w:t xml:space="preserve">D</w:t>
        </w:r>
        <w:r>
          <w:rPr>
            <w:rStyle w:val="Hyperlink"/>
          </w:rPr>
          <w:t xml:space="preserve">iscordance and concordance between morphological and taxonomic diversity</w:t>
        </w:r>
      </w:hyperlink>
      <w:r>
        <w:t xml:space="preserve">. Paleobiology 19:185–204.</w:t>
      </w:r>
    </w:p>
    <w:bookmarkEnd w:id="152"/>
    <w:bookmarkStart w:id="154" w:name="ref-gardiner2026_reply"/>
    <w:p>
      <w:pPr>
        <w:pStyle w:val="Bibliography"/>
      </w:pPr>
      <w:r>
        <w:t xml:space="preserve">Gardiner, A., G. H. Mathes, R. Cooper, K. Kocáková, J. A. Villafaña, D. Silvestro, and C. Pimiento. 2026.</w:t>
      </w:r>
      <w:r>
        <w:t xml:space="preserve"> </w:t>
      </w:r>
      <w:r>
        <w:t xml:space="preserve">R</w:t>
      </w:r>
      <w:r>
        <w:t xml:space="preserve">obust evidence for modest diversity loss across the</w:t>
      </w:r>
      <w:r>
        <w:t xml:space="preserve"> </w:t>
      </w:r>
      <w:r>
        <w:t xml:space="preserve">K</w:t>
      </w:r>
      <w:r>
        <w:t xml:space="preserve">/</w:t>
      </w:r>
      <w:r>
        <w:t xml:space="preserve">P</w:t>
      </w:r>
      <w:r>
        <w:t xml:space="preserve">g in neoselachians:</w:t>
      </w:r>
      <w:r>
        <w:t xml:space="preserve"> </w:t>
      </w:r>
      <w:r>
        <w:t xml:space="preserve">R</w:t>
      </w:r>
      <w:r>
        <w:t xml:space="preserve">esponse to</w:t>
      </w:r>
      <w:r>
        <w:t xml:space="preserve"> </w:t>
      </w:r>
      <w:r>
        <w:t xml:space="preserve">G</w:t>
      </w:r>
      <w:r>
        <w:t xml:space="preserve">uinot et al, doi:</w:t>
      </w:r>
      <w:r>
        <w:t xml:space="preserve"> </w:t>
      </w:r>
      <w:hyperlink r:id="rId153">
        <w:r>
          <w:rPr>
            <w:rStyle w:val="Hyperlink"/>
          </w:rPr>
          <w:t xml:space="preserve">10.64898/2026.04.08.716966</w:t>
        </w:r>
      </w:hyperlink>
      <w:r>
        <w:t xml:space="preserve">.</w:t>
      </w:r>
    </w:p>
    <w:bookmarkEnd w:id="154"/>
    <w:bookmarkStart w:id="156" w:name="ref-gould1977"/>
    <w:p>
      <w:pPr>
        <w:pStyle w:val="Bibliography"/>
      </w:pPr>
      <w:r>
        <w:t xml:space="preserve">Gould, S. J., and N. Eldredge. 1977.</w:t>
      </w:r>
      <w:r>
        <w:t xml:space="preserve"> </w:t>
      </w:r>
      <w:hyperlink r:id="rId155">
        <w:r>
          <w:rPr>
            <w:rStyle w:val="Hyperlink"/>
          </w:rPr>
          <w:t xml:space="preserve">P</w:t>
        </w:r>
        <w:r>
          <w:rPr>
            <w:rStyle w:val="Hyperlink"/>
          </w:rPr>
          <w:t xml:space="preserve">unctuated equilibria: the tempo and mode of evolution reconsidered</w:t>
        </w:r>
      </w:hyperlink>
      <w:r>
        <w:t xml:space="preserve">. Paleobiology 3:115–151.</w:t>
      </w:r>
    </w:p>
    <w:bookmarkEnd w:id="156"/>
    <w:bookmarkStart w:id="158" w:name="ref-guayasamin2024"/>
    <w:p>
      <w:pPr>
        <w:pStyle w:val="Bibliography"/>
      </w:pPr>
      <w:r>
        <w:t xml:space="preserve">Guayasamin, J. M., C. C. Ribas, A. C. Carnaval, J. D. Carrillo, C. Hoorn, L. G. Lohmann, D. Riff, C. Ulloa Ulloa, and J. S. Albert. 2024.</w:t>
      </w:r>
      <w:r>
        <w:t xml:space="preserve"> </w:t>
      </w:r>
      <w:hyperlink r:id="rId157">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58"/>
    <w:bookmarkStart w:id="160" w:name="ref-guinot2026"/>
    <w:p>
      <w:pPr>
        <w:pStyle w:val="Bibliography"/>
      </w:pPr>
      <w:r>
        <w:t xml:space="preserve">Guinot, G., S. Adnet, G. Cuny, I. Feichtinger, K. Shimada, M. Siversson, C. J. Underwood, R. Vullo, D. J. Ward, and F. L. Condamine. 2026.</w:t>
      </w:r>
      <w:r>
        <w:t xml:space="preserve"> </w:t>
      </w:r>
      <w:r>
        <w:t xml:space="preserve">F</w:t>
      </w:r>
      <w:r>
        <w:t xml:space="preserve">ossil-based analyses of clades</w:t>
      </w:r>
      <w:r>
        <w:t xml:space="preserve">’</w:t>
      </w:r>
      <w:r>
        <w:t xml:space="preserve"> </w:t>
      </w:r>
      <w:r>
        <w:t xml:space="preserve">diversification patterns require taxonomic expertise and appropriate methodology, doi:</w:t>
      </w:r>
      <w:r>
        <w:t xml:space="preserve"> </w:t>
      </w:r>
      <w:hyperlink r:id="rId159">
        <w:r>
          <w:rPr>
            <w:rStyle w:val="Hyperlink"/>
          </w:rPr>
          <w:t xml:space="preserve">10.64898/2026.02.27.708174</w:t>
        </w:r>
      </w:hyperlink>
      <w:r>
        <w:t xml:space="preserve">.</w:t>
      </w:r>
    </w:p>
    <w:bookmarkEnd w:id="160"/>
    <w:bookmarkStart w:id="162" w:name="ref-guinot2023"/>
    <w:p>
      <w:pPr>
        <w:pStyle w:val="Bibliography"/>
      </w:pPr>
      <w:r>
        <w:t xml:space="preserve">Guinot, G., and F. L. Condamine. 2023.</w:t>
      </w:r>
      <w:r>
        <w:t xml:space="preserve"> </w:t>
      </w:r>
      <w:hyperlink r:id="rId161">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62"/>
    <w:bookmarkStart w:id="164" w:name="ref-hagen2018"/>
    <w:p>
      <w:pPr>
        <w:pStyle w:val="Bibliography"/>
      </w:pPr>
      <w:r>
        <w:t xml:space="preserve">Hagen, O., T. Andermann, T. B. Quental, A. Antonelli, and D. Silvestro. 2018.</w:t>
      </w:r>
      <w:r>
        <w:t xml:space="preserve"> </w:t>
      </w:r>
      <w:hyperlink r:id="rId163">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64"/>
    <w:bookmarkStart w:id="166" w:name="ref-hauffe2024"/>
    <w:p>
      <w:pPr>
        <w:pStyle w:val="Bibliography"/>
      </w:pPr>
      <w:r>
        <w:t xml:space="preserve">Hauffe, T., J. L. Cantalapiedra, and D. Silvestro. 2024.</w:t>
      </w:r>
      <w:r>
        <w:t xml:space="preserve"> </w:t>
      </w:r>
      <w:hyperlink r:id="rId165">
        <w:r>
          <w:rPr>
            <w:rStyle w:val="Hyperlink"/>
          </w:rPr>
          <w:t xml:space="preserve">Trait-mediated speciation and human-driven extinctions in proboscideans revealed by unsupervised bayesian neural networks</w:t>
        </w:r>
      </w:hyperlink>
      <w:r>
        <w:t xml:space="preserve">. Science Advances 10:eadl2643. American Association for the Advancement of Science.</w:t>
      </w:r>
    </w:p>
    <w:bookmarkEnd w:id="166"/>
    <w:bookmarkStart w:id="168" w:name="ref-hernández2005"/>
    <w:p>
      <w:pPr>
        <w:pStyle w:val="Bibliography"/>
      </w:pPr>
      <w:r>
        <w:t xml:space="preserve">Hernández, R. M., T. E. Jordan, A. Dalenz Farjat, L. Echavarría, B. D. Idleman, and J. H. Reynolds. 2005.</w:t>
      </w:r>
      <w:r>
        <w:t xml:space="preserve"> </w:t>
      </w:r>
      <w:hyperlink r:id="rId167">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68"/>
    <w:bookmarkStart w:id="170" w:name="ref-hoorn2022"/>
    <w:p>
      <w:pPr>
        <w:pStyle w:val="Bibliography"/>
      </w:pPr>
      <w:r>
        <w:t xml:space="preserve">Hoorn, C., L. M. Boschman, T. Kukla, M. Sciumbata, and P. Val. 2022.</w:t>
      </w:r>
      <w:r>
        <w:t xml:space="preserve"> </w:t>
      </w:r>
      <w:hyperlink r:id="rId169">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70"/>
    <w:bookmarkStart w:id="172" w:name="ref-hoorn1995"/>
    <w:p>
      <w:pPr>
        <w:pStyle w:val="Bibliography"/>
      </w:pPr>
      <w:r>
        <w:t xml:space="preserve">Hoorn, C., J. Guerrero, G. A. Sarmiento, and M. A. Lorente. 1995.</w:t>
      </w:r>
      <w:r>
        <w:t xml:space="preserve"> </w:t>
      </w:r>
      <w:hyperlink r:id="rId171">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72"/>
    <w:bookmarkStart w:id="174" w:name="ref-hoorn2023"/>
    <w:p>
      <w:pPr>
        <w:pStyle w:val="Bibliography"/>
      </w:pPr>
      <w:r>
        <w:t xml:space="preserve">Hoorn, C., L. G. Lohmann, L. M. Boschman, and F. L. Condamine. 2023.</w:t>
      </w:r>
      <w:r>
        <w:t xml:space="preserve"> </w:t>
      </w:r>
      <w:hyperlink r:id="rId173">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74"/>
    <w:bookmarkStart w:id="176" w:name="ref-hoorn2010"/>
    <w:p>
      <w:pPr>
        <w:pStyle w:val="Bibliography"/>
      </w:pPr>
      <w:r>
        <w:t xml:space="preserve">Hoorn, C., F. P. Wesselingh, H. ter Steege, M. A. Bermudez, A. Mora, J. Sevink, I. Sanmartín, A. Sanchez-Meseguer, C. L. Anderson, J. P. Figueiredo, C. Jaramillo, D. Riff, F. R. Negri, H. Hooghiemstra, J. Lundberg, T. Stadler, T. Särkinen, and A. Antonelli. 2010.</w:t>
      </w:r>
      <w:r>
        <w:t xml:space="preserve"> </w:t>
      </w:r>
      <w:hyperlink r:id="rId175">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176"/>
    <w:bookmarkStart w:id="178" w:name="ref-hughes2013"/>
    <w:p>
      <w:pPr>
        <w:pStyle w:val="Bibliography"/>
      </w:pPr>
      <w:r>
        <w:t xml:space="preserve">Hughes, M., S. Gerber, and M. A. Wills. 2013.</w:t>
      </w:r>
      <w:r>
        <w:t xml:space="preserve"> </w:t>
      </w:r>
      <w:hyperlink r:id="rId177">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178"/>
    <w:bookmarkStart w:id="180" w:name="ref-jablonski2017"/>
    <w:p>
      <w:pPr>
        <w:pStyle w:val="Bibliography"/>
      </w:pPr>
      <w:r>
        <w:t xml:space="preserve">Jablonski, D. 2017.</w:t>
      </w:r>
      <w:r>
        <w:t xml:space="preserve"> </w:t>
      </w:r>
      <w:hyperlink r:id="rId179">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180"/>
    <w:bookmarkStart w:id="181" w:name="ref-janis1988"/>
    <w:p>
      <w:pPr>
        <w:pStyle w:val="Bibliography"/>
      </w:pPr>
      <w:r>
        <w:t xml:space="preserve">Janis, C. M. 1988.</w:t>
      </w:r>
      <w:r>
        <w:t xml:space="preserve"> </w:t>
      </w:r>
      <w:r>
        <w:t xml:space="preserve">A</w:t>
      </w:r>
      <w:r>
        <w:t xml:space="preserve">n estimation of tooth volume and hypsodonty indices in ungulate mammals, and the correlation of these factors with dietary preferences. Mémoires du Moséum d’Histoire Naturelle de Paris 367–387.</w:t>
      </w:r>
    </w:p>
    <w:bookmarkEnd w:id="181"/>
    <w:bookmarkStart w:id="183" w:name="ref-jaramillo2017"/>
    <w:p>
      <w:pPr>
        <w:pStyle w:val="Bibliography"/>
      </w:pPr>
      <w:r>
        <w:t xml:space="preserve">Jaramillo, C., I. Romero, C. D’Apolito, G. Bayona, E. Duarte, S. Louwye, J. Escobar, J. Luque, J. D. Carrillo-Briceño, V. Zapata, A. Mora, S. Schouten, M. Zavada, G. Harrington, J. Ortiz, and F. P. Wesselingh. 2017.</w:t>
      </w:r>
      <w:r>
        <w:t xml:space="preserve"> </w:t>
      </w:r>
      <w:hyperlink r:id="rId182">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183"/>
    <w:bookmarkStart w:id="185" w:name="ref-jardine2012"/>
    <w:p>
      <w:pPr>
        <w:pStyle w:val="Bibliography"/>
      </w:pPr>
      <w:r>
        <w:t xml:space="preserve">Jardine, P. E., C. M. Janis, S. Sahney, and M. J. Benton. 2012.</w:t>
      </w:r>
      <w:r>
        <w:t xml:space="preserve"> </w:t>
      </w:r>
      <w:hyperlink r:id="rId184">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185"/>
    <w:bookmarkStart w:id="187" w:name="ref-jones2025"/>
    <w:p>
      <w:pPr>
        <w:pStyle w:val="Bibliography"/>
      </w:pPr>
      <w:r>
        <w:t xml:space="preserve">Jones, L. A., C. D. Dean, B. J. Allen, H. B. Drage, J. T. Flannery-Sutherland, W. Gearty, A. A. Chiarenza, E. M. Dillon, B. M. Farina, and P. L. Godoy. 2025.</w:t>
      </w:r>
      <w:r>
        <w:t xml:space="preserve"> </w:t>
      </w:r>
      <w:hyperlink r:id="rId186">
        <w:r>
          <w:rPr>
            <w:rStyle w:val="Hyperlink"/>
          </w:rPr>
          <w:t xml:space="preserve">T</w:t>
        </w:r>
        <w:r>
          <w:rPr>
            <w:rStyle w:val="Hyperlink"/>
          </w:rPr>
          <w:t xml:space="preserve">en simple rules to follow when cleaning occurrence data in palaeobiology</w:t>
        </w:r>
      </w:hyperlink>
      <w:r>
        <w:t xml:space="preserve">. Palaeontology 68:e70028.</w:t>
      </w:r>
    </w:p>
    <w:bookmarkEnd w:id="187"/>
    <w:bookmarkStart w:id="189" w:name="ref-jouault_ants_2024"/>
    <w:p>
      <w:pPr>
        <w:pStyle w:val="Bibliography"/>
      </w:pPr>
      <w:r>
        <w:t xml:space="preserve">Jouault, C., F. L. Condamine, F. Legendre, and V. Perrichot. 2024.</w:t>
      </w:r>
      <w:r>
        <w:t xml:space="preserve"> </w:t>
      </w:r>
      <w:hyperlink r:id="rId188">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 Proceedings of the National Academy of Sciences.</w:t>
      </w:r>
    </w:p>
    <w:bookmarkEnd w:id="189"/>
    <w:bookmarkStart w:id="191" w:name="ref-jouault2022"/>
    <w:p>
      <w:pPr>
        <w:pStyle w:val="Bibliography"/>
      </w:pPr>
      <w:r>
        <w:t xml:space="preserve">Jouault, C., A. Nel, F. Legendre, and F. L. Condamine. 2022.</w:t>
      </w:r>
      <w:r>
        <w:t xml:space="preserve"> </w:t>
      </w:r>
      <w:hyperlink r:id="rId190">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191"/>
    <w:bookmarkStart w:id="193" w:name="ref-jouault_ants_2026"/>
    <w:p>
      <w:pPr>
        <w:pStyle w:val="Bibliography"/>
      </w:pPr>
      <w:r>
        <w:t xml:space="preserve">Jouault, C., A. Swain, and C. Sosiak. 2026.</w:t>
      </w:r>
      <w:r>
        <w:t xml:space="preserve"> </w:t>
      </w:r>
      <w:hyperlink r:id="rId192">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193"/>
    <w:bookmarkStart w:id="195" w:name="ref-kass1995"/>
    <w:p>
      <w:pPr>
        <w:pStyle w:val="Bibliography"/>
      </w:pPr>
      <w:r>
        <w:t xml:space="preserve">Kass, R. E., and A. E. Raftery. 1995.</w:t>
      </w:r>
      <w:r>
        <w:t xml:space="preserve"> </w:t>
      </w:r>
      <w:hyperlink r:id="rId194">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195"/>
    <w:bookmarkStart w:id="197" w:name="ref-kocáková2025"/>
    <w:p>
      <w:pPr>
        <w:pStyle w:val="Bibliography"/>
      </w:pPr>
      <w:r>
        <w:t xml:space="preserve">Kocáková, K., D. Silvestro, G. H. Mathes, J. A. Villafaña, and C. Pimiento. 2025.</w:t>
      </w:r>
      <w:r>
        <w:t xml:space="preserve"> </w:t>
      </w:r>
      <w:hyperlink r:id="rId196">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197"/>
    <w:bookmarkStart w:id="199" w:name="ref-lehtonen2017"/>
    <w:p>
      <w:pPr>
        <w:pStyle w:val="Bibliography"/>
      </w:pPr>
      <w:r>
        <w:t xml:space="preserve">Lehtonen, S., D. Silvestro, D. N. Karger, C. Scotese, H. Tuomisto, M. Kessler, C. Peña, N. Wahlberg, and A. Antonelli. 2017.</w:t>
      </w:r>
      <w:r>
        <w:t xml:space="preserve"> </w:t>
      </w:r>
      <w:hyperlink r:id="rId198">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199"/>
    <w:bookmarkStart w:id="201" w:name="ref-liow2008"/>
    <w:p>
      <w:pPr>
        <w:pStyle w:val="Bibliography"/>
      </w:pPr>
      <w:r>
        <w:t xml:space="preserve">Liow, L. H., M. Fortelius, E. Bingham, K. Lintulaakso, H. Mannila, L. Flynn, and N. Chr. Stenseth. 2008.</w:t>
      </w:r>
      <w:r>
        <w:t xml:space="preserve"> </w:t>
      </w:r>
      <w:hyperlink r:id="rId200">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01"/>
    <w:bookmarkStart w:id="203" w:name="ref-liow2010"/>
    <w:p>
      <w:pPr>
        <w:pStyle w:val="Bibliography"/>
      </w:pPr>
      <w:r>
        <w:t xml:space="preserve">Liow, L. H., T. B. Quental, and C. R. Marshall. 2010.</w:t>
      </w:r>
      <w:r>
        <w:t xml:space="preserve"> </w:t>
      </w:r>
      <w:hyperlink r:id="rId202">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03"/>
    <w:bookmarkStart w:id="205" w:name="ref-macfadden2000"/>
    <w:p>
      <w:pPr>
        <w:pStyle w:val="Bibliography"/>
      </w:pPr>
      <w:r>
        <w:t xml:space="preserve">MacFadden, B. J. 2000.</w:t>
      </w:r>
      <w:r>
        <w:t xml:space="preserve"> </w:t>
      </w:r>
      <w:hyperlink r:id="rId204">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05"/>
    <w:bookmarkStart w:id="207" w:name="ref-macphee2011"/>
    <w:p>
      <w:pPr>
        <w:pStyle w:val="Bibliography"/>
      </w:pPr>
      <w:r>
        <w:t xml:space="preserve">MacPhee, R. D. E. 2011.</w:t>
      </w:r>
      <w:r>
        <w:t xml:space="preserve"> </w:t>
      </w:r>
      <w:hyperlink r:id="rId206">
        <w:r>
          <w:rPr>
            <w:rStyle w:val="Hyperlink"/>
          </w:rPr>
          <w:t xml:space="preserve">B</w:t>
        </w:r>
        <w:r>
          <w:rPr>
            <w:rStyle w:val="Hyperlink"/>
          </w:rPr>
          <w:t xml:space="preserve">asicranial</w:t>
        </w:r>
        <w:r>
          <w:rPr>
            <w:rStyle w:val="Hyperlink"/>
          </w:rPr>
          <w:t xml:space="preserve"> </w:t>
        </w:r>
        <w:r>
          <w:rPr>
            <w:rStyle w:val="Hyperlink"/>
          </w:rPr>
          <w:t xml:space="preserve">M</w:t>
        </w:r>
        <w:r>
          <w:rPr>
            <w:rStyle w:val="Hyperlink"/>
          </w:rPr>
          <w:t xml:space="preserve">orphology and</w:t>
        </w:r>
        <w:r>
          <w:rPr>
            <w:rStyle w:val="Hyperlink"/>
          </w:rPr>
          <w:t xml:space="preserve"> </w:t>
        </w:r>
        <w:r>
          <w:rPr>
            <w:rStyle w:val="Hyperlink"/>
          </w:rPr>
          <w:t xml:space="preserve">R</w:t>
        </w:r>
        <w:r>
          <w:rPr>
            <w:rStyle w:val="Hyperlink"/>
          </w:rPr>
          <w:t xml:space="preserve">elationships of</w:t>
        </w:r>
        <w:r>
          <w:rPr>
            <w:rStyle w:val="Hyperlink"/>
          </w:rPr>
          <w:t xml:space="preserve"> </w:t>
        </w:r>
        <w:r>
          <w:rPr>
            <w:rStyle w:val="Hyperlink"/>
          </w:rPr>
          <w:t xml:space="preserve">A</w:t>
        </w:r>
        <w:r>
          <w:rPr>
            <w:rStyle w:val="Hyperlink"/>
          </w:rPr>
          <w:t xml:space="preserve">ntillean</w:t>
        </w:r>
        <w:r>
          <w:rPr>
            <w:rStyle w:val="Hyperlink"/>
          </w:rPr>
          <w:t xml:space="preserve"> </w:t>
        </w:r>
        <w:r>
          <w:rPr>
            <w:rStyle w:val="Hyperlink"/>
          </w:rPr>
          <w:t xml:space="preserve">H</w:t>
        </w:r>
        <w:r>
          <w:rPr>
            <w:rStyle w:val="Hyperlink"/>
          </w:rPr>
          <w:t xml:space="preserve">eptaxodontidae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tenohystrica,</w:t>
        </w:r>
        <w:r>
          <w:rPr>
            <w:rStyle w:val="Hyperlink"/>
          </w:rPr>
          <w:t xml:space="preserve"> </w:t>
        </w:r>
        <w:r>
          <w:rPr>
            <w:rStyle w:val="Hyperlink"/>
          </w:rPr>
          <w:t xml:space="preserve">C</w:t>
        </w:r>
        <w:r>
          <w:rPr>
            <w:rStyle w:val="Hyperlink"/>
          </w:rPr>
          <w:t xml:space="preserve">aviomorpha)</w:t>
        </w:r>
      </w:hyperlink>
      <w:r>
        <w:t xml:space="preserve">. Bulletin of the American Museum of Natural History 2011:1–70.</w:t>
      </w:r>
    </w:p>
    <w:bookmarkEnd w:id="207"/>
    <w:bookmarkStart w:id="209" w:name="ref-maestri2017"/>
    <w:p>
      <w:pPr>
        <w:pStyle w:val="Bibliography"/>
      </w:pPr>
      <w:r>
        <w:t xml:space="preserve">Maestri, R., L. R. Monteiro, R. Fornel, N. S. Upham, B. D. Patterson, and T. R. O. de Freitas. 2017.</w:t>
      </w:r>
      <w:r>
        <w:t xml:space="preserve"> </w:t>
      </w:r>
      <w:hyperlink r:id="rId208">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09"/>
    <w:bookmarkStart w:id="211" w:name="ref-marion_bioluminescence_2025"/>
    <w:p>
      <w:pPr>
        <w:pStyle w:val="Bibliography"/>
      </w:pPr>
      <w:r>
        <w:t xml:space="preserve">Marion, A. F. P., F. L. Condamine, and G. Guinot. 2025.</w:t>
      </w:r>
      <w:r>
        <w:t xml:space="preserve"> </w:t>
      </w:r>
      <w:hyperlink r:id="rId210">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 Royal Society.</w:t>
      </w:r>
    </w:p>
    <w:bookmarkEnd w:id="211"/>
    <w:bookmarkStart w:id="213" w:name="ref-marivaux2022"/>
    <w:p>
      <w:pPr>
        <w:pStyle w:val="Bibliography"/>
      </w:pPr>
      <w:r>
        <w:t xml:space="preserve">Marivaux, L., L. W. V. López, M. Boivin, L. Da Cunha, P.-H. Fabre, R. Joannes-Boyau, G. Maincent, P. Münch, N. S. Stutz, J. Vélez-Juarbe, and P.-O. Antoine. 2022.</w:t>
      </w:r>
      <w:r>
        <w:t xml:space="preserve"> </w:t>
      </w:r>
      <w:hyperlink r:id="rId212">
        <w:r>
          <w:rPr>
            <w:rStyle w:val="Hyperlink"/>
          </w:rPr>
          <w:t xml:space="preserve">I</w:t>
        </w:r>
        <w:r>
          <w:rPr>
            <w:rStyle w:val="Hyperlink"/>
          </w:rPr>
          <w:t xml:space="preserve">ncisor enamel microstructure of</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 caviomorph hystricognathous rodents (</w:t>
        </w:r>
        <w:r>
          <w:rPr>
            <w:rStyle w:val="Hyperlink"/>
          </w:rPr>
          <w:t xml:space="preserve">O</w:t>
        </w:r>
        <w:r>
          <w:rPr>
            <w:rStyle w:val="Hyperlink"/>
          </w:rPr>
          <w:t xml:space="preserve">ctodontoidea and</w:t>
        </w:r>
        <w:r>
          <w:rPr>
            <w:rStyle w:val="Hyperlink"/>
          </w:rPr>
          <w:t xml:space="preserve"> </w:t>
        </w:r>
        <w:r>
          <w:rPr>
            <w:rStyle w:val="Hyperlink"/>
          </w:rPr>
          <w:t xml:space="preserve">C</w:t>
        </w:r>
        <w:r>
          <w:rPr>
            <w:rStyle w:val="Hyperlink"/>
          </w:rPr>
          <w:t xml:space="preserve">hinchilloidea)</w:t>
        </w:r>
      </w:hyperlink>
      <w:r>
        <w:t xml:space="preserve">. Journal of Mammalian Evolution 29:969–995.</w:t>
      </w:r>
    </w:p>
    <w:bookmarkEnd w:id="213"/>
    <w:bookmarkStart w:id="215" w:name="ref-marivaux_early_2020"/>
    <w:p>
      <w:pPr>
        <w:pStyle w:val="Bibliography"/>
      </w:pPr>
      <w:r>
        <w:t xml:space="preserve">Marivaux, L., J. Vélez-Juarbe, G. Merzeraud, F. Pujos, L. W. Viñola López, M. Boivin, H. Santos-Mercado, E. J. Cruz, A. Grajales, J. Padilla, K. I. Vélez-Rosado, M. Philippon, J.-L. Léticée, P. Münch, and P.-O. Antoine. 2020.</w:t>
      </w:r>
      <w:r>
        <w:t xml:space="preserve"> </w:t>
      </w:r>
      <w:hyperlink r:id="rId214">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15"/>
    <w:bookmarkStart w:id="217" w:name="ref-marshall1982"/>
    <w:p>
      <w:pPr>
        <w:pStyle w:val="Bibliography"/>
      </w:pPr>
      <w:r>
        <w:t xml:space="preserve">Marshall, L. G., S. D. Webb, J. J. Sepkoski, and D. M. Raup. 1982.</w:t>
      </w:r>
      <w:r>
        <w:t xml:space="preserve"> </w:t>
      </w:r>
      <w:hyperlink r:id="rId216">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17"/>
    <w:bookmarkStart w:id="219" w:name="ref-mcfarlane1998"/>
    <w:p>
      <w:pPr>
        <w:pStyle w:val="Bibliography"/>
      </w:pPr>
      <w:r>
        <w:t xml:space="preserve">McFarlane, D. A., R. D. E. MacPhee, and D. C. Ford. 1998.</w:t>
      </w:r>
      <w:r>
        <w:t xml:space="preserve"> </w:t>
      </w:r>
      <w:hyperlink r:id="rId218">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19"/>
    <w:bookmarkStart w:id="221" w:name="ref-mckinney1997"/>
    <w:p>
      <w:pPr>
        <w:pStyle w:val="Bibliography"/>
      </w:pPr>
      <w:r>
        <w:t xml:space="preserve">McKinney, M. L. 1997.</w:t>
      </w:r>
      <w:r>
        <w:t xml:space="preserve"> </w:t>
      </w:r>
      <w:hyperlink r:id="rId220">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21"/>
    <w:bookmarkStart w:id="223" w:name="ref-meiri2007"/>
    <w:p>
      <w:pPr>
        <w:pStyle w:val="Bibliography"/>
      </w:pPr>
      <w:r>
        <w:t xml:space="preserve">Meiri, S., N. Cooper, and A. Purvis. 2007.</w:t>
      </w:r>
      <w:r>
        <w:t xml:space="preserve"> </w:t>
      </w:r>
      <w:hyperlink r:id="rId222">
        <w:r>
          <w:rPr>
            <w:rStyle w:val="Hyperlink"/>
          </w:rPr>
          <w:t xml:space="preserve">T</w:t>
        </w:r>
        <w:r>
          <w:rPr>
            <w:rStyle w:val="Hyperlink"/>
          </w:rPr>
          <w:t xml:space="preserve">he island rule: Made to be broken?</w:t>
        </w:r>
      </w:hyperlink>
      <w:r>
        <w:t xml:space="preserve"> Proceedings of the Royal Society B: Biological Sciences 275:141–148.</w:t>
      </w:r>
    </w:p>
    <w:bookmarkEnd w:id="223"/>
    <w:bookmarkStart w:id="225" w:name="ref-meseguer2020"/>
    <w:p>
      <w:pPr>
        <w:pStyle w:val="Bibliography"/>
      </w:pPr>
      <w:r>
        <w:t xml:space="preserve">Meseguer, A. S., and F. L. Condamine. 2020.</w:t>
      </w:r>
      <w:r>
        <w:t xml:space="preserve"> </w:t>
      </w:r>
      <w:hyperlink r:id="rId224">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25"/>
    <w:bookmarkStart w:id="227" w:name="ref-miller2020"/>
    <w:p>
      <w:pPr>
        <w:pStyle w:val="Bibliography"/>
      </w:pPr>
      <w:r>
        <w:t xml:space="preserve">Miller, K. G., J. V. Browning, W. J. Schmelz, R. E. Kopp, G. S. Mountain, and J. D. Wright. 2020.</w:t>
      </w:r>
      <w:r>
        <w:t xml:space="preserve"> </w:t>
      </w:r>
      <w:hyperlink r:id="rId226">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27"/>
    <w:bookmarkStart w:id="229" w:name="ref-missagia2023"/>
    <w:p>
      <w:pPr>
        <w:pStyle w:val="Bibliography"/>
      </w:pPr>
      <w:r>
        <w:t xml:space="preserve">Missagia, R. V., D. M. Casali, B. D. Patterson, and F. A. Perini. 2023.</w:t>
      </w:r>
      <w:r>
        <w:t xml:space="preserve"> </w:t>
      </w:r>
      <w:hyperlink r:id="rId228">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29"/>
    <w:bookmarkStart w:id="231" w:name="ref-moharrek2022"/>
    <w:p>
      <w:pPr>
        <w:pStyle w:val="Bibliography"/>
      </w:pPr>
      <w:r>
        <w:t xml:space="preserve">Moharrek, F., P. D. Taylor, D. Silvestro, H. L. Jenkins, D. P. Gordon, and A. Waeschenbach. 2022.</w:t>
      </w:r>
      <w:r>
        <w:t xml:space="preserve"> </w:t>
      </w:r>
      <w:hyperlink r:id="rId230">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31"/>
    <w:bookmarkStart w:id="233" w:name="ref-mones1982"/>
    <w:p>
      <w:pPr>
        <w:pStyle w:val="Bibliography"/>
      </w:pPr>
      <w:r>
        <w:t xml:space="preserve">Mones, A. 1982.</w:t>
      </w:r>
      <w:r>
        <w:t xml:space="preserve"> </w:t>
      </w:r>
      <w:hyperlink r:id="rId232">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33"/>
    <w:bookmarkStart w:id="235" w:name="ref-morlon2024"/>
    <w:p>
      <w:pPr>
        <w:pStyle w:val="Bibliography"/>
      </w:pPr>
      <w:r>
        <w:t xml:space="preserve">Morlon, H., J. Andréoletti, J. Barido-Sottani, S. Lambert, B. Perez-Lamarque, I. Quintero, V. Senderov, and P. Veron. 2024.</w:t>
      </w:r>
      <w:r>
        <w:t xml:space="preserve"> </w:t>
      </w:r>
      <w:r>
        <w:t xml:space="preserve">P</w:t>
      </w:r>
      <w:r>
        <w:t xml:space="preserve">hylogenetic</w:t>
      </w:r>
      <w:r>
        <w:t xml:space="preserve"> </w:t>
      </w:r>
      <w:r>
        <w:t xml:space="preserve">I</w:t>
      </w:r>
      <w:r>
        <w:t xml:space="preserve">nsights into</w:t>
      </w:r>
      <w:r>
        <w:t xml:space="preserve"> </w:t>
      </w:r>
      <w:r>
        <w:t xml:space="preserve">D</w:t>
      </w:r>
      <w:r>
        <w:t xml:space="preserve">iversification. Annual Review of Ecology, Evolution, and Systematics, doi:</w:t>
      </w:r>
      <w:r>
        <w:t xml:space="preserve"> </w:t>
      </w:r>
      <w:hyperlink r:id="rId234">
        <w:r>
          <w:rPr>
            <w:rStyle w:val="Hyperlink"/>
          </w:rPr>
          <w:t xml:space="preserve">10.1146/annurev-ecolsys-102722-020508</w:t>
        </w:r>
      </w:hyperlink>
      <w:r>
        <w:t xml:space="preserve">.</w:t>
      </w:r>
    </w:p>
    <w:bookmarkEnd w:id="235"/>
    <w:bookmarkStart w:id="237" w:name="ref-muñoz2023"/>
    <w:p>
      <w:pPr>
        <w:pStyle w:val="Bibliography"/>
      </w:pPr>
      <w:r>
        <w:t xml:space="preserve">Muñoz, C. O. R., R. Bonini, S. Hemming, M. Cenizo, U. F. J. Pardiñas, and F. J. Prevosti. 2023.</w:t>
      </w:r>
      <w:r>
        <w:t xml:space="preserve"> </w:t>
      </w:r>
      <w:hyperlink r:id="rId236">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37"/>
    <w:bookmarkStart w:id="239" w:name="ref-nascimento2025"/>
    <w:p>
      <w:pPr>
        <w:pStyle w:val="Bibliography"/>
      </w:pPr>
      <w:r>
        <w:t xml:space="preserve">Nascimento, J. C. S., and M. M. Pires. 2025.</w:t>
      </w:r>
      <w:r>
        <w:t xml:space="preserve"> </w:t>
      </w:r>
      <w:hyperlink r:id="rId238">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 qpaf091.</w:t>
      </w:r>
    </w:p>
    <w:bookmarkEnd w:id="239"/>
    <w:bookmarkStart w:id="240" w:name="ref-nasif2013"/>
    <w:p>
      <w:pPr>
        <w:pStyle w:val="Bibliography"/>
      </w:pPr>
      <w:r>
        <w:t xml:space="preserve">Nasif, N. L., A. M. Candela, L. Rasia, and M. C. M. Jaén.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Pp. 147–163</w:t>
      </w:r>
      <w:r>
        <w:t xml:space="preserve"> </w:t>
      </w:r>
      <w:r>
        <w:rPr>
          <w:i/>
          <w:iCs/>
        </w:rPr>
        <w:t xml:space="preserve">in</w:t>
      </w:r>
      <w:r>
        <w:t xml:space="preserve">.</w:t>
      </w:r>
    </w:p>
    <w:bookmarkEnd w:id="240"/>
    <w:bookmarkStart w:id="242" w:name="ref-ogg2020"/>
    <w:p>
      <w:pPr>
        <w:pStyle w:val="Bibliography"/>
      </w:pPr>
      <w:r>
        <w:t xml:space="preserve">Ogg, J. G. 2020.</w:t>
      </w:r>
      <w:r>
        <w:t xml:space="preserve"> </w:t>
      </w:r>
      <w:hyperlink r:id="rId241">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Pp. 159–192</w:t>
      </w:r>
      <w:r>
        <w:t xml:space="preserve"> </w:t>
      </w:r>
      <w:r>
        <w:rPr>
          <w:i/>
          <w:iCs/>
        </w:rPr>
        <w:t xml:space="preserve">in</w:t>
      </w:r>
      <w:r>
        <w:t xml:space="preserve"> </w:t>
      </w:r>
      <w:r>
        <w:t xml:space="preserve">F. M. Gradstein, J. G. Ogg, M. D. Schmitz, and G. M. Ogg, eds. Geologic time scale 2020. Elsevier.</w:t>
      </w:r>
    </w:p>
    <w:bookmarkEnd w:id="242"/>
    <w:bookmarkStart w:id="244" w:name="ref-patton2015"/>
    <w:p>
      <w:pPr>
        <w:pStyle w:val="Bibliography"/>
      </w:pPr>
      <w:r>
        <w:t xml:space="preserve">Patton, J. L., U. F. J. Pardiñas, and G. D’Elía. 2015.</w:t>
      </w:r>
      <w:r>
        <w:t xml:space="preserve"> </w:t>
      </w:r>
      <w:hyperlink r:id="rId243">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University of Chicago Press, Chicago, IL.</w:t>
      </w:r>
    </w:p>
    <w:bookmarkEnd w:id="244"/>
    <w:bookmarkStart w:id="246" w:name="ref-pérez_new_2010"/>
    <w:p>
      <w:pPr>
        <w:pStyle w:val="Bibliography"/>
      </w:pPr>
      <w:r>
        <w:t xml:space="preserve">Pérez, M. E. 2010.</w:t>
      </w:r>
      <w:r>
        <w:t xml:space="preserve"> </w:t>
      </w:r>
      <w:hyperlink r:id="rId245">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46"/>
    <w:bookmarkStart w:id="248" w:name="ref-pimiento2019"/>
    <w:p>
      <w:pPr>
        <w:pStyle w:val="Bibliography"/>
      </w:pPr>
      <w:r>
        <w:t xml:space="preserve">Pimiento, C., J. L. Cantalapiedra, K. Shimada, D. J. Field, and J. B. Smaers. 2019.</w:t>
      </w:r>
      <w:r>
        <w:t xml:space="preserve"> </w:t>
      </w:r>
      <w:hyperlink r:id="rId247">
        <w:r>
          <w:rPr>
            <w:rStyle w:val="Hyperlink"/>
          </w:rPr>
          <w:t xml:space="preserve">E</w:t>
        </w:r>
        <w:r>
          <w:rPr>
            <w:rStyle w:val="Hyperlink"/>
          </w:rPr>
          <w:t xml:space="preserve">volutionary pathways toward gigantism in sharks and rays</w:t>
        </w:r>
      </w:hyperlink>
      <w:r>
        <w:t xml:space="preserve">. Evolution 73:588–599.</w:t>
      </w:r>
    </w:p>
    <w:bookmarkEnd w:id="248"/>
    <w:bookmarkStart w:id="250" w:name="ref-quental2013"/>
    <w:p>
      <w:pPr>
        <w:pStyle w:val="Bibliography"/>
      </w:pPr>
      <w:r>
        <w:t xml:space="preserve">Quental, T. B., and C. R. Marshall. 2013.</w:t>
      </w:r>
      <w:r>
        <w:t xml:space="preserve"> </w:t>
      </w:r>
      <w:hyperlink r:id="rId249">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50"/>
    <w:bookmarkStart w:id="252" w:name="ref-quintero_loss_2025"/>
    <w:p>
      <w:pPr>
        <w:pStyle w:val="Bibliography"/>
      </w:pPr>
      <w:r>
        <w:t xml:space="preserve">Quintero, I., J. Andréoletti, D. Silvestro, and H. Morlon. 2025.</w:t>
      </w:r>
      <w:r>
        <w:t xml:space="preserve"> </w:t>
      </w:r>
      <w:hyperlink r:id="rId251">
        <w:r>
          <w:rPr>
            <w:rStyle w:val="Hyperlink"/>
          </w:rPr>
          <w:t xml:space="preserve">L</w:t>
        </w:r>
        <w:r>
          <w:rPr>
            <w:rStyle w:val="Hyperlink"/>
          </w:rPr>
          <w:t xml:space="preserve">oss of macroevolutionary species fitness explains the rise and fall of clades</w:t>
        </w:r>
      </w:hyperlink>
      <w:r>
        <w:t xml:space="preserve">. Nat Ecol Evol 1–12. Nature Publishing Group.</w:t>
      </w:r>
    </w:p>
    <w:bookmarkEnd w:id="252"/>
    <w:bookmarkStart w:id="254" w:name="ref-quintero2023"/>
    <w:p>
      <w:pPr>
        <w:pStyle w:val="Bibliography"/>
      </w:pPr>
      <w:r>
        <w:t xml:space="preserve">Quintero, I., M. J. Landis, W. Jetz, and H. Morlon. 2023.</w:t>
      </w:r>
      <w:r>
        <w:t xml:space="preserve"> </w:t>
      </w:r>
      <w:hyperlink r:id="rId253">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54"/>
    <w:bookmarkStart w:id="256" w:name="ref-rabosky2010"/>
    <w:p>
      <w:pPr>
        <w:pStyle w:val="Bibliography"/>
      </w:pPr>
      <w:r>
        <w:t xml:space="preserve">Rabosky, D. L. 2010.</w:t>
      </w:r>
      <w:r>
        <w:t xml:space="preserve"> </w:t>
      </w:r>
      <w:hyperlink r:id="rId255">
        <w:r>
          <w:rPr>
            <w:rStyle w:val="Hyperlink"/>
          </w:rPr>
          <w:t xml:space="preserve">E</w:t>
        </w:r>
        <w:r>
          <w:rPr>
            <w:rStyle w:val="Hyperlink"/>
          </w:rPr>
          <w:t xml:space="preserve">xtinction rates should not be estimated from molecular phylogenies</w:t>
        </w:r>
      </w:hyperlink>
      <w:r>
        <w:t xml:space="preserve">. Evolution 64:1816–1824.</w:t>
      </w:r>
    </w:p>
    <w:bookmarkEnd w:id="256"/>
    <w:bookmarkStart w:id="258" w:name="ref-rabosky2013"/>
    <w:p>
      <w:pPr>
        <w:pStyle w:val="Bibliography"/>
      </w:pPr>
      <w:r>
        <w:t xml:space="preserve">Rabosky, D. L., F. Santini, J. Eastman, S. A. Smith, B. Sidlauskas, J. Chang, and M. E. Alfaro. 2013.</w:t>
      </w:r>
      <w:r>
        <w:t xml:space="preserve"> </w:t>
      </w:r>
      <w:hyperlink r:id="rId257">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58"/>
    <w:bookmarkStart w:id="259" w:name="ref-rasia2026"/>
    <w:p>
      <w:pPr>
        <w:pStyle w:val="Bibliography"/>
      </w:pPr>
      <w:r>
        <w:t xml:space="preserve">Rasia, L. 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59"/>
    <w:bookmarkStart w:id="261" w:name="ref-rasia_comprehensive_2021"/>
    <w:p>
      <w:pPr>
        <w:pStyle w:val="Bibliography"/>
      </w:pPr>
      <w:r>
        <w:t xml:space="preserve">Rasia, L. L., A. M. Candela, and C. Cañón. 2021.</w:t>
      </w:r>
      <w:r>
        <w:t xml:space="preserve"> </w:t>
      </w:r>
      <w:hyperlink r:id="rId260">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61"/>
    <w:bookmarkStart w:id="263" w:name="ref-rasia2024"/>
    <w:p>
      <w:pPr>
        <w:pStyle w:val="Bibliography"/>
      </w:pPr>
      <w:r>
        <w:t xml:space="preserve">Rasia, L. L., C. I. Montalvo, R. Sostillo, L. Kerber, and R. L. Tomassini. 2024.</w:t>
      </w:r>
      <w:r>
        <w:t xml:space="preserve"> </w:t>
      </w:r>
      <w:hyperlink r:id="rId262">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63"/>
    <w:bookmarkStart w:id="265" w:name="ref-raup1986"/>
    <w:p>
      <w:pPr>
        <w:pStyle w:val="Bibliography"/>
      </w:pPr>
      <w:r>
        <w:t xml:space="preserve">Raup, D. M. 1986.</w:t>
      </w:r>
      <w:r>
        <w:t xml:space="preserve"> </w:t>
      </w:r>
      <w:hyperlink r:id="rId264">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65"/>
    <w:bookmarkStart w:id="267" w:name="ref-rinderknecht2008"/>
    <w:p>
      <w:pPr>
        <w:pStyle w:val="Bibliography"/>
      </w:pPr>
      <w:r>
        <w:t xml:space="preserve">Rinderknecht, A., and R. E. Blanco. 2008.</w:t>
      </w:r>
      <w:r>
        <w:t xml:space="preserve"> </w:t>
      </w:r>
      <w:hyperlink r:id="rId266">
        <w:r>
          <w:rPr>
            <w:rStyle w:val="Hyperlink"/>
          </w:rPr>
          <w:t xml:space="preserve">T</w:t>
        </w:r>
        <w:r>
          <w:rPr>
            <w:rStyle w:val="Hyperlink"/>
          </w:rPr>
          <w:t xml:space="preserve">he largest fossil rodent</w:t>
        </w:r>
      </w:hyperlink>
      <w:r>
        <w:t xml:space="preserve">. Proceedings of the Royal Society B: Biological Sciences 275:923–928.</w:t>
      </w:r>
    </w:p>
    <w:bookmarkEnd w:id="267"/>
    <w:bookmarkStart w:id="269" w:name="ref-robinet2026"/>
    <w:p>
      <w:pPr>
        <w:pStyle w:val="Bibliography"/>
      </w:pPr>
      <w:r>
        <w:t xml:space="preserve">Robinet, C., M. Boivin, G. Merceron, A. M. Candela, R. Salas-Gismondi, P.-O. Antoine, and L. Marivaux. 2026a.</w:t>
      </w:r>
      <w:r>
        <w:t xml:space="preserve"> </w:t>
      </w:r>
      <w:hyperlink r:id="rId268">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69"/>
    <w:bookmarkStart w:id="270" w:name="ref-robinet2026diente"/>
    <w:p>
      <w:pPr>
        <w:pStyle w:val="Bibliography"/>
      </w:pPr>
      <w:r>
        <w:t xml:space="preserve">Robinet, C., G. Merceron, A. M. Candela, and L. Marivaux.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270"/>
    <w:bookmarkStart w:id="272" w:name="ref-robinet2020"/>
    <w:p>
      <w:pPr>
        <w:pStyle w:val="Bibliography"/>
      </w:pPr>
      <w:r>
        <w:t xml:space="preserve">Robinet, C., G. Merceron, A. M. Candela, and L. Marivaux. 2020.</w:t>
      </w:r>
      <w:r>
        <w:t xml:space="preserve"> </w:t>
      </w:r>
      <w:hyperlink r:id="rId271">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272"/>
    <w:bookmarkStart w:id="274" w:name="ref-rowe2011"/>
    <w:p>
      <w:pPr>
        <w:pStyle w:val="Bibliography"/>
      </w:pPr>
      <w:r>
        <w:t xml:space="preserve">Rowe, K. C., K. P. Aplin, P. R. Baverstock, and C. Moritz. 2011.</w:t>
      </w:r>
      <w:r>
        <w:t xml:space="preserve"> </w:t>
      </w:r>
      <w:hyperlink r:id="rId273">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274"/>
    <w:bookmarkStart w:id="276" w:name="ref-ruta2013"/>
    <w:p>
      <w:pPr>
        <w:pStyle w:val="Bibliography"/>
      </w:pPr>
      <w:r>
        <w:t xml:space="preserve">Ruta, M., K. D. Angielczyk, J. Fröbisch, and M. J. Benton. 2013.</w:t>
      </w:r>
      <w:r>
        <w:t xml:space="preserve"> </w:t>
      </w:r>
      <w:hyperlink r:id="rId275">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276"/>
    <w:bookmarkStart w:id="278" w:name="ref-salas-gismondi2015"/>
    <w:p>
      <w:pPr>
        <w:pStyle w:val="Bibliography"/>
      </w:pPr>
      <w:r>
        <w:t xml:space="preserve">Salas-Gismondi, R., J. J. Flynn, P. Baby, J. V. Tejada-Lara, F. P. Wesselingh, and P.-O. Antoine. 2015.</w:t>
      </w:r>
      <w:r>
        <w:t xml:space="preserve"> </w:t>
      </w:r>
      <w:hyperlink r:id="rId277">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278"/>
    <w:bookmarkStart w:id="280" w:name="ref-sánchez-villagra2003"/>
    <w:p>
      <w:pPr>
        <w:pStyle w:val="Bibliography"/>
      </w:pPr>
      <w:r>
        <w:t xml:space="preserve">Sánchez-Villagra, M. R., O. Aguilera, and I. Horovitz. 2003.</w:t>
      </w:r>
      <w:r>
        <w:t xml:space="preserve"> </w:t>
      </w:r>
      <w:hyperlink r:id="rId279">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280"/>
    <w:bookmarkStart w:id="282" w:name="ref-sander2011"/>
    <w:p>
      <w:pPr>
        <w:pStyle w:val="Bibliography"/>
      </w:pPr>
      <w:r>
        <w:t xml:space="preserve">Sander, P. M., A. Christian, M. Clauss, R. Fechner, C. T. Gee, E.-M. Griebeler, H.-C. Gunga, J. Hummel, H. Mallison, S. F. Perry, H. Preuschoft, O. W. M. Rauhut, K. Remes, T. Tütken, O. Wings, and U. Witzel. 2011.</w:t>
      </w:r>
      <w:r>
        <w:t xml:space="preserve"> </w:t>
      </w:r>
      <w:hyperlink r:id="rId281">
        <w:r>
          <w:rPr>
            <w:rStyle w:val="Hyperlink"/>
          </w:rPr>
          <w:t xml:space="preserve">B</w:t>
        </w:r>
        <w:r>
          <w:rPr>
            <w:rStyle w:val="Hyperlink"/>
          </w:rPr>
          <w:t xml:space="preserve">iology of the sauropod dinosaurs: the evolution of gigantism</w:t>
        </w:r>
      </w:hyperlink>
      <w:r>
        <w:t xml:space="preserve">. Biological Reviews 86:117–155.</w:t>
      </w:r>
    </w:p>
    <w:bookmarkEnd w:id="282"/>
    <w:bookmarkStart w:id="284" w:name="ref-saulsbury2024"/>
    <w:p>
      <w:pPr>
        <w:pStyle w:val="Bibliography"/>
      </w:pPr>
      <w:r>
        <w:t xml:space="preserve">Saulsbury, J. G., C. T. Parins-Fukuchi, C. J. Wilson, T. Reitan, and L. H. Liow. 2024.</w:t>
      </w:r>
      <w:r>
        <w:t xml:space="preserve"> </w:t>
      </w:r>
      <w:hyperlink r:id="rId283">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284"/>
    <w:bookmarkStart w:id="286" w:name="ref-selkin2015"/>
    <w:p>
      <w:pPr>
        <w:pStyle w:val="Bibliography"/>
      </w:pPr>
      <w:r>
        <w:t xml:space="preserve">Selkin, P. A., C. A. E. Strömberg, R. Dunn, M. J. Kohn, A. A. Carlini, K. S. Davies-Vollum, and R. H. Madden. 2015.</w:t>
      </w:r>
      <w:r>
        <w:t xml:space="preserve"> </w:t>
      </w:r>
      <w:hyperlink r:id="rId285">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286"/>
    <w:bookmarkStart w:id="288" w:name="ref-silvestro2015"/>
    <w:p>
      <w:pPr>
        <w:pStyle w:val="Bibliography"/>
      </w:pPr>
      <w:r>
        <w:t xml:space="preserve">Silvestro, D., A. Antonelli, N. Salamin, and T. B. Quental. 2015a.</w:t>
      </w:r>
      <w:r>
        <w:t xml:space="preserve"> </w:t>
      </w:r>
      <w:hyperlink r:id="rId287">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288"/>
    <w:bookmarkStart w:id="290" w:name="ref-silvestro_angiosperm_2015"/>
    <w:p>
      <w:pPr>
        <w:pStyle w:val="Bibliography"/>
      </w:pPr>
      <w:r>
        <w:t xml:space="preserve">Silvestro, D., B. Cascales-Miñana, C. D. Bacon, and A. Antonelli. 2015b.</w:t>
      </w:r>
      <w:r>
        <w:t xml:space="preserve"> </w:t>
      </w:r>
      <w:hyperlink r:id="rId289">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290"/>
    <w:bookmarkStart w:id="292" w:name="ref-silvestro2019"/>
    <w:p>
      <w:pPr>
        <w:pStyle w:val="Bibliography"/>
      </w:pPr>
      <w:r>
        <w:t xml:space="preserve">Silvestro, D., N. Salamin, A. Antonelli, and X. Meyer. 2019.</w:t>
      </w:r>
      <w:r>
        <w:t xml:space="preserve"> </w:t>
      </w:r>
      <w:hyperlink r:id="rId291">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292"/>
    <w:bookmarkStart w:id="294" w:name="ref-silvestro2014"/>
    <w:p>
      <w:pPr>
        <w:pStyle w:val="Bibliography"/>
      </w:pPr>
      <w:r>
        <w:t xml:space="preserve">Silvestro, D., N. Salamin, and J. Schnitzler. 2014.</w:t>
      </w:r>
      <w:r>
        <w:t xml:space="preserve"> </w:t>
      </w:r>
      <w:hyperlink r:id="rId293">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294"/>
    <w:bookmarkStart w:id="295" w:name="ref-simpson1980"/>
    <w:p>
      <w:pPr>
        <w:pStyle w:val="Bibliography"/>
      </w:pPr>
      <w:r>
        <w:t xml:space="preserve">Simpson, G. 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 Yale University Press, New Haven.</w:t>
      </w:r>
    </w:p>
    <w:bookmarkEnd w:id="295"/>
    <w:bookmarkStart w:id="296" w:name="ref-simpson1953"/>
    <w:p>
      <w:pPr>
        <w:pStyle w:val="Bibliography"/>
      </w:pPr>
      <w:r>
        <w:t xml:space="preserve">Simpson, G. 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 Columbia University Press.</w:t>
      </w:r>
    </w:p>
    <w:bookmarkEnd w:id="296"/>
    <w:bookmarkStart w:id="298" w:name="ref-solórzano2024"/>
    <w:p>
      <w:pPr>
        <w:pStyle w:val="Bibliography"/>
      </w:pPr>
      <w:r>
        <w:t xml:space="preserve">Solórzano, A., M. Núñez-Flores, and E. Rodríguez-Serrano. 2024.</w:t>
      </w:r>
      <w:r>
        <w:t xml:space="preserve"> </w:t>
      </w:r>
      <w:hyperlink r:id="rId297">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 116–132.</w:t>
      </w:r>
    </w:p>
    <w:bookmarkEnd w:id="298"/>
    <w:bookmarkStart w:id="300" w:name="ref-stebbins1981"/>
    <w:p>
      <w:pPr>
        <w:pStyle w:val="Bibliography"/>
      </w:pPr>
      <w:r>
        <w:t xml:space="preserve">Stebbins, G. L. 1981.</w:t>
      </w:r>
      <w:r>
        <w:t xml:space="preserve"> </w:t>
      </w:r>
      <w:hyperlink r:id="rId299">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00"/>
    <w:bookmarkStart w:id="302" w:name="ref-tardif2025"/>
    <w:p>
      <w:pPr>
        <w:pStyle w:val="Bibliography"/>
      </w:pPr>
      <w:r>
        <w:t xml:space="preserve">Tardif, D., F. L. Condamine, S. J. R. Streiff, P. Sepulchre, and T. L. P. Couvreur. 2025.</w:t>
      </w:r>
      <w:r>
        <w:t xml:space="preserve"> </w:t>
      </w:r>
      <w:hyperlink r:id="rId301">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02"/>
    <w:bookmarkStart w:id="304" w:name="ref-tarquini2022"/>
    <w:p>
      <w:pPr>
        <w:pStyle w:val="Bibliography"/>
      </w:pPr>
      <w:r>
        <w:t xml:space="preserve">Tarquini, S. D., S. Ladevèze, and F. J. Prevosti. 2022.</w:t>
      </w:r>
      <w:r>
        <w:t xml:space="preserve"> </w:t>
      </w:r>
      <w:hyperlink r:id="rId303">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04"/>
    <w:bookmarkStart w:id="306" w:name="ref-troyer2022"/>
    <w:p>
      <w:pPr>
        <w:pStyle w:val="Bibliography"/>
      </w:pPr>
      <w:r>
        <w:t xml:space="preserve">Troyer, E. M., R. Betancur-R, L. C. Hughes, M. Westneat, G. Carnevale, W. T. White, J. J. Pogonoski, J. C. Tyler, C. C. Baldwin, G. Ortí, A. Brinkworth, J. Clavel, and D. Arcila. 2022.</w:t>
      </w:r>
      <w:r>
        <w:t xml:space="preserve"> </w:t>
      </w:r>
      <w:hyperlink r:id="rId305">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06"/>
    <w:bookmarkStart w:id="308" w:name="ref-upham2019"/>
    <w:p>
      <w:pPr>
        <w:pStyle w:val="Bibliography"/>
      </w:pPr>
      <w:r>
        <w:t xml:space="preserve">Upham, N. S., J. A. Esselstyn, and W. Jetz. 2019.</w:t>
      </w:r>
      <w:r>
        <w:t xml:space="preserve"> </w:t>
      </w:r>
      <w:hyperlink r:id="rId307">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08"/>
    <w:bookmarkStart w:id="310" w:name="ref-upham2026"/>
    <w:p>
      <w:pPr>
        <w:pStyle w:val="Bibliography"/>
      </w:pPr>
      <w:r>
        <w:t xml:space="preserve">Upham, N., C. Burgin, J. Widness, S. Liphardt, C. Parker, M. Becker, I. Rochon, D. Huckaby, and J. Zijlstra. 2026.</w:t>
      </w:r>
      <w:r>
        <w:t xml:space="preserve"> </w:t>
      </w:r>
      <w:hyperlink r:id="rId309">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10"/>
    <w:bookmarkStart w:id="312" w:name="ref-valenzuela-toro2025"/>
    <w:p>
      <w:pPr>
        <w:pStyle w:val="Bibliography"/>
      </w:pPr>
      <w:r>
        <w:t xml:space="preserve">Valenzuela-Toro, A. M., N. D. Pyenson, J. Velez-Juarbe, and M. E. Suárez. 2025.</w:t>
      </w:r>
      <w:r>
        <w:t xml:space="preserve"> </w:t>
      </w:r>
      <w:hyperlink r:id="rId311">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12"/>
    <w:bookmarkStart w:id="314" w:name="ref-vallejos-garrido2023"/>
    <w:p>
      <w:pPr>
        <w:pStyle w:val="Bibliography"/>
      </w:pPr>
      <w:r>
        <w:t xml:space="preserve">Vallejos-Garrido, P., K. Pino, N. Espinoza-Aravena, A. Pari, O. Inostroza-Michael, M. Toledo-Muñoz, B. Castillo-Ravanal, V. Romero-Alarcón, C. E. Hernández, R. E. Palma, and E. Rodríguez-Serrano. 2023.</w:t>
      </w:r>
      <w:r>
        <w:t xml:space="preserve"> </w:t>
      </w:r>
      <w:hyperlink r:id="rId313">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14"/>
    <w:bookmarkStart w:id="316" w:name="ref-vanvalen1960"/>
    <w:p>
      <w:pPr>
        <w:pStyle w:val="Bibliography"/>
      </w:pPr>
      <w:r>
        <w:t xml:space="preserve">Van Valen, L. 1960.</w:t>
      </w:r>
      <w:r>
        <w:t xml:space="preserve"> </w:t>
      </w:r>
      <w:hyperlink r:id="rId315">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16"/>
    <w:bookmarkStart w:id="317" w:name="ref-vanvalen1973"/>
    <w:p>
      <w:pPr>
        <w:pStyle w:val="Bibliography"/>
      </w:pPr>
      <w:r>
        <w:t xml:space="preserve">Van Valen, L. 1973.</w:t>
      </w:r>
      <w:r>
        <w:t xml:space="preserve"> </w:t>
      </w:r>
      <w:r>
        <w:t xml:space="preserve">A</w:t>
      </w:r>
      <w:r>
        <w:t xml:space="preserve"> </w:t>
      </w:r>
      <w:r>
        <w:t xml:space="preserve">new evolutionary law. Evolutionary Theory 1–30.</w:t>
      </w:r>
    </w:p>
    <w:bookmarkEnd w:id="317"/>
    <w:bookmarkStart w:id="319" w:name="ref-vermeij1973"/>
    <w:p>
      <w:pPr>
        <w:pStyle w:val="Bibliography"/>
      </w:pPr>
      <w:r>
        <w:t xml:space="preserve">Vermeij, G. J. 1973a.</w:t>
      </w:r>
      <w:r>
        <w:t xml:space="preserve"> </w:t>
      </w:r>
      <w:hyperlink r:id="rId318">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19"/>
    <w:bookmarkStart w:id="321" w:name="ref-vermeij_pnas_1973"/>
    <w:p>
      <w:pPr>
        <w:pStyle w:val="Bibliography"/>
      </w:pPr>
      <w:r>
        <w:t xml:space="preserve">Vermeij, G. J. 1973b.</w:t>
      </w:r>
      <w:r>
        <w:t xml:space="preserve"> </w:t>
      </w:r>
      <w:hyperlink r:id="rId320">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 Proceedings of the National Academy of Sciences.</w:t>
      </w:r>
    </w:p>
    <w:bookmarkEnd w:id="321"/>
    <w:bookmarkStart w:id="322" w:name="ref-vucetich2015"/>
    <w:p>
      <w:pPr>
        <w:pStyle w:val="Bibliography"/>
      </w:pPr>
      <w:r>
        <w:t xml:space="preserve">Vucetich, M. G., M. Arnal, C. M. Deschamps, and M. E. Pérez. 2015.</w:t>
      </w:r>
      <w:r>
        <w:t xml:space="preserve"> </w:t>
      </w:r>
      <w:r>
        <w:t xml:space="preserve">A</w:t>
      </w:r>
      <w:r>
        <w:t xml:space="preserve"> </w:t>
      </w:r>
      <w:r>
        <w:t xml:space="preserve">brief history of caviomorph rodents as told by the fossil record. Pp. 11–62</w:t>
      </w:r>
      <w:r>
        <w:t xml:space="preserve"> </w:t>
      </w:r>
      <w:r>
        <w:rPr>
          <w:i/>
          <w:iCs/>
        </w:rPr>
        <w:t xml:space="preserve">in</w:t>
      </w:r>
      <w:r>
        <w:t xml:space="preserve"> </w:t>
      </w:r>
      <w:r>
        <w:t xml:space="preserve">A. I. Vassalo and D. Antenucci, eds. Biology of caviomorph rodents: Diversity and evolution. Sociedad Argentina para el Estudio de los Mammíferos (SAREM), Buenos Aires, Argentina.</w:t>
      </w:r>
    </w:p>
    <w:bookmarkEnd w:id="322"/>
    <w:bookmarkStart w:id="323" w:name="ref-wallace1878"/>
    <w:p>
      <w:pPr>
        <w:pStyle w:val="Bibliography"/>
      </w:pPr>
      <w:r>
        <w:t xml:space="preserve">Wallace, A. 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23"/>
    <w:bookmarkStart w:id="325" w:name="ref-warnock2020"/>
    <w:p>
      <w:pPr>
        <w:pStyle w:val="Bibliography"/>
      </w:pPr>
      <w:r>
        <w:t xml:space="preserve">Warnock, R. C. M., T. A. Heath, and T. Stadler. 2020.</w:t>
      </w:r>
      <w:r>
        <w:t xml:space="preserve"> </w:t>
      </w:r>
      <w:hyperlink r:id="rId324">
        <w:r>
          <w:rPr>
            <w:rStyle w:val="Hyperlink"/>
          </w:rPr>
          <w:t xml:space="preserve">A</w:t>
        </w:r>
        <w:r>
          <w:rPr>
            <w:rStyle w:val="Hyperlink"/>
          </w:rPr>
          <w:t xml:space="preserve">ssessing the impact of incomplete species sampling on estimates of speciation and extinction rates</w:t>
        </w:r>
      </w:hyperlink>
      <w:r>
        <w:t xml:space="preserve">. Paleobiology 46:137–157.</w:t>
      </w:r>
    </w:p>
    <w:bookmarkEnd w:id="325"/>
    <w:bookmarkStart w:id="326" w:name="ref-webb1985"/>
    <w:p>
      <w:pPr>
        <w:pStyle w:val="Bibliography"/>
      </w:pPr>
      <w:r>
        <w:t xml:space="preserve">Webb, S. 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w:t>
      </w:r>
      <w:r>
        <w:t xml:space="preserve"> </w:t>
      </w:r>
      <w:r>
        <w:rPr>
          <w:i/>
          <w:iCs/>
        </w:rPr>
        <w:t xml:space="preserve">in</w:t>
      </w:r>
      <w:r>
        <w:t xml:space="preserve"> </w:t>
      </w:r>
      <w:r>
        <w:t xml:space="preserve">F. G. Stehli and S. D. Webb, eds. The great american biotic interchange.</w:t>
      </w:r>
    </w:p>
    <w:bookmarkEnd w:id="326"/>
    <w:bookmarkStart w:id="328" w:name="ref-weppe2023"/>
    <w:p>
      <w:pPr>
        <w:pStyle w:val="Bibliography"/>
      </w:pPr>
      <w:r>
        <w:t xml:space="preserve">Weppe, R., F. L. Condamine, G. Guinot, J. Maugoust, and M. J. Orliac. 2023.</w:t>
      </w:r>
      <w:r>
        <w:t xml:space="preserve"> </w:t>
      </w:r>
      <w:hyperlink r:id="rId327">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28"/>
    <w:bookmarkStart w:id="330" w:name="ref-westerhold2020"/>
    <w:p>
      <w:pPr>
        <w:pStyle w:val="Bibliography"/>
      </w:pPr>
      <w:r>
        <w:t xml:space="preserve">Westerhold, T., N. Marwan, A. J. Drury, D. Liebrand, C. Agnini, E. Anagnostou, J. S. K. Barnet, S. M. Bohaty, D. De Vleeschouwer, F. Florindo, T. Frederichs, D. A. Hodell, A. E. Holbourn, D. Kroon, V. Lauretano, K. Littler, L. J. Lourens, M. Lyle, H. Pälike, U. Röhl, J. Tian, R. H. Wilkens, P. A. Wilson, and J. C. Zachos. 2020.</w:t>
      </w:r>
      <w:r>
        <w:t xml:space="preserve"> </w:t>
      </w:r>
      <w:hyperlink r:id="rId329">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30"/>
    <w:bookmarkStart w:id="332" w:name="ref-woods2021"/>
    <w:p>
      <w:pPr>
        <w:pStyle w:val="Bibliography"/>
      </w:pPr>
      <w:r>
        <w:t xml:space="preserve">Woods, R., I. Barnes, S. Brace, and S. T. Turvey. 2021.</w:t>
      </w:r>
      <w:r>
        <w:t xml:space="preserve"> </w:t>
      </w:r>
      <w:hyperlink r:id="rId331">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N</w:t>
        </w:r>
        <w:r>
          <w:rPr>
            <w:rStyle w:val="Hyperlink"/>
          </w:rPr>
          <w:t xml:space="preserve">A</w:t>
        </w:r>
        <w:r>
          <w:rPr>
            <w:rStyle w:val="Hyperlink"/>
          </w:rPr>
          <w:t xml:space="preserve"> </w:t>
        </w:r>
        <w:r>
          <w:rPr>
            <w:rStyle w:val="Hyperlink"/>
          </w:rPr>
          <w:t xml:space="preserve">S</w:t>
        </w:r>
        <w:r>
          <w:rPr>
            <w:rStyle w:val="Hyperlink"/>
          </w:rPr>
          <w:t xml:space="preserve">uggests</w:t>
        </w:r>
        <w:r>
          <w:rPr>
            <w:rStyle w:val="Hyperlink"/>
          </w:rPr>
          <w:t xml:space="preserve"> </w:t>
        </w:r>
        <w:r>
          <w:rPr>
            <w:rStyle w:val="Hyperlink"/>
          </w:rPr>
          <w:t xml:space="preserve">S</w:t>
        </w:r>
        <w:r>
          <w:rPr>
            <w:rStyle w:val="Hyperlink"/>
          </w:rPr>
          <w:t xml:space="preserve">ingle</w:t>
        </w:r>
        <w:r>
          <w:rPr>
            <w:rStyle w:val="Hyperlink"/>
          </w:rPr>
          <w:t xml:space="preserve"> </w:t>
        </w:r>
        <w:r>
          <w:rPr>
            <w:rStyle w:val="Hyperlink"/>
          </w:rPr>
          <w:t xml:space="preserve">C</w:t>
        </w:r>
        <w:r>
          <w:rPr>
            <w:rStyle w:val="Hyperlink"/>
          </w:rPr>
          <w:t xml:space="preserve">olonization and</w:t>
        </w:r>
        <w:r>
          <w:rPr>
            <w:rStyle w:val="Hyperlink"/>
          </w:rPr>
          <w:t xml:space="preserve"> </w:t>
        </w:r>
        <w:r>
          <w:rPr>
            <w:rStyle w:val="Hyperlink"/>
          </w:rPr>
          <w:t xml:space="preserve">W</w:t>
        </w:r>
        <w:r>
          <w:rPr>
            <w:rStyle w:val="Hyperlink"/>
          </w:rPr>
          <w:t xml:space="preserve">ithin-</w:t>
        </w:r>
        <w:r>
          <w:rPr>
            <w:rStyle w:val="Hyperlink"/>
          </w:rPr>
          <w:t xml:space="preserve">A</w:t>
        </w:r>
        <w:r>
          <w:rPr>
            <w:rStyle w:val="Hyperlink"/>
          </w:rPr>
          <w:t xml:space="preserve">rchipelago</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C</w:t>
        </w:r>
        <w:r>
          <w:rPr>
            <w:rStyle w:val="Hyperlink"/>
          </w:rPr>
          <w:t xml:space="preserve">aribbean</w:t>
        </w:r>
        <w:r>
          <w:rPr>
            <w:rStyle w:val="Hyperlink"/>
          </w:rPr>
          <w:t xml:space="preserve"> </w:t>
        </w:r>
        <w:r>
          <w:rPr>
            <w:rStyle w:val="Hyperlink"/>
          </w:rPr>
          <w:t xml:space="preserve">C</w:t>
        </w:r>
        <w:r>
          <w:rPr>
            <w:rStyle w:val="Hyperlink"/>
          </w:rPr>
          <w:t xml:space="preserve">aviomorph</w:t>
        </w:r>
        <w:r>
          <w:rPr>
            <w:rStyle w:val="Hyperlink"/>
          </w:rPr>
          <w:t xml:space="preserve"> </w:t>
        </w:r>
        <w:r>
          <w:rPr>
            <w:rStyle w:val="Hyperlink"/>
          </w:rPr>
          <w:t xml:space="preserve">R</w:t>
        </w:r>
        <w:r>
          <w:rPr>
            <w:rStyle w:val="Hyperlink"/>
          </w:rPr>
          <w:t xml:space="preserve">odents</w:t>
        </w:r>
      </w:hyperlink>
      <w:r>
        <w:t xml:space="preserve">. Molecular Biology and Evolution 38:84–95.</w:t>
      </w:r>
    </w:p>
    <w:bookmarkEnd w:id="332"/>
    <w:bookmarkEnd w:id="333"/>
    <w:p>
      <w:r>
        <w:br w:type="page"/>
      </w:r>
    </w:p>
    <w:bookmarkEnd w:id="334"/>
    <w:bookmarkStart w:id="360"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38" w:name="fig-context"/>
          <w:p>
            <w:pPr>
              <w:pStyle w:val="Compact"/>
              <w:jc w:val="center"/>
            </w:pPr>
            <w:r>
              <w:drawing>
                <wp:inline>
                  <wp:extent cx="4679999" cy="5399999"/>
                  <wp:effectExtent b="0" l="0" r="0" t="0"/>
                  <wp:docPr descr="" title="" id="336" name="Picture"/>
                  <a:graphic>
                    <a:graphicData uri="http://schemas.openxmlformats.org/drawingml/2006/picture">
                      <pic:pic>
                        <pic:nvPicPr>
                          <pic:cNvPr descr="../Figures/Main/Figure_set_the_scene/Figure_context.png" id="337" name="Picture"/>
                          <pic:cNvPicPr>
                            <a:picLocks noChangeArrowheads="1" noChangeAspect="1"/>
                          </pic:cNvPicPr>
                        </pic:nvPicPr>
                        <pic:blipFill>
                          <a:blip r:embed="rId335"/>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Table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338"/>
        </w:tc>
      </w:tr>
    </w:tbl>
    <w:tbl>
      <w:tblPr>
        <w:tblStyle w:val="Table"/>
        <w:tblW w:type="pct" w:w="5000"/>
        <w:tblLayout w:type="fixed"/>
        <w:tblLook w:firstRow="0" w:lastRow="0" w:firstColumn="0" w:lastColumn="0" w:noHBand="0" w:noVBand="0" w:val="0000"/>
      </w:tblPr>
      <w:tblGrid>
        <w:gridCol w:w="7920"/>
      </w:tblGrid>
      <w:tr>
        <w:tc>
          <w:tcPr/>
          <w:bookmarkStart w:id="343" w:name="fig-ExtSampl"/>
          <w:p>
            <w:pPr>
              <w:pStyle w:val="Compact"/>
              <w:jc w:val="center"/>
            </w:pPr>
            <w:r>
              <w:drawing>
                <wp:inline>
                  <wp:extent cx="5399999" cy="1486246"/>
                  <wp:effectExtent b="0" l="0" r="0" t="0"/>
                  <wp:docPr descr="" title="" id="340" name="Picture"/>
                  <a:graphic>
                    <a:graphicData uri="http://schemas.openxmlformats.org/drawingml/2006/picture">
                      <pic:pic>
                        <pic:nvPicPr>
                          <pic:cNvPr descr="../Figures/Main/extant_sampling/extant_sampling.png" id="341" name="Picture"/>
                          <pic:cNvPicPr>
                            <a:picLocks noChangeArrowheads="1" noChangeAspect="1"/>
                          </pic:cNvPicPr>
                        </pic:nvPicPr>
                        <pic:blipFill>
                          <a:blip r:embed="rId339"/>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342">
              <w:r>
                <w:rPr>
                  <w:rStyle w:val="Hyperlink"/>
                </w:rPr>
                <w:t xml:space="preserve">Phylopic</w:t>
              </w:r>
            </w:hyperlink>
            <w:r>
              <w:t xml:space="preserve">, see Tab. S3 for additional information.</w:t>
            </w:r>
          </w:p>
          <w:bookmarkEnd w:id="343"/>
        </w:tc>
      </w:tr>
    </w:tbl>
    <w:tbl>
      <w:tblPr>
        <w:tblStyle w:val="Table"/>
        <w:tblW w:type="pct" w:w="5000"/>
        <w:tblLayout w:type="fixed"/>
        <w:tblLook w:firstRow="0" w:lastRow="0" w:firstColumn="0" w:lastColumn="0" w:noHBand="0" w:noVBand="0" w:val="0000"/>
      </w:tblPr>
      <w:tblGrid>
        <w:gridCol w:w="7920"/>
      </w:tblGrid>
      <w:tr>
        <w:tc>
          <w:tcPr/>
          <w:bookmarkStart w:id="347" w:name="fig-diversityBM"/>
          <w:p>
            <w:pPr>
              <w:pStyle w:val="Compact"/>
              <w:jc w:val="center"/>
            </w:pPr>
            <w:r>
              <w:drawing>
                <wp:inline>
                  <wp:extent cx="1889999" cy="5399999"/>
                  <wp:effectExtent b="0" l="0" r="0" t="0"/>
                  <wp:docPr descr="" title="" id="345" name="Picture"/>
                  <a:graphic>
                    <a:graphicData uri="http://schemas.openxmlformats.org/drawingml/2006/picture">
                      <pic:pic>
                        <pic:nvPicPr>
                          <pic:cNvPr descr="../Figures/Main/Diversity_and_BM_through_time.png" id="346" name="Picture"/>
                          <pic:cNvPicPr>
                            <a:picLocks noChangeArrowheads="1" noChangeAspect="1"/>
                          </pic:cNvPicPr>
                        </pic:nvPicPr>
                        <pic:blipFill>
                          <a:blip r:embed="rId344"/>
                          <a:stretch>
                            <a:fillRect/>
                          </a:stretch>
                        </pic:blipFill>
                        <pic:spPr bwMode="auto">
                          <a:xfrm>
                            <a:off x="0" y="0"/>
                            <a:ext cx="188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Figure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w:t>
            </w:r>
            <w:r>
              <w:t xml:space="preser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lifepan overlapped with it. The black dot at the right of the plot shows the median body mass of the extant chinchilloids, and the red line shows its range. In all cases, full lines represent median estimates. In</w:t>
            </w:r>
            <w:r>
              <w:t xml:space="preserve"> </w:t>
            </w:r>
            <w:r>
              <w:rPr>
                <w:b/>
                <w:bCs/>
              </w:rPr>
              <w:t xml:space="preserve">(A)</w:t>
            </w:r>
            <w:r>
              <w:t xml:space="preserve">, the ribbon shows the 95% HPD interval of the dievrsity estimate across MCMC iterations. In</w:t>
            </w:r>
            <w:r>
              <w:t xml:space="preserve"> </w:t>
            </w:r>
            <w:r>
              <w:rPr>
                <w:b/>
                <w:bCs/>
              </w:rPr>
              <w:t xml:space="preserve">(B)</w:t>
            </w:r>
            <w:r>
              <w:t xml:space="preserve">, the lighter and darker ribbons respectively encompass 95% and 50% of the per-bin diversity distribution across the 100 DeepDive prediction replicates. In</w:t>
            </w:r>
            <w:r>
              <w:t xml:space="preserve"> </w:t>
            </w:r>
            <w:r>
              <w:rPr>
                <w:b/>
                <w:bCs/>
              </w:rPr>
              <w:t xml:space="preserve">(C)</w:t>
            </w:r>
            <w:r>
              <w:t xml:space="preserve">, the ribbon depicts the total range of values.</w:t>
            </w:r>
          </w:p>
          <w:bookmarkEnd w:id="347"/>
        </w:tc>
      </w:tr>
    </w:tbl>
    <w:tbl>
      <w:tblPr>
        <w:tblStyle w:val="Table"/>
        <w:tblW w:type="pct" w:w="5000"/>
        <w:tblLayout w:type="fixed"/>
        <w:tblLook w:firstRow="0" w:lastRow="0" w:firstColumn="0" w:lastColumn="0" w:noHBand="0" w:noVBand="0" w:val="0000"/>
      </w:tblPr>
      <w:tblGrid>
        <w:gridCol w:w="7920"/>
      </w:tblGrid>
      <w:tr>
        <w:tc>
          <w:tcPr/>
          <w:bookmarkStart w:id="351" w:name="fig-lifespans"/>
          <w:p>
            <w:pPr>
              <w:pStyle w:val="Compact"/>
              <w:jc w:val="center"/>
            </w:pPr>
            <w:r>
              <w:drawing>
                <wp:inline>
                  <wp:extent cx="5399999" cy="6839999"/>
                  <wp:effectExtent b="0" l="0" r="0" t="0"/>
                  <wp:docPr descr="" title="" id="349" name="Picture"/>
                  <a:graphic>
                    <a:graphicData uri="http://schemas.openxmlformats.org/drawingml/2006/picture">
                      <pic:pic>
                        <pic:nvPicPr>
                          <pic:cNvPr descr="../Figures/Main/Lifespans/lifespans_distribs.png" id="350" name="Picture"/>
                          <pic:cNvPicPr>
                            <a:picLocks noChangeArrowheads="1" noChangeAspect="1"/>
                          </pic:cNvPicPr>
                        </pic:nvPicPr>
                        <pic:blipFill>
                          <a:blip r:embed="rId348"/>
                          <a:stretch>
                            <a:fillRect/>
                          </a:stretch>
                        </pic:blipFill>
                        <pic:spPr bwMode="auto">
                          <a:xfrm>
                            <a:off x="0" y="0"/>
                            <a:ext cx="5399999"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Figure 2</w:t>
              </w:r>
            </w:hyperlink>
            <w:r>
              <w:t xml:space="preserve">. The first four silhouettes (from top to bottom) are from Phylopic (credits available in Table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diversification"/>
          <w:p>
            <w:pPr>
              <w:pStyle w:val="Compact"/>
              <w:jc w:val="center"/>
            </w:pPr>
            <w:r>
              <w:drawing>
                <wp:inline>
                  <wp:extent cx="5399999" cy="2591634"/>
                  <wp:effectExtent b="0" l="0" r="0" t="0"/>
                  <wp:docPr descr="" title="" id="353" name="Picture"/>
                  <a:graphic>
                    <a:graphicData uri="http://schemas.openxmlformats.org/drawingml/2006/picture">
                      <pic:pic>
                        <pic:nvPicPr>
                          <pic:cNvPr descr="../Figures/Main/Diversification_rates.png" id="354" name="Picture"/>
                          <pic:cNvPicPr>
                            <a:picLocks noChangeArrowheads="1" noChangeAspect="1"/>
                          </pic:cNvPicPr>
                        </pic:nvPicPr>
                        <pic:blipFill>
                          <a:blip r:embed="rId352"/>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w:t>
            </w:r>
            <w:r>
              <w:t xml:space="preserve"> </w:t>
            </w:r>
            <w:r>
              <w:rPr>
                <w:b/>
                <w:bCs/>
              </w:rPr>
              <w:t xml:space="preserve">(A–B)</w:t>
            </w:r>
            <w:r>
              <w:t xml:space="preserve"> </w:t>
            </w:r>
            <w:r>
              <w:t xml:space="preserve">show the rates estimated by PyRate, using the rjMCMC algorithm</w:t>
            </w:r>
            <w:r>
              <w:t xml:space="preserve"> </w:t>
            </w:r>
            <w:r>
              <w:t xml:space="preserve">(Silvestro et al. 2019)</w:t>
            </w:r>
            <w:r>
              <w:t xml:space="preserve">. The star indicates a significant rate shift (see Figure S6).</w:t>
            </w:r>
            <w:r>
              <w:t xml:space="preserve"> </w:t>
            </w:r>
            <w:r>
              <w:rPr>
                <w:b/>
                <w:bCs/>
              </w:rPr>
              <w:t xml:space="preserve">(C–D)</w:t>
            </w:r>
            <w:r>
              <w:t xml:space="preserve"> </w:t>
            </w:r>
            <w:r>
              <w:t xml:space="preserve">show the rates estimated with the Birth–Death model with Constrained Shifts (BDCS)</w:t>
            </w:r>
            <w:r>
              <w:t xml:space="preserve"> </w:t>
            </w:r>
            <w:r>
              <w:t xml:space="preserve">(Silvestro et al. 2015b)</w:t>
            </w:r>
            <w:r>
              <w:t xml:space="preserve">.</w:t>
            </w:r>
            <w:r>
              <w:t xml:space="preserve"> </w:t>
            </w:r>
            <w:r>
              <w:rPr>
                <w:b/>
                <w:bCs/>
              </w:rPr>
              <w:t xml:space="preserve">(E–F)</w:t>
            </w:r>
            <w:r>
              <w:t xml:space="preserve"> </w:t>
            </w:r>
            <w:r>
              <w:t xml:space="preserve">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(Figure S16–S17). Last,</w:t>
            </w:r>
            <w:r>
              <w:t xml:space="preserve"> </w:t>
            </w:r>
            <w:r>
              <w:rPr>
                <w:b/>
                <w:bCs/>
              </w:rPr>
              <w:t xml:space="preserve">(G–H)</w:t>
            </w:r>
            <w:r>
              <w:t xml:space="preserve"> </w:t>
            </w:r>
            <w:r>
              <w:t xml:space="preserve">show the rates through time estimated by the MBD model as linear combinations of environmental variables.</w:t>
            </w:r>
          </w:p>
          <w:bookmarkEnd w:id="355"/>
        </w:tc>
      </w:tr>
    </w:tbl>
    <w:tbl>
      <w:tblPr>
        <w:tblStyle w:val="Table"/>
        <w:tblW w:type="pct" w:w="5000"/>
        <w:tblLayout w:type="fixed"/>
        <w:tblLook w:firstRow="0" w:lastRow="0" w:firstColumn="0" w:lastColumn="0" w:noHBand="0" w:noVBand="0" w:val="0000"/>
      </w:tblPr>
      <w:tblGrid>
        <w:gridCol w:w="7920"/>
      </w:tblGrid>
      <w:tr>
        <w:tc>
          <w:tcPr/>
          <w:bookmarkStart w:id="359" w:name="fig-ExtinctionDrivers"/>
          <w:p>
            <w:pPr>
              <w:pStyle w:val="Compact"/>
              <w:jc w:val="center"/>
            </w:pPr>
            <w:r>
              <w:drawing>
                <wp:inline>
                  <wp:extent cx="5305454" cy="5039999"/>
                  <wp:effectExtent b="0" l="0" r="0" t="0"/>
                  <wp:docPr descr="" title="" id="357" name="Picture"/>
                  <a:graphic>
                    <a:graphicData uri="http://schemas.openxmlformats.org/drawingml/2006/picture">
                      <pic:pic>
                        <pic:nvPicPr>
                          <pic:cNvPr descr="../Figures/Main/Drivers/Combined_driver_figure.png" id="358" name="Picture"/>
                          <pic:cNvPicPr>
                            <a:picLocks noChangeArrowheads="1" noChangeAspect="1"/>
                          </pic:cNvPicPr>
                        </pic:nvPicPr>
                        <pic:blipFill>
                          <a:blip r:embed="rId356"/>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w:t>
            </w:r>
            <w:r>
              <w:t xml:space="preserve"> </w:t>
            </w:r>
            <w:r>
              <w:rPr>
                <w:b/>
                <w:bCs/>
              </w:rPr>
              <w:t xml:space="preserve">(A–C)</w:t>
            </w:r>
            <w:r>
              <w:t xml:space="preserve"> </w:t>
            </w:r>
            <w:r>
              <w:t xml:space="preserve">depict the effects of the three best predictors of extinction rate variations across lineages according to the BDNN model (Table S6). These include body mass</w:t>
            </w:r>
            <w:r>
              <w:t xml:space="preserve">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w:t>
            </w:r>
            <w:r>
              <w:t xml:space="preserve"> </w:t>
            </w:r>
            <w:r>
              <w:rPr>
                <w:b/>
                <w:bCs/>
              </w:rPr>
              <w:t xml:space="preserve">(B)</w:t>
            </w:r>
            <w:r>
              <w:t xml:space="preserve"> </w:t>
            </w:r>
            <w:r>
              <w:t xml:space="preserve">and the Andean uplift</w:t>
            </w:r>
            <w:r>
              <w:t xml:space="preserve">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w:t>
            </w:r>
            <w:r>
              <w:t xml:space="preserve">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2021)</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359"/>
        </w:tc>
      </w:tr>
    </w:tbl>
    <w:bookmarkEnd w:id="360"/>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One might however mention that, as summarised by</w:t>
      </w:r>
      <w:r>
        <w:t xml:space="preserve"> </w:t>
      </w:r>
      <w:r>
        <w:t xml:space="preserve">Marivaux et al. (2022)</w:t>
      </w:r>
      <w:r>
        <w:t xml:space="preserve">, the phylogenetic placement of</w:t>
      </w:r>
      <w:r>
        <w:t xml:space="preserve"> </w:t>
      </w:r>
      <m:oMath>
        <m:r>
          <m:rPr>
            <m:sty m:val="p"/>
          </m:rPr>
          <m:t>†</m:t>
        </m:r>
      </m:oMath>
      <w:r>
        <w:rPr>
          <w:i/>
          <w:iCs/>
        </w:rPr>
        <w:t xml:space="preserve">Elasmodontomys</w:t>
      </w:r>
      <w:r>
        <w:t xml:space="preserve"> </w:t>
      </w:r>
      <w:r>
        <w:t xml:space="preserve">still represents a real</w:t>
      </w:r>
      <w:r>
        <w:t xml:space="preserve"> </w:t>
      </w:r>
      <w:r>
        <w:rPr>
          <w:i/>
          <w:iCs/>
        </w:rPr>
        <w:t xml:space="preserve">conundrum</w:t>
      </w:r>
      <w:r>
        <w:t xml:space="preserve">, with contrasting sources of evidence either suggesting this taxon to be nested within Chinchilloidea</w:t>
      </w:r>
      <w:r>
        <w:t xml:space="preserve"> </w:t>
      </w:r>
      <w:r>
        <w:t xml:space="preserve">(</w:t>
      </w:r>
      <w:r>
        <w:rPr>
          <w:i/>
          <w:iCs/>
        </w:rPr>
        <w:t xml:space="preserve">e</w:t>
      </w:r>
      <w:r>
        <w:t xml:space="preserve">.</w:t>
      </w:r>
      <w:r>
        <w:rPr>
          <w:i/>
          <w:iCs/>
        </w:rPr>
        <w:t xml:space="preserve">g</w:t>
      </w:r>
      <w:r>
        <w:t xml:space="preserve">., Marivaux et al. 2020; Marivaux et al. 2022)</w:t>
      </w:r>
      <w:r>
        <w:t xml:space="preserve">, Octodontoidea</w:t>
      </w:r>
      <w:r>
        <w:t xml:space="preserve"> </w:t>
      </w:r>
      <w:r>
        <w:t xml:space="preserve">(</w:t>
      </w:r>
      <w:r>
        <w:rPr>
          <w:i/>
          <w:iCs/>
        </w:rPr>
        <w:t xml:space="preserve">e</w:t>
      </w:r>
      <w:r>
        <w:t xml:space="preserve">.</w:t>
      </w:r>
      <w:r>
        <w:rPr>
          <w:i/>
          <w:iCs/>
        </w:rPr>
        <w:t xml:space="preserve">g</w:t>
      </w:r>
      <w:r>
        <w:t xml:space="preserve">., Woods et al. 2021)</w:t>
      </w:r>
      <w:r>
        <w:t xml:space="preserve"> </w:t>
      </w:r>
      <w:r>
        <w:t xml:space="preserve">– another caviomorph superfamily – or to be a morphological intermediate between those two clades (</w:t>
      </w:r>
      <w:r>
        <w:rPr>
          <w:i/>
          <w:iCs/>
        </w:rPr>
        <w:t xml:space="preserve">i</w:t>
      </w:r>
      <w:r>
        <w:t xml:space="preserve">.</w:t>
      </w:r>
      <w:r>
        <w:rPr>
          <w:i/>
          <w:iCs/>
        </w:rPr>
        <w:t xml:space="preserve">e</w:t>
      </w:r>
      <w:r>
        <w:t xml:space="preserve">., Octochinchilloi, sensu</w:t>
      </w:r>
      <w:r>
        <w:t xml:space="preserve"> </w:t>
      </w:r>
      <w:r>
        <w:t xml:space="preserve">Boivin et al. (2019)</w:t>
      </w:r>
      <w:r>
        <w:t xml:space="preserve">)</w:t>
      </w:r>
      <w:r>
        <w:t xml:space="preserve"> </w:t>
      </w:r>
      <w:r>
        <w:t xml:space="preserve">(MacPhee 2011; Da Cunha et al. 2023)</w:t>
      </w:r>
      <w:r>
        <w:t xml:space="preserve">.</w:t>
      </w:r>
    </w:p>
  </w:footnote>
  <w:footnote w:id="23">
    <w:p>
      <w:pPr>
        <w:pStyle w:val="FootnoteText"/>
      </w:pPr>
      <w:r>
        <w:rPr>
          <w:rStyle w:val="FootnoteReference"/>
        </w:rPr>
        <w:footnoteRef/>
      </w:r>
      <w:r>
        <w:t xml:space="preserve"> </w:t>
      </w:r>
      <w:r>
        <w:t xml:space="preserve">Remains of</w:t>
      </w:r>
      <w:r>
        <w:t xml:space="preserve"> </w:t>
      </w:r>
      <w:r>
        <w:rPr>
          <w:i/>
          <w:iCs/>
        </w:rPr>
        <w:t xml:space="preserve">Chinchilla chinchilla</w:t>
      </w:r>
      <w:r>
        <w:t xml:space="preserve"> </w:t>
      </w:r>
      <w:r>
        <w:t xml:space="preserve">were in fact once reported from an archaeological assemblage, but we assume their age to be too close to the present to provide useful information on the time of speciation of the species.</w:t>
      </w:r>
    </w:p>
  </w:footnote>
  <w:footnote w:id="24">
    <w:p>
      <w:pPr>
        <w:pStyle w:val="FootnoteText"/>
      </w:pPr>
      <w:r>
        <w:rPr>
          <w:rStyle w:val="FootnoteReference"/>
        </w:rPr>
        <w:footnoteRef/>
      </w:r>
      <w:r>
        <w:t xml:space="preserve"> </w:t>
      </w:r>
      <w:r>
        <w:t xml:space="preserve">Same as for</w:t>
      </w:r>
      <w:r>
        <w:t xml:space="preserve"> </w:t>
      </w:r>
      <w:r>
        <w:rPr>
          <w:i/>
          <w:iCs/>
        </w:rPr>
        <w:t xml:space="preserve">Lagidium viscacia</w:t>
      </w:r>
      <w:r>
        <w:t xml:space="preserve"> </w:t>
      </w:r>
      <w:r>
        <w:t xml:space="preserve">remains.</w:t>
      </w:r>
    </w:p>
  </w:footnote>
  <w:footnote w:id="28">
    <w:p>
      <w:pPr>
        <w:pStyle w:val="FootnoteText"/>
      </w:pPr>
      <w:r>
        <w:rPr>
          <w:rStyle w:val="FootnoteReference"/>
        </w:rPr>
        <w:footnoteRef/>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w:t>
      </w:r>
    </w:p>
  </w:footnote>
  <w:footnote w:id="31">
    <w:p>
      <w:pPr>
        <w:pStyle w:val="FootnoteText"/>
      </w:pPr>
      <w:r>
        <w:rPr>
          <w:rStyle w:val="FootnoteReference"/>
        </w:rPr>
        <w:footnoteRef/>
      </w:r>
      <w:r>
        <w:t xml:space="preserve"> </w:t>
      </w:r>
      <w:r>
        <w:t xml:space="preserve">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w:t>
      </w:r>
    </w:p>
  </w:footnote>
  <w:footnote w:id="42">
    <w:p>
      <w:pPr>
        <w:pStyle w:val="FootnoteText"/>
      </w:pPr>
      <w:r>
        <w:rPr>
          <w:rStyle w:val="FootnoteReference"/>
        </w:rPr>
        <w:footnoteRef/>
      </w:r>
      <w:r>
        <w:t xml:space="preserve"> </w:t>
      </w:r>
      <w:r>
        <w:rPr>
          <w:i/>
          <w:iCs/>
        </w:rPr>
        <w:t xml:space="preserve">e</w:t>
      </w:r>
      <w:r>
        <w:t xml:space="preserve">.</w:t>
      </w:r>
      <w:r>
        <w:rPr>
          <w:i/>
          <w:iCs/>
        </w:rPr>
        <w:t xml:space="preserve">g</w:t>
      </w:r>
      <w:r>
        <w:t xml:space="preserve">., The Paleobiology Database, Neotoma, NOW, Geobiodiversity database, … see</w:t>
      </w:r>
      <w:r>
        <w:t xml:space="preserve"> </w:t>
      </w:r>
      <w:hyperlink r:id="rId43">
        <w:r>
          <w:rPr>
            <w:rStyle w:val="Hyperlink"/>
          </w:rPr>
          <w:t xml:space="preserve">https://palaeoverse.org/external</w:t>
        </w:r>
      </w:hyperlink>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2" Target="media/rId352.png" /><Relationship Type="http://schemas.openxmlformats.org/officeDocument/2006/relationships/image" Id="rId344" Target="media/rId344.png" /><Relationship Type="http://schemas.openxmlformats.org/officeDocument/2006/relationships/image" Id="rId356" Target="media/rId356.png" /><Relationship Type="http://schemas.openxmlformats.org/officeDocument/2006/relationships/image" Id="rId335" Target="media/rId335.png" /><Relationship Type="http://schemas.openxmlformats.org/officeDocument/2006/relationships/image" Id="rId348" Target="media/rId348.png" /><Relationship Type="http://schemas.openxmlformats.org/officeDocument/2006/relationships/image" Id="rId339" Target="media/rId339.png" /><Relationship Type="http://schemas.openxmlformats.org/officeDocument/2006/relationships/hyperlink" Id="rId64" Target="https://doi.org/10.1002/spp2.70064" TargetMode="External" /><Relationship Type="http://schemas.openxmlformats.org/officeDocument/2006/relationships/hyperlink" Id="rId218" Target="https://doi.org/10.1006/qres.1998.1977" TargetMode="External" /><Relationship Type="http://schemas.openxmlformats.org/officeDocument/2006/relationships/hyperlink" Id="rId232"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12"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9" Target="https://doi.org/10.1007/s11692-017-9434-7" TargetMode="External" /><Relationship Type="http://schemas.openxmlformats.org/officeDocument/2006/relationships/hyperlink" Id="rId228"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41"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7" Target="https://doi.org/10.1016/j.gr.2024.08.002" TargetMode="External" /><Relationship Type="http://schemas.openxmlformats.org/officeDocument/2006/relationships/hyperlink" Id="rId167"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4"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68" Target="https://doi.org/10.1016/j.palaeo.2026.113767" TargetMode="External" /><Relationship Type="http://schemas.openxmlformats.org/officeDocument/2006/relationships/hyperlink" Id="rId155" Target="https://doi.org/10.1017/S0094837300005224" TargetMode="External" /><Relationship Type="http://schemas.openxmlformats.org/officeDocument/2006/relationships/hyperlink" Id="rId151" Target="https://doi.org/10.1017/S0094837300015864" TargetMode="External" /><Relationship Type="http://schemas.openxmlformats.org/officeDocument/2006/relationships/hyperlink" Id="rId291" Target="https://doi.org/10.1017/pab.2019.23" TargetMode="External" /><Relationship Type="http://schemas.openxmlformats.org/officeDocument/2006/relationships/hyperlink" Id="rId324" Target="https://doi.org/10.1017/pab.2020.12" TargetMode="External" /><Relationship Type="http://schemas.openxmlformats.org/officeDocument/2006/relationships/hyperlink" Id="rId131" Target="https://doi.org/10.1038/365748a0" TargetMode="External" /><Relationship Type="http://schemas.openxmlformats.org/officeDocument/2006/relationships/hyperlink" Id="rId257" Target="https://doi.org/10.1038/ncomms2958" TargetMode="External" /><Relationship Type="http://schemas.openxmlformats.org/officeDocument/2006/relationships/hyperlink" Id="rId149"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51"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8" Target="https://doi.org/10.1038/s41598-017-05263-7" TargetMode="External" /><Relationship Type="http://schemas.openxmlformats.org/officeDocument/2006/relationships/hyperlink" Id="rId303"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3" Target="https://doi.org/10.1038/s41598-023-28497-0" TargetMode="External" /><Relationship Type="http://schemas.openxmlformats.org/officeDocument/2006/relationships/hyperlink" Id="rId20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7" Target="https://doi.org/10.1073/pnas.1302642110" TargetMode="External" /><Relationship Type="http://schemas.openxmlformats.org/officeDocument/2006/relationships/hyperlink" Id="rId287"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5" Target="https://doi.org/10.1073/pnas.2122486119" TargetMode="External" /><Relationship Type="http://schemas.openxmlformats.org/officeDocument/2006/relationships/hyperlink" Id="rId253" Target="https://doi.org/10.1073/pnas.2220672120" TargetMode="External" /><Relationship Type="http://schemas.openxmlformats.org/officeDocument/2006/relationships/hyperlink" Id="rId283" Target="https://doi.org/10.1073/pnas.2307629121" TargetMode="External" /><Relationship Type="http://schemas.openxmlformats.org/officeDocument/2006/relationships/hyperlink" Id="rId327" Target="https://doi.org/10.1073/pnas.2309945120" TargetMode="External" /><Relationship Type="http://schemas.openxmlformats.org/officeDocument/2006/relationships/hyperlink" Id="rId188"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20" Target="https://doi.org/10.1073/pnas.70.7.1936" TargetMode="External" /><Relationship Type="http://schemas.openxmlformats.org/officeDocument/2006/relationships/hyperlink" Id="rId245" Target="https://doi.org/10.1080/02724634.2010.522432" TargetMode="External" /><Relationship Type="http://schemas.openxmlformats.org/officeDocument/2006/relationships/hyperlink" Id="rId262"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9" Target="https://doi.org/10.1093/botlinnean/boab098" TargetMode="External" /><Relationship Type="http://schemas.openxmlformats.org/officeDocument/2006/relationships/hyperlink" Id="rId238" Target="https://doi.org/10.1093/evolut/qpaf091" TargetMode="External" /><Relationship Type="http://schemas.openxmlformats.org/officeDocument/2006/relationships/hyperlink" Id="rId190" Target="https://doi.org/10.1093/isd/ixac017" TargetMode="External" /><Relationship Type="http://schemas.openxmlformats.org/officeDocument/2006/relationships/hyperlink" Id="rId271" Target="https://doi.org/10.1093/jmammal/gyz194" TargetMode="External" /><Relationship Type="http://schemas.openxmlformats.org/officeDocument/2006/relationships/hyperlink" Id="rId331" Target="https://doi.org/10.1093/molbev/msaa189" TargetMode="External" /><Relationship Type="http://schemas.openxmlformats.org/officeDocument/2006/relationships/hyperlink" Id="rId202" Target="https://doi.org/10.1093/sysbio/syq052" TargetMode="External" /><Relationship Type="http://schemas.openxmlformats.org/officeDocument/2006/relationships/hyperlink" Id="rId273" Target="https://doi.org/10.1093/sysbio/syq092" TargetMode="External" /><Relationship Type="http://schemas.openxmlformats.org/officeDocument/2006/relationships/hyperlink" Id="rId133" Target="https://doi.org/10.1093/sysbio/syw020" TargetMode="External" /><Relationship Type="http://schemas.openxmlformats.org/officeDocument/2006/relationships/hyperlink" Id="rId163"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192" Target="https://doi.org/10.1098/rsos.252318" TargetMode="External" /><Relationship Type="http://schemas.openxmlformats.org/officeDocument/2006/relationships/hyperlink" Id="rId222" Target="https://doi.org/10.1098/rspb.2007.1056" TargetMode="External" /><Relationship Type="http://schemas.openxmlformats.org/officeDocument/2006/relationships/hyperlink" Id="rId266" Target="https://doi.org/10.1098/rspb.2007.1645" TargetMode="External" /><Relationship Type="http://schemas.openxmlformats.org/officeDocument/2006/relationships/hyperlink" Id="rId139" Target="https://doi.org/10.1098/rspb.2011.1439" TargetMode="External" /><Relationship Type="http://schemas.openxmlformats.org/officeDocument/2006/relationships/hyperlink" Id="rId275" Target="https://doi.org/10.1098/rspb.2013.1071" TargetMode="External" /><Relationship Type="http://schemas.openxmlformats.org/officeDocument/2006/relationships/hyperlink" Id="rId277" Target="https://doi.org/10.1098/rspb.2014.2490" TargetMode="External" /><Relationship Type="http://schemas.openxmlformats.org/officeDocument/2006/relationships/hyperlink" Id="rId123" Target="https://doi.org/10.1098/rspb.2017.2012" TargetMode="External" /><Relationship Type="http://schemas.openxmlformats.org/officeDocument/2006/relationships/hyperlink" Id="rId214" Target="https://doi.org/10.1098/rspb.2019.2806" TargetMode="External" /><Relationship Type="http://schemas.openxmlformats.org/officeDocument/2006/relationships/hyperlink" Id="rId21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7" Target="https://doi.org/10.1098/rspb.2025.2245" TargetMode="External" /><Relationship Type="http://schemas.openxmlformats.org/officeDocument/2006/relationships/hyperlink" Id="rId196"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7" Target="https://doi.org/10.1098/rspb.2025.2732" TargetMode="External" /><Relationship Type="http://schemas.openxmlformats.org/officeDocument/2006/relationships/hyperlink" Id="rId293"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8" Target="https://doi.org/10.1111/evo.13155" TargetMode="External" /><Relationship Type="http://schemas.openxmlformats.org/officeDocument/2006/relationships/hyperlink" Id="rId247" Target="https://doi.org/10.1111/evo.13680" TargetMode="External" /><Relationship Type="http://schemas.openxmlformats.org/officeDocument/2006/relationships/hyperlink" Id="rId224" Target="https://doi.org/10.1111/evo.13967" TargetMode="External" /><Relationship Type="http://schemas.openxmlformats.org/officeDocument/2006/relationships/hyperlink" Id="rId301" Target="https://doi.org/10.1111/geb.70024" TargetMode="External" /><Relationship Type="http://schemas.openxmlformats.org/officeDocument/2006/relationships/hyperlink" Id="rId281" Target="https://doi.org/10.1111/j.1469-185X.2010.00137.x" TargetMode="External" /><Relationship Type="http://schemas.openxmlformats.org/officeDocument/2006/relationships/hyperlink" Id="rId315" Target="https://doi.org/10.1111/j.1558-5646.1960.tb03121.x" TargetMode="External" /><Relationship Type="http://schemas.openxmlformats.org/officeDocument/2006/relationships/hyperlink" Id="rId255" Target="https://doi.org/10.1111/j.1558-5646.2009.00926.x" TargetMode="External" /><Relationship Type="http://schemas.openxmlformats.org/officeDocument/2006/relationships/hyperlink" Id="rId260"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89" Target="https://doi.org/10.1111/nph.13247" TargetMode="External" /><Relationship Type="http://schemas.openxmlformats.org/officeDocument/2006/relationships/hyperlink" Id="rId230" Target="https://doi.org/10.1111/pala.12586" TargetMode="External" /><Relationship Type="http://schemas.openxmlformats.org/officeDocument/2006/relationships/hyperlink" Id="rId186" Target="https://doi.org/10.1111/pala.70028" TargetMode="External" /><Relationship Type="http://schemas.openxmlformats.org/officeDocument/2006/relationships/hyperlink" Id="rId182" Target="https://doi.org/10.1126/sciadv.1601693" TargetMode="External" /><Relationship Type="http://schemas.openxmlformats.org/officeDocument/2006/relationships/hyperlink" Id="rId226" Target="https://doi.org/10.1126/sciadv.aaz1346" TargetMode="External" /><Relationship Type="http://schemas.openxmlformats.org/officeDocument/2006/relationships/hyperlink" Id="rId165" Target="https://doi.org/10.1126/sciadv.adl2643" TargetMode="External" /><Relationship Type="http://schemas.openxmlformats.org/officeDocument/2006/relationships/hyperlink" Id="rId279" Target="https://doi.org/10.1126/science.1089332" TargetMode="External" /><Relationship Type="http://schemas.openxmlformats.org/officeDocument/2006/relationships/hyperlink" Id="rId264"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5" Target="https://doi.org/10.1126/science.1194585" TargetMode="External" /><Relationship Type="http://schemas.openxmlformats.org/officeDocument/2006/relationships/hyperlink" Id="rId249"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29" Target="https://doi.org/10.1126/science.aba6853" TargetMode="External" /><Relationship Type="http://schemas.openxmlformats.org/officeDocument/2006/relationships/hyperlink" Id="rId161"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71" Target="https://doi.org/10.1130/0091-7613(1995)023&lt;0237:ATAACF&gt;2.3.CO;2" TargetMode="External" /><Relationship Type="http://schemas.openxmlformats.org/officeDocument/2006/relationships/hyperlink" Id="rId135" Target="https://doi.org/10.1130/B30660.1" TargetMode="External" /><Relationship Type="http://schemas.openxmlformats.org/officeDocument/2006/relationships/hyperlink" Id="rId285"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73" Target="https://doi.org/10.1146/annurev-earth-081522-090454" TargetMode="External" /><Relationship Type="http://schemas.openxmlformats.org/officeDocument/2006/relationships/hyperlink" Id="rId234" Target="https://doi.org/10.1146/annurev-ecolsys-102722-020508" TargetMode="External" /><Relationship Type="http://schemas.openxmlformats.org/officeDocument/2006/relationships/hyperlink" Id="rId220" Target="https://doi.org/10.1146/annurev.ecolsys.28.1.495" TargetMode="External" /><Relationship Type="http://schemas.openxmlformats.org/officeDocument/2006/relationships/hyperlink" Id="rId204"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6" Target="https://doi.org/10.1206/0003-0090-363.1.1" TargetMode="External" /><Relationship Type="http://schemas.openxmlformats.org/officeDocument/2006/relationships/hyperlink" Id="rId307" Target="https://doi.org/10.1371/journal.pbio.3000494" TargetMode="External" /><Relationship Type="http://schemas.openxmlformats.org/officeDocument/2006/relationships/hyperlink" Id="rId15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4" Target="https://doi.org/10.2307/2291091" TargetMode="External" /><Relationship Type="http://schemas.openxmlformats.org/officeDocument/2006/relationships/hyperlink" Id="rId299" Target="https://doi.org/10.2307/2398811" TargetMode="External" /><Relationship Type="http://schemas.openxmlformats.org/officeDocument/2006/relationships/hyperlink" Id="rId318"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09" Target="https://doi.org/10.5281/zenodo.18135819" TargetMode="External" /><Relationship Type="http://schemas.openxmlformats.org/officeDocument/2006/relationships/hyperlink" Id="rId236" Target="https://doi.org/10.5710/AMGH.07.07.2023.3551" TargetMode="External" /><Relationship Type="http://schemas.openxmlformats.org/officeDocument/2006/relationships/hyperlink" Id="rId143" Target="https://doi.org/10.5710/PEAPA.01.11.2019.309" TargetMode="External" /><Relationship Type="http://schemas.openxmlformats.org/officeDocument/2006/relationships/hyperlink" Id="rId159" Target="https://doi.org/10.64898/2026.02.27.708174" TargetMode="External" /><Relationship Type="http://schemas.openxmlformats.org/officeDocument/2006/relationships/hyperlink" Id="rId153" Target="https://doi.org/10.64898/2026.04.08.716966" TargetMode="External" /><Relationship Type="http://schemas.openxmlformats.org/officeDocument/2006/relationships/hyperlink" Id="rId311"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3" Target="https://press.uchicago.edu/ucp/books/book/chicago/M/bo18553844.html" TargetMode="External" /><Relationship Type="http://schemas.openxmlformats.org/officeDocument/2006/relationships/hyperlink" Id="rId216" Target="https://www.jstor.org/stable/1688046" TargetMode="External" /><Relationship Type="http://schemas.openxmlformats.org/officeDocument/2006/relationships/hyperlink" Id="rId145" Target="https://www.jstor.org/stable/20445597" TargetMode="External" /><Relationship Type="http://schemas.openxmlformats.org/officeDocument/2006/relationships/hyperlink" Id="rId141" Target="https://www.jstor.org/stable/2461605" TargetMode="External" /><Relationship Type="http://schemas.openxmlformats.org/officeDocument/2006/relationships/hyperlink" Id="rId342"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spp2.70064" TargetMode="External" /><Relationship Type="http://schemas.openxmlformats.org/officeDocument/2006/relationships/hyperlink" Id="rId218" Target="https://doi.org/10.1006/qres.1998.1977" TargetMode="External" /><Relationship Type="http://schemas.openxmlformats.org/officeDocument/2006/relationships/hyperlink" Id="rId232" Target="https://doi.org/10.1007/BF02988789" TargetMode="External" /><Relationship Type="http://schemas.openxmlformats.org/officeDocument/2006/relationships/hyperlink" Id="rId52" Target="https://doi.org/10.1007/s10914-016-9333-1" TargetMode="External" /><Relationship Type="http://schemas.openxmlformats.org/officeDocument/2006/relationships/hyperlink" Id="rId212" Target="https://doi.org/10.1007/s10914-022-09631-7" TargetMode="External" /><Relationship Type="http://schemas.openxmlformats.org/officeDocument/2006/relationships/hyperlink" Id="rId129" Target="https://doi.org/10.1007/s10914-023-09675-3" TargetMode="External" /><Relationship Type="http://schemas.openxmlformats.org/officeDocument/2006/relationships/hyperlink" Id="rId79" Target="https://doi.org/10.1007/s10914-024-09739-y" TargetMode="External" /><Relationship Type="http://schemas.openxmlformats.org/officeDocument/2006/relationships/hyperlink" Id="rId179" Target="https://doi.org/10.1007/s11692-017-9434-7" TargetMode="External" /><Relationship Type="http://schemas.openxmlformats.org/officeDocument/2006/relationships/hyperlink" Id="rId228" Target="https://doi.org/10.1007/s11692-022-09596-8" TargetMode="External" /><Relationship Type="http://schemas.openxmlformats.org/officeDocument/2006/relationships/hyperlink" Id="rId89" Target="https://doi.org/10.1007/s12542-016-0306-8" TargetMode="External" /><Relationship Type="http://schemas.openxmlformats.org/officeDocument/2006/relationships/hyperlink" Id="rId241" Target="https://doi.org/10.1016/B978-0-12-824360-2.00005-X" TargetMode="External" /><Relationship Type="http://schemas.openxmlformats.org/officeDocument/2006/relationships/hyperlink" Id="rId85" Target="https://doi.org/10.1016/j.earscirev.2021.103640" TargetMode="External" /><Relationship Type="http://schemas.openxmlformats.org/officeDocument/2006/relationships/hyperlink" Id="rId54" Target="https://doi.org/10.1016/j.gloplacha.2021.103512" TargetMode="External" /><Relationship Type="http://schemas.openxmlformats.org/officeDocument/2006/relationships/hyperlink" Id="rId87" Target="https://doi.org/10.1016/j.gloplacha.2021.103704" TargetMode="External" /><Relationship Type="http://schemas.openxmlformats.org/officeDocument/2006/relationships/hyperlink" Id="rId297" Target="https://doi.org/10.1016/j.gr.2024.08.002" TargetMode="External" /><Relationship Type="http://schemas.openxmlformats.org/officeDocument/2006/relationships/hyperlink" Id="rId167" Target="https://doi.org/10.1016/j.jsames.2005.06.007" TargetMode="External" /><Relationship Type="http://schemas.openxmlformats.org/officeDocument/2006/relationships/hyperlink" Id="rId75" Target="https://doi.org/10.1016/j.palaeo.2009.01.004" TargetMode="External" /><Relationship Type="http://schemas.openxmlformats.org/officeDocument/2006/relationships/hyperlink" Id="rId184" Target="https://doi.org/10.1016/j.palaeo.2012.09.001" TargetMode="External" /><Relationship Type="http://schemas.openxmlformats.org/officeDocument/2006/relationships/hyperlink" Id="rId62" Target="https://doi.org/10.1016/j.palaeo.2026.113585" TargetMode="External" /><Relationship Type="http://schemas.openxmlformats.org/officeDocument/2006/relationships/hyperlink" Id="rId268" Target="https://doi.org/10.1016/j.palaeo.2026.113767" TargetMode="External" /><Relationship Type="http://schemas.openxmlformats.org/officeDocument/2006/relationships/hyperlink" Id="rId155" Target="https://doi.org/10.1017/S0094837300005224" TargetMode="External" /><Relationship Type="http://schemas.openxmlformats.org/officeDocument/2006/relationships/hyperlink" Id="rId151" Target="https://doi.org/10.1017/S0094837300015864" TargetMode="External" /><Relationship Type="http://schemas.openxmlformats.org/officeDocument/2006/relationships/hyperlink" Id="rId291" Target="https://doi.org/10.1017/pab.2019.23" TargetMode="External" /><Relationship Type="http://schemas.openxmlformats.org/officeDocument/2006/relationships/hyperlink" Id="rId324" Target="https://doi.org/10.1017/pab.2020.12" TargetMode="External" /><Relationship Type="http://schemas.openxmlformats.org/officeDocument/2006/relationships/hyperlink" Id="rId131" Target="https://doi.org/10.1038/365748a0" TargetMode="External" /><Relationship Type="http://schemas.openxmlformats.org/officeDocument/2006/relationships/hyperlink" Id="rId257" Target="https://doi.org/10.1038/ncomms2958" TargetMode="External" /><Relationship Type="http://schemas.openxmlformats.org/officeDocument/2006/relationships/hyperlink" Id="rId149" Target="https://doi.org/10.1038/s41467-022-30507-0" TargetMode="External" /><Relationship Type="http://schemas.openxmlformats.org/officeDocument/2006/relationships/hyperlink" Id="rId120" Target="https://doi.org/10.1038/s41467-024-48434-7" TargetMode="External" /><Relationship Type="http://schemas.openxmlformats.org/officeDocument/2006/relationships/hyperlink" Id="rId116" Target="https://doi.org/10.1038/s41559-020-01321-y" TargetMode="External" /><Relationship Type="http://schemas.openxmlformats.org/officeDocument/2006/relationships/hyperlink" Id="rId251" Target="https://doi.org/10.1038/s41559-025-02873-7" TargetMode="External" /><Relationship Type="http://schemas.openxmlformats.org/officeDocument/2006/relationships/hyperlink" Id="rId56" Target="https://doi.org/10.1038/s41561-018-0236-z" TargetMode="External" /><Relationship Type="http://schemas.openxmlformats.org/officeDocument/2006/relationships/hyperlink" Id="rId72" Target="https://doi.org/10.1038/s41586-023-06381-1" TargetMode="External" /><Relationship Type="http://schemas.openxmlformats.org/officeDocument/2006/relationships/hyperlink" Id="rId198" Target="https://doi.org/10.1038/s41598-017-05263-7" TargetMode="External" /><Relationship Type="http://schemas.openxmlformats.org/officeDocument/2006/relationships/hyperlink" Id="rId303" Target="https://doi.org/10.1038/s41598-022-05266-z" TargetMode="External" /><Relationship Type="http://schemas.openxmlformats.org/officeDocument/2006/relationships/hyperlink" Id="rId91" Target="https://doi.org/10.1038/s41598-022-26010-7" TargetMode="External" /><Relationship Type="http://schemas.openxmlformats.org/officeDocument/2006/relationships/hyperlink" Id="rId313" Target="https://doi.org/10.1038/s41598-023-28497-0" TargetMode="External" /><Relationship Type="http://schemas.openxmlformats.org/officeDocument/2006/relationships/hyperlink" Id="rId200" Target="https://doi.org/10.1073/pnas.0709763105" TargetMode="External" /><Relationship Type="http://schemas.openxmlformats.org/officeDocument/2006/relationships/hyperlink" Id="rId58" Target="https://doi.org/10.1073/pnas.0811421106" TargetMode="External" /><Relationship Type="http://schemas.openxmlformats.org/officeDocument/2006/relationships/hyperlink" Id="rId177" Target="https://doi.org/10.1073/pnas.1302642110" TargetMode="External" /><Relationship Type="http://schemas.openxmlformats.org/officeDocument/2006/relationships/hyperlink" Id="rId287" Target="https://doi.org/10.1073/pnas.1502803112" TargetMode="External" /><Relationship Type="http://schemas.openxmlformats.org/officeDocument/2006/relationships/hyperlink" Id="rId104" Target="https://doi.org/10.1073/pnas.1606868114" TargetMode="External" /><Relationship Type="http://schemas.openxmlformats.org/officeDocument/2006/relationships/hyperlink" Id="rId112" Target="https://doi.org/10.1073/pnas.1902693116" TargetMode="External" /><Relationship Type="http://schemas.openxmlformats.org/officeDocument/2006/relationships/hyperlink" Id="rId114" Target="https://doi.org/10.1073/pnas.2005571117" TargetMode="External" /><Relationship Type="http://schemas.openxmlformats.org/officeDocument/2006/relationships/hyperlink" Id="rId102" Target="https://doi.org/10.1073/pnas.2006087117" TargetMode="External" /><Relationship Type="http://schemas.openxmlformats.org/officeDocument/2006/relationships/hyperlink" Id="rId305" Target="https://doi.org/10.1073/pnas.2122486119" TargetMode="External" /><Relationship Type="http://schemas.openxmlformats.org/officeDocument/2006/relationships/hyperlink" Id="rId253" Target="https://doi.org/10.1073/pnas.2220672120" TargetMode="External" /><Relationship Type="http://schemas.openxmlformats.org/officeDocument/2006/relationships/hyperlink" Id="rId283" Target="https://doi.org/10.1073/pnas.2307629121" TargetMode="External" /><Relationship Type="http://schemas.openxmlformats.org/officeDocument/2006/relationships/hyperlink" Id="rId327" Target="https://doi.org/10.1073/pnas.2309945120" TargetMode="External" /><Relationship Type="http://schemas.openxmlformats.org/officeDocument/2006/relationships/hyperlink" Id="rId188" Target="https://doi.org/10.1073/pnas.2317795121" TargetMode="External" /><Relationship Type="http://schemas.openxmlformats.org/officeDocument/2006/relationships/hyperlink" Id="rId93" Target="https://doi.org/10.1073/pnas.2419520122" TargetMode="External" /><Relationship Type="http://schemas.openxmlformats.org/officeDocument/2006/relationships/hyperlink" Id="rId320" Target="https://doi.org/10.1073/pnas.70.7.1936" TargetMode="External" /><Relationship Type="http://schemas.openxmlformats.org/officeDocument/2006/relationships/hyperlink" Id="rId245" Target="https://doi.org/10.1080/02724634.2010.522432" TargetMode="External" /><Relationship Type="http://schemas.openxmlformats.org/officeDocument/2006/relationships/hyperlink" Id="rId262" Target="https://doi.org/10.1080/08912963.2024.2390518" TargetMode="External" /><Relationship Type="http://schemas.openxmlformats.org/officeDocument/2006/relationships/hyperlink" Id="rId50" Target="https://doi.org/10.1093/biolinnean/blx026" TargetMode="External" /><Relationship Type="http://schemas.openxmlformats.org/officeDocument/2006/relationships/hyperlink" Id="rId169" Target="https://doi.org/10.1093/botlinnean/boab098" TargetMode="External" /><Relationship Type="http://schemas.openxmlformats.org/officeDocument/2006/relationships/hyperlink" Id="rId238" Target="https://doi.org/10.1093/evolut/qpaf091" TargetMode="External" /><Relationship Type="http://schemas.openxmlformats.org/officeDocument/2006/relationships/hyperlink" Id="rId190" Target="https://doi.org/10.1093/isd/ixac017" TargetMode="External" /><Relationship Type="http://schemas.openxmlformats.org/officeDocument/2006/relationships/hyperlink" Id="rId271" Target="https://doi.org/10.1093/jmammal/gyz194" TargetMode="External" /><Relationship Type="http://schemas.openxmlformats.org/officeDocument/2006/relationships/hyperlink" Id="rId331" Target="https://doi.org/10.1093/molbev/msaa189" TargetMode="External" /><Relationship Type="http://schemas.openxmlformats.org/officeDocument/2006/relationships/hyperlink" Id="rId202" Target="https://doi.org/10.1093/sysbio/syq052" TargetMode="External" /><Relationship Type="http://schemas.openxmlformats.org/officeDocument/2006/relationships/hyperlink" Id="rId273" Target="https://doi.org/10.1093/sysbio/syq092" TargetMode="External" /><Relationship Type="http://schemas.openxmlformats.org/officeDocument/2006/relationships/hyperlink" Id="rId133" Target="https://doi.org/10.1093/sysbio/syw020" TargetMode="External" /><Relationship Type="http://schemas.openxmlformats.org/officeDocument/2006/relationships/hyperlink" Id="rId163" Target="https://doi.org/10.1093/sysbio/syx082" TargetMode="External" /><Relationship Type="http://schemas.openxmlformats.org/officeDocument/2006/relationships/hyperlink" Id="rId108" Target="https://doi.org/10.1093/sysbio/syy009" TargetMode="External" /><Relationship Type="http://schemas.openxmlformats.org/officeDocument/2006/relationships/hyperlink" Id="rId192" Target="https://doi.org/10.1098/rsos.252318" TargetMode="External" /><Relationship Type="http://schemas.openxmlformats.org/officeDocument/2006/relationships/hyperlink" Id="rId222" Target="https://doi.org/10.1098/rspb.2007.1056" TargetMode="External" /><Relationship Type="http://schemas.openxmlformats.org/officeDocument/2006/relationships/hyperlink" Id="rId266" Target="https://doi.org/10.1098/rspb.2007.1645" TargetMode="External" /><Relationship Type="http://schemas.openxmlformats.org/officeDocument/2006/relationships/hyperlink" Id="rId139" Target="https://doi.org/10.1098/rspb.2011.1439" TargetMode="External" /><Relationship Type="http://schemas.openxmlformats.org/officeDocument/2006/relationships/hyperlink" Id="rId275" Target="https://doi.org/10.1098/rspb.2013.1071" TargetMode="External" /><Relationship Type="http://schemas.openxmlformats.org/officeDocument/2006/relationships/hyperlink" Id="rId277" Target="https://doi.org/10.1098/rspb.2014.2490" TargetMode="External" /><Relationship Type="http://schemas.openxmlformats.org/officeDocument/2006/relationships/hyperlink" Id="rId123" Target="https://doi.org/10.1098/rspb.2017.2012" TargetMode="External" /><Relationship Type="http://schemas.openxmlformats.org/officeDocument/2006/relationships/hyperlink" Id="rId214" Target="https://doi.org/10.1098/rspb.2019.2806" TargetMode="External" /><Relationship Type="http://schemas.openxmlformats.org/officeDocument/2006/relationships/hyperlink" Id="rId210" Target="https://doi.org/10.1098/rspb.2024.2932" TargetMode="External" /><Relationship Type="http://schemas.openxmlformats.org/officeDocument/2006/relationships/hyperlink" Id="rId66" Target="https://doi.org/10.1098/rspb.2025.1418" TargetMode="External" /><Relationship Type="http://schemas.openxmlformats.org/officeDocument/2006/relationships/hyperlink" Id="rId137" Target="https://doi.org/10.1098/rspb.2025.2245" TargetMode="External" /><Relationship Type="http://schemas.openxmlformats.org/officeDocument/2006/relationships/hyperlink" Id="rId196" Target="https://doi.org/10.1098/rspb.2025.2272" TargetMode="External" /><Relationship Type="http://schemas.openxmlformats.org/officeDocument/2006/relationships/hyperlink" Id="rId100" Target="https://doi.org/10.1098/rspb.2025.2586" TargetMode="External" /><Relationship Type="http://schemas.openxmlformats.org/officeDocument/2006/relationships/hyperlink" Id="rId147" Target="https://doi.org/10.1098/rspb.2025.2732" TargetMode="External" /><Relationship Type="http://schemas.openxmlformats.org/officeDocument/2006/relationships/hyperlink" Id="rId293" Target="https://doi.org/10.1111/2041-210X.12263" TargetMode="External" /><Relationship Type="http://schemas.openxmlformats.org/officeDocument/2006/relationships/hyperlink" Id="rId118" Target="https://doi.org/10.1111/2041-210X.70070" TargetMode="External" /><Relationship Type="http://schemas.openxmlformats.org/officeDocument/2006/relationships/hyperlink" Id="rId48" Target="https://doi.org/10.1111/bij.12695" TargetMode="External" /><Relationship Type="http://schemas.openxmlformats.org/officeDocument/2006/relationships/hyperlink" Id="rId110" Target="https://doi.org/10.1111/ele.13382" TargetMode="External" /><Relationship Type="http://schemas.openxmlformats.org/officeDocument/2006/relationships/hyperlink" Id="rId208" Target="https://doi.org/10.1111/evo.13155" TargetMode="External" /><Relationship Type="http://schemas.openxmlformats.org/officeDocument/2006/relationships/hyperlink" Id="rId247" Target="https://doi.org/10.1111/evo.13680" TargetMode="External" /><Relationship Type="http://schemas.openxmlformats.org/officeDocument/2006/relationships/hyperlink" Id="rId224" Target="https://doi.org/10.1111/evo.13967" TargetMode="External" /><Relationship Type="http://schemas.openxmlformats.org/officeDocument/2006/relationships/hyperlink" Id="rId301" Target="https://doi.org/10.1111/geb.70024" TargetMode="External" /><Relationship Type="http://schemas.openxmlformats.org/officeDocument/2006/relationships/hyperlink" Id="rId281" Target="https://doi.org/10.1111/j.1469-185X.2010.00137.x" TargetMode="External" /><Relationship Type="http://schemas.openxmlformats.org/officeDocument/2006/relationships/hyperlink" Id="rId315" Target="https://doi.org/10.1111/j.1558-5646.1960.tb03121.x" TargetMode="External" /><Relationship Type="http://schemas.openxmlformats.org/officeDocument/2006/relationships/hyperlink" Id="rId255" Target="https://doi.org/10.1111/j.1558-5646.2009.00926.x" TargetMode="External" /><Relationship Type="http://schemas.openxmlformats.org/officeDocument/2006/relationships/hyperlink" Id="rId260" Target="https://doi.org/10.1111/joa.13430" TargetMode="External" /><Relationship Type="http://schemas.openxmlformats.org/officeDocument/2006/relationships/hyperlink" Id="rId96" Target="https://doi.org/10.1111/let.12015" TargetMode="External" /><Relationship Type="http://schemas.openxmlformats.org/officeDocument/2006/relationships/hyperlink" Id="rId289" Target="https://doi.org/10.1111/nph.13247" TargetMode="External" /><Relationship Type="http://schemas.openxmlformats.org/officeDocument/2006/relationships/hyperlink" Id="rId230" Target="https://doi.org/10.1111/pala.12586" TargetMode="External" /><Relationship Type="http://schemas.openxmlformats.org/officeDocument/2006/relationships/hyperlink" Id="rId186" Target="https://doi.org/10.1111/pala.70028" TargetMode="External" /><Relationship Type="http://schemas.openxmlformats.org/officeDocument/2006/relationships/hyperlink" Id="rId182" Target="https://doi.org/10.1126/sciadv.1601693" TargetMode="External" /><Relationship Type="http://schemas.openxmlformats.org/officeDocument/2006/relationships/hyperlink" Id="rId226" Target="https://doi.org/10.1126/sciadv.aaz1346" TargetMode="External" /><Relationship Type="http://schemas.openxmlformats.org/officeDocument/2006/relationships/hyperlink" Id="rId165" Target="https://doi.org/10.1126/sciadv.adl2643" TargetMode="External" /><Relationship Type="http://schemas.openxmlformats.org/officeDocument/2006/relationships/hyperlink" Id="rId279" Target="https://doi.org/10.1126/science.1089332" TargetMode="External" /><Relationship Type="http://schemas.openxmlformats.org/officeDocument/2006/relationships/hyperlink" Id="rId264" Target="https://doi.org/10.1126/science.11542058" TargetMode="External" /><Relationship Type="http://schemas.openxmlformats.org/officeDocument/2006/relationships/hyperlink" Id="rId70" Target="https://doi.org/10.1126/science.1157719" TargetMode="External" /><Relationship Type="http://schemas.openxmlformats.org/officeDocument/2006/relationships/hyperlink" Id="rId175" Target="https://doi.org/10.1126/science.1194585" TargetMode="External" /><Relationship Type="http://schemas.openxmlformats.org/officeDocument/2006/relationships/hyperlink" Id="rId249" Target="https://doi.org/10.1126/science.1239431" TargetMode="External" /><Relationship Type="http://schemas.openxmlformats.org/officeDocument/2006/relationships/hyperlink" Id="rId98" Target="https://doi.org/10.1126/science.aag1772" TargetMode="External" /><Relationship Type="http://schemas.openxmlformats.org/officeDocument/2006/relationships/hyperlink" Id="rId329" Target="https://doi.org/10.1126/science.aba6853" TargetMode="External" /><Relationship Type="http://schemas.openxmlformats.org/officeDocument/2006/relationships/hyperlink" Id="rId161" Target="https://doi.org/10.1126/science.abn2080" TargetMode="External" /><Relationship Type="http://schemas.openxmlformats.org/officeDocument/2006/relationships/hyperlink" Id="rId83" Target="https://doi.org/10.1126/science.adu0704" TargetMode="External" /><Relationship Type="http://schemas.openxmlformats.org/officeDocument/2006/relationships/hyperlink" Id="rId171" Target="https://doi.org/10.1130/0091-7613(1995)023&lt;0237:ATAACF&gt;2.3.CO;2" TargetMode="External" /><Relationship Type="http://schemas.openxmlformats.org/officeDocument/2006/relationships/hyperlink" Id="rId135" Target="https://doi.org/10.1130/B30660.1" TargetMode="External" /><Relationship Type="http://schemas.openxmlformats.org/officeDocument/2006/relationships/hyperlink" Id="rId285" Target="https://doi.org/10.1130/G36664.1" TargetMode="External" /><Relationship Type="http://schemas.openxmlformats.org/officeDocument/2006/relationships/hyperlink" Id="rId127" Target="https://doi.org/10.1144/jgs2020-188" TargetMode="External" /><Relationship Type="http://schemas.openxmlformats.org/officeDocument/2006/relationships/hyperlink" Id="rId125" Target="https://doi.org/10.1146/annurev-earth-072619-060126" TargetMode="External" /><Relationship Type="http://schemas.openxmlformats.org/officeDocument/2006/relationships/hyperlink" Id="rId173" Target="https://doi.org/10.1146/annurev-earth-081522-090454" TargetMode="External" /><Relationship Type="http://schemas.openxmlformats.org/officeDocument/2006/relationships/hyperlink" Id="rId234" Target="https://doi.org/10.1146/annurev-ecolsys-102722-020508" TargetMode="External" /><Relationship Type="http://schemas.openxmlformats.org/officeDocument/2006/relationships/hyperlink" Id="rId220" Target="https://doi.org/10.1146/annurev.ecolsys.28.1.495" TargetMode="External" /><Relationship Type="http://schemas.openxmlformats.org/officeDocument/2006/relationships/hyperlink" Id="rId204" Target="https://doi.org/10.1146/annurev.ecolsys.31.1.33" TargetMode="External" /><Relationship Type="http://schemas.openxmlformats.org/officeDocument/2006/relationships/hyperlink" Id="rId60" Target="https://doi.org/10.1146/annurev.ecolsys.33.010802.150500" TargetMode="External" /><Relationship Type="http://schemas.openxmlformats.org/officeDocument/2006/relationships/hyperlink" Id="rId206" Target="https://doi.org/10.1206/0003-0090-363.1.1" TargetMode="External" /><Relationship Type="http://schemas.openxmlformats.org/officeDocument/2006/relationships/hyperlink" Id="rId307" Target="https://doi.org/10.1371/journal.pbio.3000494" TargetMode="External" /><Relationship Type="http://schemas.openxmlformats.org/officeDocument/2006/relationships/hyperlink" Id="rId157" Target="https://doi.org/10.1590/1809-4392202103601" TargetMode="External" /><Relationship Type="http://schemas.openxmlformats.org/officeDocument/2006/relationships/hyperlink" Id="rId68" Target="https://doi.org/10.1671/0272-4634(2001)021[0172:DTEOTR]2.0.CO;2" TargetMode="External" /><Relationship Type="http://schemas.openxmlformats.org/officeDocument/2006/relationships/hyperlink" Id="rId106" Target="https://doi.org/10.18814/epiiugs/2025/025001" TargetMode="External" /><Relationship Type="http://schemas.openxmlformats.org/officeDocument/2006/relationships/hyperlink" Id="rId194" Target="https://doi.org/10.2307/2291091" TargetMode="External" /><Relationship Type="http://schemas.openxmlformats.org/officeDocument/2006/relationships/hyperlink" Id="rId299" Target="https://doi.org/10.2307/2398811" TargetMode="External" /><Relationship Type="http://schemas.openxmlformats.org/officeDocument/2006/relationships/hyperlink" Id="rId318" Target="https://doi.org/10.2307/2412953" TargetMode="External" /><Relationship Type="http://schemas.openxmlformats.org/officeDocument/2006/relationships/hyperlink" Id="rId81" Target="https://doi.org/10.5252/geodiversitas2019v41a4" TargetMode="External" /><Relationship Type="http://schemas.openxmlformats.org/officeDocument/2006/relationships/hyperlink" Id="rId309" Target="https://doi.org/10.5281/zenodo.18135819" TargetMode="External" /><Relationship Type="http://schemas.openxmlformats.org/officeDocument/2006/relationships/hyperlink" Id="rId236" Target="https://doi.org/10.5710/AMGH.07.07.2023.3551" TargetMode="External" /><Relationship Type="http://schemas.openxmlformats.org/officeDocument/2006/relationships/hyperlink" Id="rId143" Target="https://doi.org/10.5710/PEAPA.01.11.2019.309" TargetMode="External" /><Relationship Type="http://schemas.openxmlformats.org/officeDocument/2006/relationships/hyperlink" Id="rId159" Target="https://doi.org/10.64898/2026.02.27.708174" TargetMode="External" /><Relationship Type="http://schemas.openxmlformats.org/officeDocument/2006/relationships/hyperlink" Id="rId153" Target="https://doi.org/10.64898/2026.04.08.716966" TargetMode="External" /><Relationship Type="http://schemas.openxmlformats.org/officeDocument/2006/relationships/hyperlink" Id="rId311" Target="https://doi.org/10.7717/peerj.19897" TargetMode="External" /><Relationship Type="http://schemas.openxmlformats.org/officeDocument/2006/relationships/hyperlink" Id="rId77" Target="https://doi.org/10.7717/peerj.6088" TargetMode="External" /><Relationship Type="http://schemas.openxmlformats.org/officeDocument/2006/relationships/hyperlink" Id="rId43" Target="https://palaeoverse.org/external" TargetMode="External" /><Relationship Type="http://schemas.openxmlformats.org/officeDocument/2006/relationships/hyperlink" Id="rId243" Target="https://press.uchicago.edu/ucp/books/book/chicago/M/bo18553844.html" TargetMode="External" /><Relationship Type="http://schemas.openxmlformats.org/officeDocument/2006/relationships/hyperlink" Id="rId216" Target="https://www.jstor.org/stable/1688046" TargetMode="External" /><Relationship Type="http://schemas.openxmlformats.org/officeDocument/2006/relationships/hyperlink" Id="rId145" Target="https://www.jstor.org/stable/20445597" TargetMode="External" /><Relationship Type="http://schemas.openxmlformats.org/officeDocument/2006/relationships/hyperlink" Id="rId141" Target="https://www.jstor.org/stable/2461605" TargetMode="External" /><Relationship Type="http://schemas.openxmlformats.org/officeDocument/2006/relationships/hyperlink" Id="rId342"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2026-06-14T20:13:48Z</dcterms:created>
  <dcterms:modified xsi:type="dcterms:W3CDTF">2026-06-14T20:13:48Z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sl">
    <vt:lpwstr>evolution.csl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