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footnotes.xml" ContentType="application/vnd.openxmlformats-officedocument.wordprocessingml.footnotes+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 matter of size: what underpinned the emergence and demise of the largest rodents that ever lived?</w:t>
      </w:r>
    </w:p>
    <w:p>
      <w:pPr>
        <w:pStyle w:val="Author"/>
        <w:rPr/>
      </w:pPr>
      <w:r>
        <w:rPr/>
        <w:t>Lucas Buffan¹*, Myriam Boivin²*, Alicia Álvarez², Fabien L. Condamine¹, Laurent Marivaux¹</w:t>
      </w:r>
    </w:p>
    <w:p>
      <w:pPr>
        <w:pStyle w:val="FirstParagraph"/>
        <w:rPr/>
      </w:pPr>
      <w:r>
        <w:rPr/>
        <w:t xml:space="preserve">¹ </w:t>
      </w:r>
      <w:r>
        <w:rPr/>
        <w:t>Institut des Sciences de l’Evolution de Montpellier, Université de Montpellier, CNRS, IRD, Place Eugène Bataillon, 34095 Montpellier cedex 5, France.</w:t>
      </w:r>
    </w:p>
    <w:p>
      <w:pPr>
        <w:pStyle w:val="BodyText"/>
        <w:rPr/>
      </w:pPr>
      <w:r>
        <w:rPr/>
        <w:t xml:space="preserve">² </w:t>
      </w:r>
      <w:r>
        <w:rPr/>
        <w:t>Instituto de Ecorregiones Andinas (INECOA), Universidad Nacional de Jujuy, CONICET, IdGyM, Avenida Bolivia 1661, 4600 San Salvador de Jujuy, Jujuy, Argentina.</w:t>
      </w:r>
    </w:p>
    <w:p>
      <w:pPr>
        <w:pStyle w:val="BodyText"/>
        <w:rPr/>
      </w:pPr>
      <w:r>
        <w:rPr/>
        <w:t>* corresponding authors: lucas.l.buffan@gmail.com, mboivin@idgym.unju.edu.ar</w:t>
      </w:r>
    </w:p>
    <w:p>
      <w:pPr>
        <w:pStyle w:val="BodyText"/>
        <w:rPr/>
      </w:pPr>
      <w:r>
        <w:rPr>
          <w:b/>
          <w:bCs/>
        </w:rPr>
        <w:t>Keywords:</w:t>
      </w:r>
      <w:r>
        <w:rPr/>
        <w:t xml:space="preserve"> Bayesian inference; Body mass; Deep Learning; Disparity; Macroevolution; Rodents</w:t>
      </w:r>
    </w:p>
    <w:p>
      <w:pPr>
        <w:pStyle w:val="Heading1"/>
        <w:rPr/>
      </w:pPr>
      <w:bookmarkStart w:id="0" w:name="abstract"/>
      <w:r>
        <w:rPr/>
        <w:t>Abstract</w:t>
      </w:r>
      <w:bookmarkEnd w:id="0"/>
    </w:p>
    <w:p>
      <w:pPr>
        <w:pStyle w:val="Heading1"/>
        <w:rPr/>
      </w:pPr>
      <w:bookmarkStart w:id="1" w:name="introduction"/>
      <w:r>
        <w:rPr/>
        <w:t>Introduction</w:t>
      </w:r>
    </w:p>
    <w:p>
      <w:pPr>
        <w:pStyle w:val="FirstParagraph"/>
        <w:rPr/>
      </w:pPr>
      <w:r>
        <w:rPr/>
        <w:t>During most of the Cenozoic, the isolation of South America constrained the landmass’ mammalian fauna to evolve in a vacuum, leading to a vast array of endemic radiations (</w:t>
      </w:r>
      <w:r>
        <w:rPr>
          <w:i/>
          <w:iCs/>
        </w:rPr>
        <w:t>e</w:t>
      </w:r>
      <w:r>
        <w:rPr/>
        <w:t>.</w:t>
      </w:r>
      <w:r>
        <w:rPr>
          <w:i/>
          <w:iCs/>
        </w:rPr>
        <w:t>g</w:t>
      </w:r>
      <w:r>
        <w:rPr/>
        <w:t xml:space="preserve">., Simpson 1980). Among the most emblematic are the impressively disparate New World hystricognath rodents (Hystricognathi: Caviomorpha), accounting for </w:t>
      </w:r>
      <w:r>
        <w:rPr>
          <w:i/>
          <w:iCs/>
        </w:rPr>
        <w:t>c.</w:t>
      </w:r>
      <w:r>
        <w:rPr/>
        <w:t xml:space="preserve"> 10% of the global extant rodent diversity (Upham et al. 2026). The astonishing disparity within Caviomorpha is greatly exemplified by their body size range, going far beyond what is usually found in the Rodentia, from 50–80 g (</w:t>
      </w:r>
      <w:r>
        <w:rPr>
          <w:i/>
          <w:iCs/>
        </w:rPr>
        <w:t>Tympanoctomys kirchnerorum</w:t>
      </w:r>
      <w:r>
        <w:rPr/>
        <w:t xml:space="preserve"> Teta, 2014) to 50 kg (</w:t>
      </w:r>
      <w:r>
        <w:rPr>
          <w:i/>
          <w:iCs/>
        </w:rPr>
        <w:t>Hydrochoerus hydrochaeris</w:t>
      </w:r>
      <w:r>
        <w:rPr/>
        <w:t xml:space="preserve"> Linnaeus, 1766, the largest living rodent) (Patton et al. 2015). In fact, hystricognaths, and particularly caviomorphs, evolved the largest body sizes found in the Rodentia. Whether this unique trajectory stems from intrinsic developmental capability, ecological opportunity or a combination of both remains an open question (Vucetich et al. 2015).</w:t>
      </w:r>
    </w:p>
    <w:p>
      <w:pPr>
        <w:pStyle w:val="BodyText"/>
        <w:rPr/>
      </w:pPr>
      <w:r>
        <w:rPr/>
        <w:t>Interestingly, evolution towards large (</w:t>
      </w:r>
      <w:r>
        <w:rPr>
          <w:i/>
          <w:iCs/>
        </w:rPr>
        <w:t>i</w:t>
      </w:r>
      <w:r>
        <w:rPr/>
        <w:t>.</w:t>
      </w:r>
      <w:r>
        <w:rPr>
          <w:i/>
          <w:iCs/>
        </w:rPr>
        <w:t>e</w:t>
      </w:r>
      <w:r>
        <w:rPr/>
        <w:t>., body mass above 10 kg) to giant (</w:t>
      </w:r>
      <w:r>
        <w:rPr>
          <w:i/>
          <w:iCs/>
        </w:rPr>
        <w:t>i</w:t>
      </w:r>
      <w:r>
        <w:rPr/>
        <w:t>.</w:t>
      </w:r>
      <w:r>
        <w:rPr>
          <w:i/>
          <w:iCs/>
        </w:rPr>
        <w:t>e</w:t>
      </w:r>
      <w:r>
        <w:rPr/>
        <w:t>., above 100 kg) body sizes occurred iteratively and independently in an almost coordinated way among distinct caviomorph lineages (</w:t>
      </w:r>
      <w:r>
        <w:rPr>
          <w:i/>
          <w:iCs/>
        </w:rPr>
        <w:t>e</w:t>
      </w:r>
      <w:r>
        <w:rPr/>
        <w:t>.</w:t>
      </w:r>
      <w:r>
        <w:rPr>
          <w:i/>
          <w:iCs/>
        </w:rPr>
        <w:t>g</w:t>
      </w:r>
      <w:r>
        <w:rPr/>
        <w:t xml:space="preserve">., Vucetich et al. 2015; Álvarez et al. 2017). Such a trend is particularly well illustrated in the superfamily Chinchilloidea. Today, chinchilloids include seven to eight medium-sized species with high-crowned, ever-growing (euhypsodont) cheek teeth, distributed among four distantly-related genera – </w:t>
      </w:r>
      <w:r>
        <w:rPr>
          <w:i/>
          <w:iCs/>
        </w:rPr>
        <w:t>Chinchilla</w:t>
      </w:r>
      <w:r>
        <w:rPr/>
        <w:t xml:space="preserve"> Bennett, 1829, </w:t>
      </w:r>
      <w:r>
        <w:rPr>
          <w:i/>
          <w:iCs/>
        </w:rPr>
        <w:t>Lagidium</w:t>
      </w:r>
      <w:r>
        <w:rPr/>
        <w:t xml:space="preserve"> Meyen, 1933 and </w:t>
      </w:r>
      <w:r>
        <w:rPr>
          <w:i/>
          <w:iCs/>
        </w:rPr>
        <w:t>Lagostomus</w:t>
      </w:r>
      <w:r>
        <w:rPr/>
        <w:t xml:space="preserve"> Brookes, 1828, forming the family Chinchillidae, and </w:t>
      </w:r>
      <w:r>
        <w:rPr>
          <w:i/>
          <w:iCs/>
        </w:rPr>
        <w:t>Dinomys</w:t>
      </w:r>
      <w:r>
        <w:rPr/>
        <w:t xml:space="preserve"> Peters, 1873, the only living representative of the Dinomyidae. The fossil record of Chinchilloidea extends back to the latest Eocene (Antoine et al. 2021) and comprises more than 100 described species with variable degrees of crown height [</w:t>
      </w:r>
      <w:r>
        <w:rPr>
          <w:i/>
          <w:iCs/>
        </w:rPr>
        <w:t>i</w:t>
      </w:r>
      <w:r>
        <w:rPr/>
        <w:t>.</w:t>
      </w:r>
      <w:r>
        <w:rPr>
          <w:i/>
          <w:iCs/>
        </w:rPr>
        <w:t>e</w:t>
      </w:r>
      <w:r>
        <w:rPr/>
        <w:t xml:space="preserve">., hypsodonty; </w:t>
      </w:r>
      <w:r>
        <w:rPr>
          <w:i/>
          <w:iCs/>
        </w:rPr>
        <w:t>e</w:t>
      </w:r>
      <w:r>
        <w:rPr/>
        <w:t>.</w:t>
      </w:r>
      <w:r>
        <w:rPr>
          <w:i/>
          <w:iCs/>
        </w:rPr>
        <w:t>g</w:t>
      </w:r>
      <w:r>
        <w:rPr/>
        <w:t xml:space="preserve">., Candela (2005)], including many of the largest rodents ever recorded. On the South American landmass, fossils of giant chinchilloids were assigned to </w:t>
      </w:r>
      <w:r>
        <w:rPr/>
      </w:r>
      <m:oMath xmlns:m="http://schemas.openxmlformats.org/officeDocument/2006/math">
        <m:r>
          <w:rPr>
            <w:rFonts w:ascii="Cambria Math" w:hAnsi="Cambria Math"/>
          </w:rPr>
          <m:t xml:space="preserve">†</m:t>
        </m:r>
      </m:oMath>
      <w:r>
        <w:rPr/>
        <w:t>Neoepiblemidae (</w:t>
      </w:r>
      <w:r>
        <w:rPr>
          <w:i/>
          <w:iCs/>
        </w:rPr>
        <w:t>e</w:t>
      </w:r>
      <w:r>
        <w:rPr/>
        <w:t>.</w:t>
      </w:r>
      <w:r>
        <w:rPr>
          <w:i/>
          <w:iCs/>
        </w:rPr>
        <w:t>g</w:t>
      </w:r>
      <w:r>
        <w:rPr/>
        <w:t xml:space="preserve">., </w:t>
      </w:r>
      <w:r>
        <w:rPr/>
      </w:r>
      <m:oMath xmlns:m="http://schemas.openxmlformats.org/officeDocument/2006/math">
        <m:r>
          <w:rPr>
            <w:rFonts w:ascii="Cambria Math" w:hAnsi="Cambria Math"/>
          </w:rPr>
          <m:t xml:space="preserve">†</m:t>
        </m:r>
      </m:oMath>
      <w:r>
        <w:rPr>
          <w:i/>
          <w:iCs/>
        </w:rPr>
        <w:t>Phoberomys</w:t>
      </w:r>
      <w:r>
        <w:rPr/>
        <w:t xml:space="preserve"> Kraglievitch, 1926) and Dinomyidae (</w:t>
      </w:r>
      <w:r>
        <w:rPr>
          <w:i/>
          <w:iCs/>
        </w:rPr>
        <w:t>e</w:t>
      </w:r>
      <w:r>
        <w:rPr/>
        <w:t>.</w:t>
      </w:r>
      <w:r>
        <w:rPr>
          <w:i/>
          <w:iCs/>
        </w:rPr>
        <w:t>g</w:t>
      </w:r>
      <w:r>
        <w:rPr/>
        <w:t xml:space="preserve">., </w:t>
      </w:r>
      <w:r>
        <w:rPr/>
      </w:r>
      <m:oMath xmlns:m="http://schemas.openxmlformats.org/officeDocument/2006/math">
        <m:r>
          <w:rPr>
            <w:rFonts w:ascii="Cambria Math" w:hAnsi="Cambria Math"/>
          </w:rPr>
          <m:t xml:space="preserve">†</m:t>
        </m:r>
      </m:oMath>
      <w:r>
        <w:rPr>
          <w:i/>
          <w:iCs/>
        </w:rPr>
        <w:t>Isostylomys</w:t>
      </w:r>
      <w:r>
        <w:rPr/>
        <w:t xml:space="preserve"> Kraglievich, 1926 or </w:t>
      </w:r>
      <w:r>
        <w:rPr/>
      </w:r>
      <m:oMath xmlns:m="http://schemas.openxmlformats.org/officeDocument/2006/math">
        <m:r>
          <w:rPr>
            <w:rFonts w:ascii="Cambria Math" w:hAnsi="Cambria Math"/>
          </w:rPr>
          <m:t xml:space="preserve">†</m:t>
        </m:r>
      </m:oMath>
      <w:r>
        <w:rPr>
          <w:i/>
          <w:iCs/>
        </w:rPr>
        <w:t>Josephoartigasia</w:t>
      </w:r>
      <w:r>
        <w:rPr/>
        <w:t xml:space="preserve"> Mones 2007, the latter being the largest rodent ever recorded) (</w:t>
      </w:r>
      <w:r>
        <w:rPr>
          <w:i/>
          <w:iCs/>
        </w:rPr>
        <w:t>e</w:t>
      </w:r>
      <w:r>
        <w:rPr/>
        <w:t>.</w:t>
      </w:r>
      <w:r>
        <w:rPr>
          <w:i/>
          <w:iCs/>
        </w:rPr>
        <w:t>g</w:t>
      </w:r>
      <w:r>
        <w:rPr/>
        <w:t xml:space="preserve">., Sánchez-Villagra et al. 2003; Rinderknecht and Blanco 2008; Rasia et al. 2024). Nonetheless, it is worth mentioning that all these giant taxa were parts of a larger radiation that flourished in the late Cenozoic, in particular during the Mio-Pliocene, and further vanished, leaving the modest extant diversity of the group as a relic of a formerly speciose superfamily (Vucetich et al. 2015; Marivaux et al. 2020; Rasia et al. 2021). In addition, systematics based on morphological characters (primarily dental traits) also placed the Pleistocene Caribbean ‘giant hutias’ </w:t>
      </w:r>
      <w:r>
        <w:rPr/>
      </w:r>
      <m:oMath xmlns:m="http://schemas.openxmlformats.org/officeDocument/2006/math">
        <m:r>
          <w:rPr>
            <w:rFonts w:ascii="Cambria Math" w:hAnsi="Cambria Math"/>
          </w:rPr>
          <m:t xml:space="preserve">†</m:t>
        </m:r>
      </m:oMath>
      <w:r>
        <w:rPr>
          <w:i/>
          <w:iCs/>
        </w:rPr>
        <w:t>Amblyrhiza inundata</w:t>
      </w:r>
      <w:r>
        <w:rPr/>
        <w:t xml:space="preserve"> Cope, 1868 and </w:t>
      </w:r>
      <w:r>
        <w:rPr/>
      </w:r>
      <m:oMath xmlns:m="http://schemas.openxmlformats.org/officeDocument/2006/math">
        <m:r>
          <w:rPr>
            <w:rFonts w:ascii="Cambria Math" w:hAnsi="Cambria Math"/>
          </w:rPr>
          <m:t xml:space="preserve">†</m:t>
        </m:r>
      </m:oMath>
      <w:r>
        <w:rPr>
          <w:i/>
          <w:iCs/>
        </w:rPr>
        <w:t>Elasmodontomys obliquus</w:t>
      </w:r>
      <w:r>
        <w:rPr/>
        <w:t xml:space="preserve"> Anthony, 1916 within Chinchilloidea (see Marivaux et al. 2020; Marivaux et al. 2022 and literature therein)</w:t>
      </w:r>
      <w:r>
        <w:rPr>
          <w:rStyle w:val="FootnoteReference"/>
        </w:rPr>
        <w:footnoteReference w:id="2"/>
      </w:r>
      <w:r>
        <w:rPr/>
        <w:t>. Therefore, over their evolutionary history, chinchilloids have experienced a simultaneous increase and further decline in both disparity and diversity (Carrillo et al. n.d.).</w:t>
      </w:r>
    </w:p>
    <w:p>
      <w:pPr>
        <w:pStyle w:val="BodyText"/>
        <w:rPr/>
      </w:pPr>
      <w:r>
        <w:rPr/>
        <w:t xml:space="preserve">Understanding how taxonomic diversity and morphological disparity covary through evolutionary timescales has been a central aim of macroevolutionary research. Seminal works highlighted that clades could experience coordinated or decoupled diversity and disparity trajectories linked to biological diversification – </w:t>
      </w:r>
      <w:r>
        <w:rPr>
          <w:i/>
          <w:iCs/>
        </w:rPr>
        <w:t>i</w:t>
      </w:r>
      <w:r>
        <w:rPr/>
        <w:t>.</w:t>
      </w:r>
      <w:r>
        <w:rPr>
          <w:i/>
          <w:iCs/>
        </w:rPr>
        <w:t>e</w:t>
      </w:r>
      <w:r>
        <w:rPr/>
        <w:t>., origination and extinction, the processes generating diversity (Foote 1993, 1997). This would stand for many different frameworks, for instance adaptive radiations or biological crises, and origination and extinction could either act as opposing forces or reinforce one another in the contraction/expansion of the morphospace (Simpson 1944; Foote 1993, 1997; Balseiro et al. 2025; Esteve 2025). Moreover, diversification has long been postulated to be affected by external biotic or abiotic factors (</w:t>
      </w:r>
      <w:r>
        <w:rPr>
          <w:i/>
          <w:iCs/>
        </w:rPr>
        <w:t>e</w:t>
      </w:r>
      <w:r>
        <w:rPr/>
        <w:t>.</w:t>
      </w:r>
      <w:r>
        <w:rPr>
          <w:i/>
          <w:iCs/>
        </w:rPr>
        <w:t>g</w:t>
      </w:r>
      <w:r>
        <w:rPr/>
        <w:t>., Van Valen 1973a; Benton 1983; Vrba 1995; Barnosky 2001), which promoted significant development of methods aiming to elucidate the role of the external environment in the pace at which clades diversify (</w:t>
      </w:r>
      <w:r>
        <w:rPr>
          <w:i/>
          <w:iCs/>
        </w:rPr>
        <w:t>e</w:t>
      </w:r>
      <w:r>
        <w:rPr/>
        <w:t>.</w:t>
      </w:r>
      <w:r>
        <w:rPr>
          <w:i/>
          <w:iCs/>
        </w:rPr>
        <w:t>g</w:t>
      </w:r>
      <w:r>
        <w:rPr/>
        <w:t>., Silvestro et al. 2015; Lehtonen et al. 2017; Morlon et al. 2024 and literature therein). Also noteworthy, studies illustrated that phenotypic evolution in itself could also be ruled by similar factors (</w:t>
      </w:r>
      <w:r>
        <w:rPr>
          <w:i/>
          <w:iCs/>
        </w:rPr>
        <w:t>e</w:t>
      </w:r>
      <w:r>
        <w:rPr/>
        <w:t>.</w:t>
      </w:r>
      <w:r>
        <w:rPr>
          <w:i/>
          <w:iCs/>
        </w:rPr>
        <w:t>g</w:t>
      </w:r>
      <w:r>
        <w:rPr/>
        <w:t>., Drury et al. 2016; Clavel and Morlon 2017).</w:t>
      </w:r>
    </w:p>
    <w:p>
      <w:pPr>
        <w:pStyle w:val="BodyText"/>
        <w:rPr/>
      </w:pPr>
      <w:r>
        <w:rPr/>
        <w:t>For the Chinchilloidea, several hypotheses have been advocated to explain their exceptional phenotypical evolution – both in terms of body size and hypsodonty. Vucetich et al. (2015) proposed gigantism among caviomorphs to have been promoted by the late Neogene climate cooling and aridification (Westerhold et al. 2020), thought to have expanded open habitats in continental South America (Palazzesi and Barreda 2012). Such climate-induced landscape opening has also traditionally been invoked to explain caviomorphs’ – together with native ungulates’ – increase in hypsodonty (MacFadden 2000), though hypsodonty is increasingly regarded as a product of grit, not grass, consumption (</w:t>
      </w:r>
      <w:r>
        <w:rPr>
          <w:i/>
          <w:iCs/>
        </w:rPr>
        <w:t>e</w:t>
      </w:r>
      <w:r>
        <w:rPr/>
        <w:t>.</w:t>
      </w:r>
      <w:r>
        <w:rPr>
          <w:i/>
          <w:iCs/>
        </w:rPr>
        <w:t>g</w:t>
      </w:r>
      <w:r>
        <w:rPr/>
        <w:t xml:space="preserve">., Billet et al. 2009; Damuth and Janis 2011; Strömberg et al. 2013). Other authors proposed that the river network remodelling that followed the demise of the north Argentinian Miocene marine transgression (‘Paranense Sea,’ </w:t>
      </w:r>
      <w:r>
        <w:rPr>
          <w:i/>
          <w:iCs/>
        </w:rPr>
        <w:t>see</w:t>
      </w:r>
      <w:r>
        <w:rPr/>
        <w:t xml:space="preserve"> Pascual et al. 1996), locally generating environmental heterogeneity, favoured the ecological diversification of dinomyid rodents (Candela et al. 2013). In the same time frame, a marine incursion analogous to the ‘Paranense Sea’, the ‘Pebas megawetland system’ (PMWS), covered Western Amazonia. Its Late Miocene vanishing triggered massive hydrographic changes, among which the establishment of the Amazon drainage system, in turn massively impacting low-latitude ecosystems in South America (</w:t>
      </w:r>
      <w:r>
        <w:rPr>
          <w:i/>
          <w:iCs/>
        </w:rPr>
        <w:t>e</w:t>
      </w:r>
      <w:r>
        <w:rPr/>
        <w:t>.</w:t>
      </w:r>
      <w:r>
        <w:rPr>
          <w:i/>
          <w:iCs/>
        </w:rPr>
        <w:t>g</w:t>
      </w:r>
      <w:r>
        <w:rPr/>
        <w:t>., Jaramillo et al. 2017; Hoorn et al. 2022). Thus, one can expect the legacy of the PMWS to have also impacted the radiation of Chinchilloidea, the latter peaking as these hydrographic changes occurred. These two marine transgressions were shown to be tectonically- and eustatically-controlled (Hernández et al. 2005). Thus, one can also expect to retrieve a signal of the Andean uplift, as well as from sea-level changes, in the dynamics of chinchilloid diversification. In addition, on the basis of results established on modern species showing size-increase patterns, patterns of size increase among caviomorphs were also proposed to be related to biotic factors, such as intra- or interspecific competition, predator avoidance or physiological constraints (</w:t>
      </w:r>
      <w:r>
        <w:rPr>
          <w:i/>
          <w:iCs/>
        </w:rPr>
        <w:t>e</w:t>
      </w:r>
      <w:r>
        <w:rPr/>
        <w:t>.</w:t>
      </w:r>
      <w:r>
        <w:rPr>
          <w:i/>
          <w:iCs/>
        </w:rPr>
        <w:t>g</w:t>
      </w:r>
      <w:r>
        <w:rPr/>
        <w:t xml:space="preserve">., metabolic rate) (Vucetich et al. 2015). Álvarez et al. (2017) added that the environmentally-driven emergence of new niches and their further colonisation by caviomorphs must have promoted size increase in this rodent clade. Regarding the West Indian ‘giant hutias’, instead of environmental drivers, the ‘island rule’ (Van Valen 1973b; Damuth 1993; Lomolino 2005; Faurby and Svenning 2016; </w:t>
      </w:r>
      <w:r>
        <w:rPr>
          <w:i/>
          <w:iCs/>
        </w:rPr>
        <w:t>but see</w:t>
      </w:r>
      <w:r>
        <w:rPr/>
        <w:t xml:space="preserve"> Meiri et al. 2007) has been proposed to explain their spectacular increase in size – particularly in the case of </w:t>
      </w:r>
      <w:r>
        <w:rPr/>
      </w:r>
      <m:oMath xmlns:m="http://schemas.openxmlformats.org/officeDocument/2006/math">
        <m:r>
          <w:rPr>
            <w:rFonts w:ascii="Cambria Math" w:hAnsi="Cambria Math"/>
          </w:rPr>
          <m:t xml:space="preserve">†</m:t>
        </m:r>
      </m:oMath>
      <w:r>
        <w:rPr>
          <w:i/>
          <w:iCs/>
        </w:rPr>
        <w:t>Amblyrhiza</w:t>
      </w:r>
      <w:r>
        <w:rPr/>
        <w:t xml:space="preserve"> (</w:t>
      </w:r>
      <w:r>
        <w:rPr>
          <w:i/>
          <w:iCs/>
        </w:rPr>
        <w:t>e</w:t>
      </w:r>
      <w:r>
        <w:rPr/>
        <w:t>.</w:t>
      </w:r>
      <w:r>
        <w:rPr>
          <w:i/>
          <w:iCs/>
        </w:rPr>
        <w:t>g</w:t>
      </w:r>
      <w:r>
        <w:rPr/>
        <w:t>., Biknevicius et al. 1993; McFarlane et al. 1998).</w:t>
      </w:r>
    </w:p>
    <w:p>
      <w:pPr>
        <w:pStyle w:val="BodyText"/>
        <w:rPr/>
      </w:pPr>
      <w:r>
        <w:rPr/>
        <w:t xml:space="preserve">Besides, questions are also raised by chinchilloid taxonomic and morphological diversity decline. Indeed, the group was diverse in the Late Miocene (Chasicoan–Huayquerian South American Land Mammal Ages [SALMAs]), with at least 20 co-occurring species on the continent (Candela 2005), including most of its largest representatives (Carrillo and Sánchez-Villagra 2015; Rasia and Candela 2018; Rasia et al. 2024). Then, the group experienced a massive decline, wiping out the entire </w:t>
      </w:r>
      <w:r>
        <w:rPr/>
      </w:r>
      <m:oMath xmlns:m="http://schemas.openxmlformats.org/officeDocument/2006/math">
        <m:r>
          <w:rPr>
            <w:rFonts w:ascii="Cambria Math" w:hAnsi="Cambria Math"/>
          </w:rPr>
          <m:t xml:space="preserve">†</m:t>
        </m:r>
      </m:oMath>
      <w:r>
        <w:rPr/>
        <w:t>Neoepiblemidae and virtually all representatives of the Dinomyidae. Notably, all large-to-giant forms were concomitantly erased. Nevertheless, despite the apparent size selectivity of the aforementioned phenotypical diversity decline, the latter does not apply to other traits like hypsodonty. Pliocene cooling and desertification was proposed as a driver underlying the demise of the clade in Southern South America (Vucetich et al. 2015). Moreover, given that the time frame of the demise of the Chinchilloidea matches the Great American Biotic Interchange (Marshall et al. 1982; Webb 1985), one can also wonder whether such a demise can be related to the arrival of North American migrants, either competing for similar food resources (</w:t>
      </w:r>
      <w:r>
        <w:rPr>
          <w:i/>
          <w:iCs/>
        </w:rPr>
        <w:t>e</w:t>
      </w:r>
      <w:r>
        <w:rPr/>
        <w:t>.</w:t>
      </w:r>
      <w:r>
        <w:rPr>
          <w:i/>
          <w:iCs/>
        </w:rPr>
        <w:t>g</w:t>
      </w:r>
      <w:r>
        <w:rPr/>
        <w:t>., horses, elephants) or preying on native species (</w:t>
      </w:r>
      <w:r>
        <w:rPr>
          <w:i/>
          <w:iCs/>
        </w:rPr>
        <w:t>e</w:t>
      </w:r>
      <w:r>
        <w:rPr/>
        <w:t>.</w:t>
      </w:r>
      <w:r>
        <w:rPr>
          <w:i/>
          <w:iCs/>
        </w:rPr>
        <w:t>g</w:t>
      </w:r>
      <w:r>
        <w:rPr/>
        <w:t>., carnivorans).</w:t>
      </w:r>
    </w:p>
    <w:p>
      <w:pPr>
        <w:pStyle w:val="BodyText"/>
        <w:rPr/>
      </w:pPr>
      <w:r>
        <w:rPr/>
        <w:t>Despite all this, major gaps remain in our understanding of the evolutionary dynamics of Chinchilloidea. In particular, many of the hypotheses raised above have poorly considered the interplay between the latter and biological diversification. Previous works relying on a phylogenetic framework illustrated that the dynamics of chinchilloid diversity and body mass evolution were decoupled (Álvarez et al. 2017; Carrillo et al. n.d.). However, many extinct taxa lack DNA or sufficient morphological material to be accurately replaced in a phylogenetic framework, leading to their exclusion from subsequent macroevolutionary analyses relying on phylogenies. Thus, there is much to gain by relaxing phylogenetic assumptions and fully taking advantage of the rich fossil record of the group to reconstruct its macroevolutionary history. In addition, the factors that underpinned the clade diversification remain elusive despite the major palaeoenvironmental upheavals that took place in South America since the late Eocene (e.g., Andean orogeny, marine introgressions, river network changes, onset of the dry diagonal).</w:t>
      </w:r>
    </w:p>
    <w:p>
      <w:pPr>
        <w:pStyle w:val="BodyText"/>
        <w:rPr/>
      </w:pPr>
      <w:bookmarkStart w:id="2" w:name="introduction"/>
      <w:r>
        <w:rPr/>
        <w:t>Here, we investigate the evolutionary history of Chinchilloidea and highlight its environmental correlates, with an emphasis on phenotypic evolution. To do so, we compiled and revised 715 chinchilloid fossil occurrences from the literature to build the most exhaustive temporal occurrence database ever produced for this group, encompassing 63 genera and 136 species. In parallel, we collected dental traits and measurements in order to carry out body mass reconstructions based on recently-published sets of predictive equations, and reconstructed hyposodonty indices based on crown heights of cheek teeth. We further analysed chinchilloid diversity and diversification dynamics throughout their entire evolutionary history using state-of-the-art preservation-aware methodological frameworks, and sought for their likely environmental drivers, allowing rate variation across time, body size and crown height categories. We hypothesise that (i) (ii) (iii)</w:t>
      </w:r>
      <w:bookmarkEnd w:id="2"/>
    </w:p>
    <w:p>
      <w:pPr>
        <w:pStyle w:val="Heading1"/>
        <w:rPr/>
      </w:pPr>
      <w:bookmarkStart w:id="3" w:name="materials-and-methods"/>
      <w:r>
        <w:rPr/>
        <w:t>Materials and Methods</w:t>
      </w:r>
    </w:p>
    <w:p>
      <w:pPr>
        <w:pStyle w:val="Heading2"/>
        <w:rPr/>
      </w:pPr>
      <w:bookmarkStart w:id="4" w:name="temporal-occurrence-database"/>
      <w:r>
        <w:rPr/>
        <w:t>Temporal occurrence database</w:t>
      </w:r>
    </w:p>
    <w:p>
      <w:pPr>
        <w:pStyle w:val="FirstParagraph"/>
        <w:rPr/>
      </w:pPr>
      <w:r>
        <w:rPr/>
        <w:t>We downloaded genus- and species-level fossil occurrences of Chinchilloidea from The Paleobiology Database (https://paleobiodb.org). Each entry was then checked and, if necessary, updated by us (taxonomic name, fossiliferous locality and geologic formation, age range). We tried to give the most precise age range on the basis of the data available in the literature, firstly searching limits for the fossiliferous level(s), then increasing to the member, formation or locality level in case the first did not exist. We updated some ages previously published given recent chronostratigraphic (International Chronostratigraphic Chart 2024/12; Cohen et al. (2025)) and geomagnetic (Ogg 2020) scales. The SALMA limits are based on Dunn et al. (2013), Brandoni et al. (2016), Fernicola et al. (2019), Cuitiño et al. (2021) and Muñoz et al. (2023). This compilation was further complemented by an extensive literature review which enabled the removal of duplicates and the incorporation of missing published data. We excluded occurrences with open nomenclature names (cf., aff., ?) from upstream analyses.</w:t>
      </w:r>
    </w:p>
    <w:p>
      <w:pPr>
        <w:pStyle w:val="BodyText"/>
        <w:rPr/>
      </w:pPr>
      <w:r>
        <w:rPr/>
        <w:t>We developed a simple approach relying on an exhaustive dated phylogeny extracted from VertLife (</w:t>
      </w:r>
      <w:r>
        <w:rPr>
          <w:i/>
          <w:iCs/>
        </w:rPr>
        <w:t>add more info</w:t>
      </w:r>
      <w:r>
        <w:rPr/>
        <w:t>) to incorporate extant species lacking fossil record (</w:t>
      </w:r>
      <w:r>
        <w:rPr>
          <w:i/>
          <w:iCs/>
        </w:rPr>
        <w:t>i</w:t>
      </w:r>
      <w:r>
        <w:rPr/>
        <w:t>.</w:t>
      </w:r>
      <w:r>
        <w:rPr>
          <w:i/>
          <w:iCs/>
        </w:rPr>
        <w:t>e</w:t>
      </w:r>
      <w:r>
        <w:rPr/>
        <w:t xml:space="preserve">., </w:t>
      </w:r>
      <w:r>
        <w:rPr>
          <w:i/>
          <w:iCs/>
        </w:rPr>
        <w:t>Chinchilla chinchilla</w:t>
      </w:r>
      <w:r>
        <w:rPr>
          <w:rStyle w:val="FootnoteReference"/>
        </w:rPr>
        <w:footnoteReference w:id="3"/>
      </w:r>
      <w:r>
        <w:rPr/>
        <w:t xml:space="preserve">, </w:t>
      </w:r>
      <w:r>
        <w:rPr>
          <w:i/>
          <w:iCs/>
        </w:rPr>
        <w:t>Chinchilla lanigera</w:t>
      </w:r>
      <w:r>
        <w:rPr/>
        <w:t xml:space="preserve">, </w:t>
      </w:r>
      <w:r>
        <w:rPr>
          <w:i/>
          <w:iCs/>
        </w:rPr>
        <w:t>Lagidium viscacia</w:t>
      </w:r>
      <w:r>
        <w:rPr/>
        <w:t xml:space="preserve">, </w:t>
      </w:r>
      <w:r>
        <w:rPr>
          <w:i/>
          <w:iCs/>
        </w:rPr>
        <w:t>Lagidium wolffsohni</w:t>
      </w:r>
      <w:r>
        <w:rPr/>
        <w:t xml:space="preserve"> and </w:t>
      </w:r>
      <w:r>
        <w:rPr>
          <w:i/>
          <w:iCs/>
        </w:rPr>
        <w:t>Dinomys branickii</w:t>
      </w:r>
      <w:r>
        <w:rPr/>
        <w:t>) in our database. Such an incorporation avoided the artificial speciation rate inflation towards the present that we obtained when constraining ourselves to assign an occurrence of modern age (</w:t>
      </w:r>
      <w:r>
        <w:rPr>
          <w:i/>
          <w:iCs/>
        </w:rPr>
        <w:t>i</w:t>
      </w:r>
      <w:r>
        <w:rPr/>
        <w:t>.</w:t>
      </w:r>
      <w:r>
        <w:rPr>
          <w:i/>
          <w:iCs/>
        </w:rPr>
        <w:t>e</w:t>
      </w:r>
      <w:r>
        <w:rPr/>
        <w:t xml:space="preserve">., </w:t>
      </w:r>
      <w:r>
        <w:rPr>
          <w:rStyle w:val="VerbatimChar"/>
        </w:rPr>
        <w:t>min_age</w:t>
      </w:r>
      <w:r>
        <w:rPr/>
        <w:t xml:space="preserve"> = </w:t>
      </w:r>
      <w:r>
        <w:rPr>
          <w:rStyle w:val="VerbatimChar"/>
        </w:rPr>
        <w:t>max_age</w:t>
      </w:r>
      <w:r>
        <w:rPr/>
        <w:t xml:space="preserve"> = 0 Ma) to each of these taxa (see Fig. SX). Combining information from the fossil record and molecular phylogenies for macroevolutionary inference was already done for groups where a large proportion of the extant diversity is absent from the fossil record, like the elasmobranchs (Brée et al. 2022; Marion et al. 2025). These studies typically considered the divergence times leading to extant species (hereafter termed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oMath>
      <w:r>
        <w:rPr/>
        <w:t xml:space="preserve"> for a given species </w:t>
      </w:r>
      <w:r>
        <w:rPr/>
      </w:r>
      <m:oMath xmlns:m="http://schemas.openxmlformats.org/officeDocument/2006/math">
        <m:r>
          <w:rPr>
            <w:rFonts w:ascii="Cambria Math" w:hAnsi="Cambria Math"/>
          </w:rPr>
          <m:t xml:space="preserve">i</m:t>
        </m:r>
      </m:oMath>
      <w:r>
        <w:rPr/>
        <w:t>) as a proxy of extant species’ times of origination (</w:t>
      </w:r>
      <w:r>
        <w:rPr/>
      </w:r>
      <m:oMath xmlns:m="http://schemas.openxmlformats.org/officeDocument/2006/math">
        <m:sSub>
          <m:e>
            <m:r>
              <w:rPr>
                <w:rFonts w:ascii="Cambria Math" w:hAnsi="Cambria Math"/>
              </w:rPr>
              <m:t xml:space="preserve">T</m:t>
            </m:r>
          </m:e>
          <m:sub>
            <m:r>
              <w:rPr>
                <w:rFonts w:ascii="Cambria Math" w:hAnsi="Cambria Math"/>
              </w:rPr>
              <m:t xml:space="preserve">s</m:t>
            </m:r>
            <m:r>
              <w:rPr>
                <w:rFonts w:ascii="Cambria Math" w:hAnsi="Cambria Math"/>
              </w:rPr>
              <m:t xml:space="preserve">,</m:t>
            </m:r>
            <m:r>
              <w:rPr>
                <w:rFonts w:ascii="Cambria Math" w:hAnsi="Cambria Math"/>
              </w:rPr>
              <m:t xml:space="preserve">i</m:t>
            </m:r>
          </m:sub>
        </m:sSub>
      </m:oMath>
      <w:r>
        <w:rPr/>
        <w:t xml:space="preserve">), and carried out their macroevolutionary inference out of a single combined origination and extinction times dataset − acknowledging that extant species’ times of extinction were by definition equal to zero. Here, we propose to treat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oMath>
      <w:r>
        <w:rPr/>
        <w:t xml:space="preserve"> as a lower bound of </w:t>
      </w:r>
      <w:r>
        <w:rPr/>
      </w:r>
      <m:oMath xmlns:m="http://schemas.openxmlformats.org/officeDocument/2006/math">
        <m:sSub>
          <m:e>
            <m:r>
              <w:rPr>
                <w:rFonts w:ascii="Cambria Math" w:hAnsi="Cambria Math"/>
              </w:rPr>
              <m:t xml:space="preserve">T</m:t>
            </m:r>
          </m:e>
          <m:sub>
            <m:r>
              <w:rPr>
                <w:rFonts w:ascii="Cambria Math" w:hAnsi="Cambria Math"/>
              </w:rPr>
              <m:t xml:space="preserve">s</m:t>
            </m:r>
            <m:r>
              <w:rPr>
                <w:rFonts w:ascii="Cambria Math" w:hAnsi="Cambria Math"/>
              </w:rPr>
              <m:t xml:space="preserve">,</m:t>
            </m:r>
            <m:r>
              <w:rPr>
                <w:rFonts w:ascii="Cambria Math" w:hAnsi="Cambria Math"/>
              </w:rPr>
              <m:t xml:space="preserve">i</m:t>
            </m:r>
          </m:sub>
        </m:sSub>
      </m:oMath>
      <w:r>
        <w:rPr/>
        <w:t xml:space="preserve">. Our approach therefore involves sampling virtual occurrences of each extant species </w:t>
      </w:r>
      <w:r>
        <w:rPr/>
      </w:r>
      <m:oMath xmlns:m="http://schemas.openxmlformats.org/officeDocument/2006/math">
        <m:r>
          <w:rPr>
            <w:rFonts w:ascii="Cambria Math" w:hAnsi="Cambria Math"/>
          </w:rPr>
          <m:t xml:space="preserve">i</m:t>
        </m:r>
      </m:oMath>
      <w:r>
        <w:rPr/>
        <w:t xml:space="preserve"> within </w:t>
      </w:r>
      <w:r>
        <w:rPr/>
      </w:r>
      <m:oMath xmlns:m="http://schemas.openxmlformats.org/officeDocument/2006/math">
        <m:d>
          <m:dPr>
            <m:begChr m:val="["/>
            <m:endChr m:val=")"/>
          </m:dPr>
          <m:e>
            <m:r>
              <w:rPr>
                <w:rFonts w:ascii="Cambria Math" w:hAnsi="Cambria Math"/>
              </w:rPr>
              <m:t xml:space="preserve">0</m:t>
            </m:r>
            <m:r>
              <w:rPr>
                <w:rFonts w:ascii="Cambria Math" w:hAnsi="Cambria Math"/>
              </w:rPr>
              <m:t xml:space="preserve">,</m:t>
            </m:r>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e>
        </m:d>
      </m:oMath>
      <w:r>
        <w:rPr/>
        <w:t xml:space="preserve">, and incorporating these virtual occurrences into the previously-introduced fossil occurrence database. Assuming sampling probability to decrease as we get closer to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oMath>
      <w:r>
        <w:rPr/>
        <w:t xml:space="preserve"> (Liow et al. 2010), we therefore randomly drew </w:t>
      </w:r>
      <w:r>
        <w:rPr/>
      </w:r>
      <m:oMath xmlns:m="http://schemas.openxmlformats.org/officeDocument/2006/math">
        <m:r>
          <w:rPr>
            <w:rFonts w:ascii="Cambria Math" w:hAnsi="Cambria Math"/>
          </w:rPr>
          <m:t xml:space="preserve">n</m:t>
        </m:r>
      </m:oMath>
      <w:r>
        <w:rPr/>
        <w:t xml:space="preserve"> occurrences of the species </w:t>
      </w:r>
      <w:r>
        <w:rPr/>
      </w:r>
      <m:oMath xmlns:m="http://schemas.openxmlformats.org/officeDocument/2006/math">
        <m:r>
          <w:rPr>
            <w:rFonts w:ascii="Cambria Math" w:hAnsi="Cambria Math"/>
          </w:rPr>
          <m:t xml:space="preserve">i</m:t>
        </m:r>
      </m:oMath>
      <w:r>
        <w:rPr/>
        <w:t xml:space="preserve"> from a truncated exponential distribution (</w:t>
      </w:r>
      <w:r>
        <w:rPr/>
      </w:r>
      <m:oMath xmlns:m="http://schemas.openxmlformats.org/officeDocument/2006/math">
        <m:sSup>
          <m:e/>
          <m:sup>
            <m:r>
              <w:rPr>
                <w:rFonts w:ascii="Cambria Math" w:hAnsi="Cambria Math"/>
              </w:rPr>
              <m:t xml:space="preserve">t</m:t>
            </m:r>
            <m:r>
              <w:rPr>
                <w:rFonts w:ascii="Cambria Math" w:hAnsi="Cambria Math"/>
              </w:rPr>
              <m:t xml:space="preserve">r</m:t>
            </m:r>
          </m:sup>
        </m:sSup>
        <m:r>
          <w:rPr>
            <w:rFonts w:ascii="Cambria Math" w:hAnsi="Cambria Math"/>
          </w:rPr>
          <m:t xml:space="preserve">ϵ</m:t>
        </m:r>
        <m:d>
          <m:dPr>
            <m:begChr m:val="("/>
            <m:endChr m:val=")"/>
          </m:dPr>
          <m:e>
            <m:r>
              <w:rPr>
                <w:rFonts w:ascii="Cambria Math" w:hAnsi="Cambria Math"/>
              </w:rPr>
              <m:t xml:space="preserve">γ</m:t>
            </m:r>
          </m:e>
        </m:d>
      </m:oMath>
      <w:r>
        <w:rPr/>
        <w:t xml:space="preserve">) of rate </w:t>
      </w:r>
      <w:r>
        <w:rPr/>
      </w:r>
      <m:oMath xmlns:m="http://schemas.openxmlformats.org/officeDocument/2006/math">
        <m:r>
          <w:rPr>
            <w:rFonts w:ascii="Cambria Math" w:hAnsi="Cambria Math"/>
          </w:rPr>
          <m:t xml:space="preserve">γ</m:t>
        </m:r>
      </m:oMath>
      <w:r>
        <w:rPr/>
        <w:t xml:space="preserve"> determined so that an arbitrary proportion </w:t>
      </w:r>
      <w:r>
        <w:rPr/>
      </w:r>
      <m:oMath xmlns:m="http://schemas.openxmlformats.org/officeDocument/2006/math">
        <m:r>
          <w:rPr>
            <w:rFonts w:ascii="Cambria Math" w:hAnsi="Cambria Math"/>
          </w:rPr>
          <m:t xml:space="preserve">α</m:t>
        </m:r>
      </m:oMath>
      <w:r>
        <w:rPr/>
        <w:t xml:space="preserve"> of the initial (non-truncated) distribution lies within </w:t>
      </w:r>
      <w:r>
        <w:rPr/>
      </w:r>
      <m:oMath xmlns:m="http://schemas.openxmlformats.org/officeDocument/2006/math">
        <m:d>
          <m:dPr>
            <m:begChr m:val="["/>
            <m:endChr m:val=")"/>
          </m:dPr>
          <m:e>
            <m:r>
              <w:rPr>
                <w:rFonts w:ascii="Cambria Math" w:hAnsi="Cambria Math"/>
              </w:rPr>
              <m:t xml:space="preserve">0</m:t>
            </m:r>
            <m:r>
              <w:rPr>
                <w:rFonts w:ascii="Cambria Math" w:hAnsi="Cambria Math"/>
              </w:rPr>
              <m:t xml:space="preserve">,</m:t>
            </m:r>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e>
        </m:d>
      </m:oMath>
      <w:r>
        <w:rPr/>
        <w:t xml:space="preserve"> (Figure SX). This leads to</w:t>
      </w:r>
    </w:p>
    <w:p>
      <w:pPr>
        <w:pStyle w:val="BodyText"/>
        <w:jc w:val="center"/>
        <w:rPr/>
      </w:pPr>
      <w:r>
        <w:rPr/>
      </w:r>
      <m:oMathPara xmlns:m="http://schemas.openxmlformats.org/officeDocument/2006/math">
        <m:oMathParaPr>
          <m:jc m:val="center"/>
        </m:oMathParaPr>
        <m:oMath>
          <m:r>
            <w:rPr>
              <w:rFonts w:ascii="Cambria Math" w:hAnsi="Cambria Math"/>
            </w:rPr>
            <m:t xml:space="preserve">γ</m:t>
          </m:r>
          <m:r>
            <w:rPr>
              <w:rFonts w:ascii="Cambria Math" w:hAnsi="Cambria Math"/>
            </w:rPr>
            <m:t xml:space="preserve">=</m:t>
          </m:r>
          <m:f>
            <m:num>
              <m:r>
                <w:rPr>
                  <w:rFonts w:ascii="Cambria Math" w:hAnsi="Cambria Math"/>
                </w:rPr>
                <m:t xml:space="preserve">−</m:t>
              </m:r>
              <m:r>
                <w:rPr>
                  <w:rFonts w:ascii="Cambria Math" w:hAnsi="Cambria Math"/>
                </w:rPr>
                <m:t xml:space="preserve">l</m:t>
              </m:r>
              <m:r>
                <w:rPr>
                  <w:rFonts w:ascii="Cambria Math" w:hAnsi="Cambria Math"/>
                </w:rPr>
                <m:t xml:space="preserve">n</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α</m:t>
                  </m:r>
                </m:e>
              </m:d>
            </m:num>
            <m:den>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den>
          </m:f>
        </m:oMath>
      </m:oMathPara>
    </w:p>
    <w:p>
      <w:pPr>
        <w:pStyle w:val="FirstParagraph"/>
        <w:rPr/>
      </w:pPr>
      <w:r>
        <w:rPr/>
        <w:t xml:space="preserve">In practise, we sampled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10</m:t>
        </m:r>
      </m:oMath>
      <w:r>
        <w:rPr/>
        <w:t xml:space="preserve"> values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sSubSup>
      </m:oMath>
      <w:r>
        <w:rPr/>
        <w:t xml:space="preserve"> from the 95% HPD of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oMath>
      <w:r>
        <w:rPr/>
        <w:t xml:space="preserve">. Since we did not have direct access to the distribution in itself but rather to its lower and upper bounds (respectively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2.5</m:t>
            </m:r>
            <m:r>
              <m:rPr>
                <m:lit/>
                <m:nor/>
              </m:rPr>
              <w:rPr>
                <w:rFonts w:ascii="Cambria Math" w:hAnsi="Cambria Math"/>
              </w:rPr>
              <m:t xml:space="preserve">%</m:t>
            </m:r>
          </m:sup>
        </m:sSubSup>
      </m:oMath>
      <w:r>
        <w:rPr/>
        <w:t xml:space="preserve"> and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97.5</m:t>
            </m:r>
            <m:r>
              <m:rPr>
                <m:lit/>
                <m:nor/>
              </m:rPr>
              <w:rPr>
                <w:rFonts w:ascii="Cambria Math" w:hAnsi="Cambria Math"/>
              </w:rPr>
              <m:t xml:space="preserve">%</m:t>
            </m:r>
          </m:sup>
        </m:sSubSup>
      </m:oMath>
      <w:r>
        <w:rPr/>
        <w:t xml:space="preserve">), we approximated it to a normal distribution of mean </w:t>
      </w:r>
      <w:r>
        <w:rPr/>
      </w:r>
      <m:oMath xmlns:m="http://schemas.openxmlformats.org/officeDocument/2006/math">
        <m:r>
          <w:rPr>
            <w:rFonts w:ascii="Cambria Math" w:hAnsi="Cambria Math"/>
          </w:rPr>
          <m:t xml:space="preserve">μ</m:t>
        </m:r>
        <m:r>
          <w:rPr>
            <w:rFonts w:ascii="Cambria Math" w:hAnsi="Cambria Math"/>
          </w:rPr>
          <m:t xml:space="preserve">=</m:t>
        </m:r>
        <m:f>
          <m:num>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97.5</m:t>
                </m:r>
                <m:r>
                  <m:rPr>
                    <m:lit/>
                    <m:nor/>
                  </m:rPr>
                  <w:rPr>
                    <w:rFonts w:ascii="Cambria Math" w:hAnsi="Cambria Math"/>
                  </w:rPr>
                  <m:t xml:space="preserve">%</m:t>
                </m:r>
              </m:sup>
            </m:sSubSup>
            <m:r>
              <w:rPr>
                <w:rFonts w:ascii="Cambria Math" w:hAnsi="Cambria Math"/>
              </w:rPr>
              <m:t xml:space="preserve">+</m:t>
            </m:r>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2.5</m:t>
                </m:r>
                <m:r>
                  <m:rPr>
                    <m:lit/>
                    <m:nor/>
                  </m:rPr>
                  <w:rPr>
                    <w:rFonts w:ascii="Cambria Math" w:hAnsi="Cambria Math"/>
                  </w:rPr>
                  <m:t xml:space="preserve">%</m:t>
                </m:r>
              </m:sup>
            </m:sSubSup>
          </m:num>
          <m:den>
            <m:r>
              <w:rPr>
                <w:rFonts w:ascii="Cambria Math" w:hAnsi="Cambria Math"/>
              </w:rPr>
              <m:t xml:space="preserve">2</m:t>
            </m:r>
          </m:den>
        </m:f>
      </m:oMath>
      <w:r>
        <w:rPr/>
        <w:t xml:space="preserve"> and variance </w:t>
      </w:r>
      <w:r>
        <w:rPr/>
      </w:r>
      <m:oMath xmlns:m="http://schemas.openxmlformats.org/officeDocument/2006/math">
        <m:sSup>
          <m:e>
            <m:r>
              <w:rPr>
                <w:rFonts w:ascii="Cambria Math" w:hAnsi="Cambria Math"/>
              </w:rPr>
              <m:t xml:space="preserve">σ</m:t>
            </m:r>
          </m:e>
          <m:sup>
            <m:r>
              <w:rPr>
                <w:rFonts w:ascii="Cambria Math" w:hAnsi="Cambria Math"/>
              </w:rPr>
              <m:t xml:space="preserve">2</m:t>
            </m:r>
          </m:sup>
        </m:sSup>
        <m:r>
          <w:rPr>
            <w:rFonts w:ascii="Cambria Math" w:hAnsi="Cambria Math"/>
          </w:rPr>
          <m:t xml:space="preserve">=</m:t>
        </m:r>
        <m:f>
          <m:num>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97.5</m:t>
                </m:r>
                <m:r>
                  <m:rPr>
                    <m:lit/>
                    <m:nor/>
                  </m:rPr>
                  <w:rPr>
                    <w:rFonts w:ascii="Cambria Math" w:hAnsi="Cambria Math"/>
                  </w:rPr>
                  <m:t xml:space="preserve">%</m:t>
                </m:r>
              </m:sup>
            </m:sSubSup>
            <m:r>
              <w:rPr>
                <w:rFonts w:ascii="Cambria Math" w:hAnsi="Cambria Math"/>
              </w:rPr>
              <m:t xml:space="preserve">−</m:t>
            </m:r>
            <m:r>
              <w:rPr>
                <w:rFonts w:ascii="Cambria Math" w:hAnsi="Cambria Math"/>
              </w:rPr>
              <m:t xml:space="preserve">μ</m:t>
            </m:r>
          </m:num>
          <m:den>
            <m:r>
              <w:rPr>
                <w:rFonts w:ascii="Cambria Math" w:hAnsi="Cambria Math"/>
              </w:rPr>
              <m:t xml:space="preserve">1.96</m:t>
            </m:r>
          </m:den>
        </m:f>
      </m:oMath>
      <w:r>
        <w:rPr/>
        <w:t xml:space="preserve">. Then, for each of the 10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sSubSup>
      </m:oMath>
      <w:r>
        <w:rPr/>
        <w:t xml:space="preserve"> values, we sampled the minimum and maximum ages of a virtual occurrence from </w:t>
      </w:r>
      <w:r>
        <w:rPr/>
      </w:r>
      <m:oMath xmlns:m="http://schemas.openxmlformats.org/officeDocument/2006/math">
        <m:sSup>
          <m:e/>
          <m:sup>
            <m:r>
              <w:rPr>
                <w:rFonts w:ascii="Cambria Math" w:hAnsi="Cambria Math"/>
              </w:rPr>
              <m:t xml:space="preserve">t</m:t>
            </m:r>
            <m:r>
              <w:rPr>
                <w:rFonts w:ascii="Cambria Math" w:hAnsi="Cambria Math"/>
              </w:rPr>
              <m:t xml:space="preserve">r</m:t>
            </m:r>
          </m:sup>
        </m:sSup>
        <m:r>
          <w:rPr>
            <w:rFonts w:ascii="Cambria Math" w:hAnsi="Cambria Math"/>
          </w:rPr>
          <m:t xml:space="preserve">ϵ</m:t>
        </m:r>
        <m:d>
          <m:dPr>
            <m:begChr m:val="("/>
            <m:endChr m:val=")"/>
          </m:dPr>
          <m:e>
            <m:r>
              <w:rPr>
                <w:rFonts w:ascii="Cambria Math" w:hAnsi="Cambria Math"/>
              </w:rPr>
              <m:t xml:space="preserve">γ</m:t>
            </m:r>
          </m:e>
        </m:d>
      </m:oMath>
      <w:r>
        <w:rPr/>
        <w:t xml:space="preserve"> by setting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0.5</m:t>
        </m:r>
      </m:oMath>
      <w:r>
        <w:rPr/>
        <w:t>.</w:t>
      </w:r>
    </w:p>
    <w:p>
      <w:pPr>
        <w:pStyle w:val="BodyText"/>
        <w:rPr/>
      </w:pPr>
      <w:r>
        <w:rPr/>
        <w:t>This resulted in one species-level database (XXX occurrences, XXX species, including XX singletons) and one genus-level database (XXX occurrences, XX genera, including XX singletons), spanning the entire lifespan of the clade (from the latest Eocene to present).</w:t>
      </w:r>
    </w:p>
    <w:p>
      <w:pPr>
        <w:pStyle w:val="BodyText"/>
        <w:rPr/>
      </w:pPr>
      <w:r>
        <w:rPr/>
        <w:t xml:space="preserve">On the basis of their sampling location, occurrences were binned into three spatial domains: Tropical, Extratropical, and Caribbean (Figure S1). Due to the substantially parcellar fossil record of the West Indies, the latter domain – only encompassing five species, </w:t>
      </w:r>
      <w:r>
        <w:rPr>
          <w:i/>
          <w:iCs/>
        </w:rPr>
        <w:t>Borikenomys praecursor</w:t>
      </w:r>
      <w:r>
        <w:rPr/>
        <w:t xml:space="preserve">, </w:t>
      </w:r>
      <w:r>
        <w:rPr>
          <w:i/>
          <w:iCs/>
        </w:rPr>
        <w:t>Amblyrhiza inundata</w:t>
      </w:r>
      <w:r>
        <w:rPr/>
        <w:t xml:space="preserve">, </w:t>
      </w:r>
      <w:r>
        <w:rPr>
          <w:i/>
          <w:iCs/>
        </w:rPr>
        <w:t>Elasmodontomys obliquus</w:t>
      </w:r>
      <w:r>
        <w:rPr/>
        <w:t xml:space="preserve">, </w:t>
      </w:r>
      <w:r>
        <w:rPr>
          <w:i/>
          <w:iCs/>
        </w:rPr>
        <w:t>Clidomys osborni</w:t>
      </w:r>
      <w:r>
        <w:rPr/>
        <w:t xml:space="preserve"> and </w:t>
      </w:r>
      <w:r>
        <w:rPr>
          <w:i/>
          <w:iCs/>
        </w:rPr>
        <w:t>Quemisia gravis</w:t>
      </w:r>
      <w:r>
        <w:rPr/>
        <w:t xml:space="preserve"> – was very structured in time, only covering the Quaternary, with the notable exception of a single late early Oligocene occurrence (</w:t>
      </w:r>
      <w:r>
        <w:rPr>
          <w:i/>
          <w:iCs/>
        </w:rPr>
        <w:t>B</w:t>
      </w:r>
      <w:r>
        <w:rPr/>
        <w:t xml:space="preserve">. </w:t>
      </w:r>
      <w:r>
        <w:rPr>
          <w:i/>
          <w:iCs/>
        </w:rPr>
        <w:t>praecursor</w:t>
      </w:r>
      <w:r>
        <w:rPr/>
        <w:t>). Analyses with and without West Indian taxa were carried out.</w:t>
      </w:r>
      <w:bookmarkEnd w:id="4"/>
    </w:p>
    <w:p>
      <w:pPr>
        <w:pStyle w:val="Heading2"/>
        <w:rPr/>
      </w:pPr>
      <w:bookmarkStart w:id="5" w:name="trait-data-collection"/>
      <w:r>
        <w:rPr/>
        <w:t>Trait data collection</w:t>
      </w:r>
    </w:p>
    <w:p>
      <w:pPr>
        <w:pStyle w:val="FirstParagraph"/>
        <w:rPr/>
      </w:pPr>
      <w:r>
        <w:rPr/>
        <w:t>On the basis of body mass reconstructions carried out from cranial and dental proxies detailed in Boivin et al. (2024), complemented with a literature review, species were classified in six body size categories: XS (</w:t>
      </w:r>
      <w:r>
        <w:rPr/>
      </w:r>
      <m:oMath xmlns:m="http://schemas.openxmlformats.org/officeDocument/2006/math"/>
      <w:r>
        <w:rPr/>
        <w:t xml:space="preserve"> 0.5kg), S (0.5–1kg), M (1–10kg), L (10–100kg), XL (100–200kg) and XXL (</w:t>
      </w:r>
      <w:r>
        <w:rPr/>
      </w:r>
      <m:oMath xmlns:m="http://schemas.openxmlformats.org/officeDocument/2006/math"/>
      <w:r>
        <w:rPr/>
        <w:t xml:space="preserve"> 200kg).</w:t>
      </w:r>
    </w:p>
    <w:p>
      <w:pPr>
        <w:pStyle w:val="BodyText"/>
        <w:rPr/>
      </w:pPr>
      <w:r>
        <w:rPr/>
        <w:t xml:space="preserve">We scored the tooth growth types of the upper molars mainly based on the hypsodonty index (HI), which corresponds to the crown height of a maximum unworn tooth / its anteroposterior length or labiolingual width [Van Valen (1960); Janis (1988); Supp. XXX]. We recognized four categories: brachydont (HI </w:t>
      </w:r>
      <w:r>
        <w:rPr/>
      </w:r>
      <m:oMath xmlns:m="http://schemas.openxmlformats.org/officeDocument/2006/math"/>
      <w:r>
        <w:rPr/>
        <w:t xml:space="preserve"> 0.9, rooted), mesodont (0.9 </w:t>
      </w:r>
      <w:r>
        <w:rPr/>
      </w:r>
      <m:oMath xmlns:m="http://schemas.openxmlformats.org/officeDocument/2006/math"/>
      <w:r>
        <w:rPr/>
        <w:t xml:space="preserve"> HI </w:t>
      </w:r>
      <w:r>
        <w:rPr/>
      </w:r>
      <m:oMath xmlns:m="http://schemas.openxmlformats.org/officeDocument/2006/math"/>
      <w:r>
        <w:rPr/>
        <w:t xml:space="preserve"> 1.1, rooted), protohypsodont (HI </w:t>
      </w:r>
      <w:r>
        <w:rPr/>
      </w:r>
      <m:oMath xmlns:m="http://schemas.openxmlformats.org/officeDocument/2006/math"/>
      <w:r>
        <w:rPr/>
        <w:t xml:space="preserve"> 1.1, rooted), and euhypsodont [HI </w:t>
      </w:r>
      <w:r>
        <w:rPr/>
      </w:r>
      <m:oMath xmlns:m="http://schemas.openxmlformats.org/officeDocument/2006/math"/>
      <w:r>
        <w:rPr/>
        <w:t xml:space="preserve"> 1.1, unrooted; Mones (1982); Pérez (2010)]. The category scoring is derived from literature sources, observations and unpublished measurements made by the authors.</w:t>
      </w:r>
      <w:bookmarkEnd w:id="5"/>
    </w:p>
    <w:p>
      <w:pPr>
        <w:pStyle w:val="Heading2"/>
        <w:rPr/>
      </w:pPr>
      <w:bookmarkStart w:id="6" w:name="X2179221e6c5b681626996bb6ae6fb1ea6d02ae6"/>
      <w:r>
        <w:rPr/>
        <w:t>Palaeodiversity and diversification inference from the fossil record</w:t>
      </w:r>
    </w:p>
    <w:p>
      <w:pPr>
        <w:pStyle w:val="FirstParagraph"/>
        <w:rPr/>
      </w:pPr>
      <w:r>
        <w:rPr>
          <w:b/>
          <w:bCs/>
        </w:rPr>
        <w:t>Place corsair ESS plots in SI</w:t>
      </w:r>
    </w:p>
    <w:p>
      <w:pPr>
        <w:pStyle w:val="BodyText"/>
        <w:rPr/>
      </w:pPr>
      <w:r>
        <w:rPr/>
        <w:t>Our occurrence database was first analysed using PyRate v3.1.3 (Silvestro et al. 2014, 2019). Genus origination and extinction times (altogether forming the palaeodiversity) and the underlying diversification process (</w:t>
      </w:r>
      <w:r>
        <w:rPr>
          <w:i/>
          <w:iCs/>
        </w:rPr>
        <w:t>i</w:t>
      </w:r>
      <w:r>
        <w:rPr/>
        <w:t>.</w:t>
      </w:r>
      <w:r>
        <w:rPr>
          <w:i/>
          <w:iCs/>
        </w:rPr>
        <w:t>e</w:t>
      </w:r>
      <w:r>
        <w:rPr/>
        <w:t>., origination and extinction rates) were jointly estimated in a Bayesian framework accounting for preservation heterogeneity, and approximated through Reversible-Jump Markov Chain Monte Carlo (RJMCMC). We ran the RJMCMC algorithm for 10 million iterations, sampling every 10,000. We used a time-dependent preservation process allowing for preservation rate shift between geological stages (</w:t>
      </w:r>
      <w:r>
        <w:rPr>
          <w:b/>
          <w:bCs/>
        </w:rPr>
        <w:t>Supp. Fig. 1</w:t>
      </w:r>
      <w:r>
        <w:rPr/>
        <w:t xml:space="preserve"> and </w:t>
      </w:r>
      <w:r>
        <w:rPr>
          <w:b/>
          <w:bCs/>
        </w:rPr>
        <w:t>Supp. Tab. 1</w:t>
      </w:r>
      <w:r>
        <w:rPr/>
        <w:t xml:space="preserve">). We allowed preservation rates to vary between lineages according to a </w:t>
      </w:r>
      <w:r>
        <w:rPr>
          <w:i/>
          <w:iCs/>
        </w:rPr>
        <w:t>Gamma</w:t>
      </w:r>
      <w:r>
        <w:rPr/>
        <w:t xml:space="preserve"> model. These analyses were replicated 20 times after randomly sampling fossil ages between each occurrence’s upper and lower age boundaries. MCMC runs that achieved convergence, </w:t>
      </w:r>
      <w:r>
        <w:rPr>
          <w:i/>
          <w:iCs/>
        </w:rPr>
        <w:t>i</w:t>
      </w:r>
      <w:r>
        <w:rPr/>
        <w:t>,</w:t>
      </w:r>
      <w:r>
        <w:rPr>
          <w:i/>
          <w:iCs/>
        </w:rPr>
        <w:t>e</w:t>
      </w:r>
      <w:r>
        <w:rPr/>
        <w:t>., with Effective Sample Size (ESS) over 200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19</m:t>
        </m:r>
      </m:oMath>
      <w:r>
        <w:rPr/>
        <w:t xml:space="preserve">, </w:t>
      </w:r>
      <w:r>
        <w:rPr>
          <w:b/>
          <w:bCs/>
        </w:rPr>
        <w:t>Supp. Fig. 2</w:t>
      </w:r>
      <w:r>
        <w:rPr/>
        <w:t>) were further combined. To evaluate the robustness of our analyses, we conducted sensitivity analyses by either removing singletons from the input occurrence database or subsampling to unique locality-lineage combinations, as done in Buffan et al. (2025) (</w:t>
      </w:r>
      <w:r>
        <w:rPr>
          <w:b/>
          <w:bCs/>
        </w:rPr>
        <w:t>Supp. Fig. XX</w:t>
      </w:r>
      <w:r>
        <w:rPr/>
        <w:t xml:space="preserve"> and </w:t>
      </w:r>
      <w:r>
        <w:rPr>
          <w:b/>
          <w:bCs/>
        </w:rPr>
        <w:t>YY</w:t>
      </w:r>
      <w:r>
        <w:rPr/>
        <w:t xml:space="preserve">). Parameter convergence was monitored using the pymc 5.9.2 python library, and we considered parameters achieved convergence following the same criterion as before (ESS </w:t>
      </w:r>
      <w:r>
        <w:rPr/>
      </w:r>
      <m:oMath xmlns:m="http://schemas.openxmlformats.org/officeDocument/2006/math"/>
      <w:r>
        <w:rPr/>
        <w:t xml:space="preserve"> 200).</w:t>
      </w:r>
    </w:p>
    <w:p>
      <w:pPr>
        <w:pStyle w:val="BodyText"/>
        <w:rPr/>
      </w:pPr>
      <w:r>
        <w:rPr/>
        <w:t>In order to obtain an alternative perspective on the temporal patterns of SAM diversity accounting for the incompleteness of the fossil record differently (</w:t>
      </w:r>
      <w:r>
        <w:rPr>
          <w:i/>
          <w:iCs/>
        </w:rPr>
        <w:t>i</w:t>
      </w:r>
      <w:r>
        <w:rPr/>
        <w:t>.</w:t>
      </w:r>
      <w:r>
        <w:rPr>
          <w:i/>
          <w:iCs/>
        </w:rPr>
        <w:t>e</w:t>
      </w:r>
      <w:r>
        <w:rPr/>
        <w:t>., without explicitly modelling it), we used the recently-developed fossil-based palaoediversity reconstruction framework implemented in DeepDive v1.0.28 (Cooper et al. 2024). DeepDive uses a spatially-explicit biodiversity simulator coupled with a fossilisation process to simulate fossil occurrences under a wide range of scenarios. Simulation parameters (</w:t>
      </w:r>
      <w:r>
        <w:rPr>
          <w:i/>
          <w:iCs/>
        </w:rPr>
        <w:t>e</w:t>
      </w:r>
      <w:r>
        <w:rPr/>
        <w:t>.</w:t>
      </w:r>
      <w:r>
        <w:rPr>
          <w:i/>
          <w:iCs/>
        </w:rPr>
        <w:t>g</w:t>
      </w:r>
      <w:r>
        <w:rPr/>
        <w:t>., sample size, number of regions, …) can be user-tuned so simulated scenarios reflect more any empirical case study. Then, a deep-learning model relying on recursive neural networks is trained to predict palaeodiversity from a set of features directly extracted from the simulated occurrence datasets (</w:t>
      </w:r>
      <w:r>
        <w:rPr>
          <w:i/>
          <w:iCs/>
        </w:rPr>
        <w:t>e</w:t>
      </w:r>
      <w:r>
        <w:rPr/>
        <w:t>.</w:t>
      </w:r>
      <w:r>
        <w:rPr>
          <w:i/>
          <w:iCs/>
        </w:rPr>
        <w:t>g</w:t>
      </w:r>
      <w:r>
        <w:rPr/>
        <w:t xml:space="preserve">., number of singletons, range-through diversity, …), within a user-defined set of time bins. We are therefore in a case of supervised learning. Once the model achieves a satisfying training level (quantified with a loss function, see </w:t>
      </w:r>
      <w:r>
        <w:rPr>
          <w:b/>
          <w:bCs/>
        </w:rPr>
        <w:t>Supp. Tab. 8</w:t>
      </w:r>
      <w:r>
        <w:rPr/>
        <w:t>), the same features are extracted from the empirical set of fossil occurrences and fed into the trained neural network to get an estimate of palaeodiversity through time.</w:t>
      </w:r>
    </w:p>
    <w:p>
      <w:pPr>
        <w:pStyle w:val="BodyText"/>
        <w:rPr/>
      </w:pPr>
      <w:r>
        <w:rPr/>
        <w:t xml:space="preserve">In practice, we ran DeepDive from configuration files produced with the R package DeepDiveR v1.0 (Cooper et al. 2025). Below, we provide an overview of our motivations behind some parameter values. Exhaustive details of the values we set for each parameter are available in the configuration files (see </w:t>
      </w:r>
      <w:r>
        <w:rPr>
          <w:i/>
          <w:iCs/>
        </w:rPr>
        <w:t>SI Appendix</w:t>
      </w:r>
      <w:r>
        <w:rPr/>
        <w:t>).</w:t>
      </w:r>
    </w:p>
    <w:p>
      <w:pPr>
        <w:pStyle w:val="BodyText"/>
        <w:rPr/>
      </w:pPr>
      <w:r>
        <w:rPr>
          <w:i/>
          <w:iCs/>
        </w:rPr>
        <w:t>Simulation.</w:t>
      </w:r>
      <w:r>
        <w:rPr/>
        <w:t xml:space="preserve"> We generated 150,000 training and 1000 test sets. For each simulated dataset, the number of starting lineages was set between 30 and 150, and we chose to set the number of regions where our taxa occurred to two, reflecting our empirical dichotomy between tropical and extratropical biomes. We set the number of extant taxa in the simulations – as well as in the predictions – to 340, reflecting the order of magnitude of the number of South American mammal genera (Burgin et al. 2025).</w:t>
      </w:r>
    </w:p>
    <w:p>
      <w:pPr>
        <w:pStyle w:val="BodyText"/>
        <w:rPr/>
      </w:pPr>
      <w:r>
        <w:rPr>
          <w:i/>
          <w:iCs/>
        </w:rPr>
        <w:t>Model training.</w:t>
      </w:r>
      <w:r>
        <w:rPr/>
        <w:t xml:space="preserve"> Following Cooper et al. (2024), we tested models with variable numbers of bidirectional ‘Long Short-Term Memory’ (LSTM) layers, including or not additional fully-connected ‘dense’ layers, and selected the best architectures based on the mean squared error (MSE) between simulated (</w:t>
      </w:r>
      <w:r>
        <w:rPr>
          <w:i/>
          <w:iCs/>
        </w:rPr>
        <w:t>i</w:t>
      </w:r>
      <w:r>
        <w:rPr/>
        <w:t>.</w:t>
      </w:r>
      <w:r>
        <w:rPr>
          <w:i/>
          <w:iCs/>
        </w:rPr>
        <w:t>e</w:t>
      </w:r>
      <w:r>
        <w:rPr/>
        <w:t>., ‘true’) and predicted diversity of each set of fossil occurrences of our training set (</w:t>
      </w:r>
      <w:r>
        <w:rPr>
          <w:rStyle w:val="VerbatimChar"/>
        </w:rPr>
        <w:t>Evaluation loss</w:t>
      </w:r>
      <w:r>
        <w:rPr/>
        <w:t>). Our retained network architecture comprised two LSTM layers (64 and 32 nodes) coupled with one dense layer (32 nodes) (</w:t>
      </w:r>
      <w:r>
        <w:rPr>
          <w:b/>
          <w:bCs/>
        </w:rPr>
        <w:t>Supp. Fig. 2−3</w:t>
      </w:r>
      <w:r>
        <w:rPr/>
        <w:t xml:space="preserve"> and </w:t>
      </w:r>
      <w:r>
        <w:rPr>
          <w:b/>
          <w:bCs/>
        </w:rPr>
        <w:t>Supp. Tab. 8</w:t>
      </w:r>
      <w:r>
        <w:rPr/>
        <w:t>).</w:t>
      </w:r>
    </w:p>
    <w:p>
      <w:pPr>
        <w:pStyle w:val="BodyText"/>
        <w:rPr/>
      </w:pPr>
      <w:r>
        <w:rPr>
          <w:i/>
          <w:iCs/>
        </w:rPr>
        <w:t>Empirical predictions.</w:t>
      </w:r>
      <w:r>
        <w:rPr/>
        <w:t xml:space="preserve"> We made 100 replicates of age assignment for occurrences in our fossil database.</w:t>
      </w:r>
      <w:bookmarkEnd w:id="6"/>
    </w:p>
    <w:p>
      <w:pPr>
        <w:pStyle w:val="Heading2"/>
        <w:rPr/>
      </w:pPr>
      <w:bookmarkStart w:id="7" w:name="Xe57631aa6071154f2080e5d1af65f26f612edcb"/>
      <w:r>
        <w:rPr/>
        <w:t>Drivers behind macroevolutionary patterns</w:t>
      </w:r>
    </w:p>
    <w:p>
      <w:pPr>
        <w:pStyle w:val="Heading3"/>
        <w:rPr/>
      </w:pPr>
      <w:bookmarkStart w:id="8" w:name="environmental-variable-selection"/>
      <w:r>
        <w:rPr/>
        <w:t>Environmental variable selection</w:t>
      </w:r>
    </w:p>
    <w:p>
      <w:pPr>
        <w:pStyle w:val="FirstParagraph"/>
        <w:rPr/>
      </w:pPr>
      <w:r>
        <w:rPr/>
        <w:t>To make sense of the macroevolutionary patterns that we reconstructed in terms of environmental process, we incorporated several biotic and abiotic variables in our workflow.</w:t>
      </w:r>
    </w:p>
    <w:p>
      <w:pPr>
        <w:pStyle w:val="BodyText"/>
        <w:rPr/>
      </w:pPr>
      <w:r>
        <w:rPr/>
        <w:t>First, as illustrated by many studies, the Andean uplift has often been identified as a key driver for the build-up of South American ecosystems from the Neogene to the present (Hoorn et al. 1995; Antonelli et al. 2009; Hoorn et al. 2010; Tarquini et al. 2022; Vallejos-Garrido et al. 2023; Solórzano et al. 2024). Thus, we incorporated the multi-proxy reconstruction of the pace of the Andean uplift produced by (Boschman 2021) – averaged across the entire continent or more spatially refined. Another abiotic factor frequently retrieved as significantly influencing diversification in a wide array of clades is temperature (</w:t>
      </w:r>
      <w:r>
        <w:rPr>
          <w:i/>
          <w:iCs/>
        </w:rPr>
        <w:t>e</w:t>
      </w:r>
      <w:r>
        <w:rPr/>
        <w:t>.</w:t>
      </w:r>
      <w:r>
        <w:rPr>
          <w:i/>
          <w:iCs/>
        </w:rPr>
        <w:t>g</w:t>
      </w:r>
      <w:r>
        <w:rPr/>
        <w:t>., Condamine et al. 2018; Condamine et al. 2019; Flannery-Sutherland et al. 2022; Weppe et al. 2023). So far, studies testing the effect of palaeotemperature on clade diversification have often used global proxy-derived temperature reconstructions (</w:t>
      </w:r>
      <w:r>
        <w:rPr>
          <w:i/>
          <w:iCs/>
        </w:rPr>
        <w:t>e</w:t>
      </w:r>
      <w:r>
        <w:rPr/>
        <w:t>.</w:t>
      </w:r>
      <w:r>
        <w:rPr>
          <w:i/>
          <w:iCs/>
        </w:rPr>
        <w:t>g</w:t>
      </w:r>
      <w:r>
        <w:rPr/>
        <w:t>., Westerhold et al. 2020). The main limitation of this approach is that it does not reflect regional climatic idiosyncrasies. We therefore used the regional South American average temperature reconstructions recently produced by Tardif et al. (2025). Also, South America biomes have been highly influenced by hydrographic reorganisations, tightly related to the Andean orogeny, but also to eustatism (Hoorn et al. 2022; Guayasamin et al. 2024). We therefore incorporated the sea level reconstructions of Miller et al. (2020) in our analyses.</w:t>
      </w:r>
    </w:p>
    <w:p>
      <w:pPr>
        <w:pStyle w:val="BodyText"/>
        <w:rPr/>
      </w:pPr>
      <w:bookmarkStart w:id="9" w:name="environmental-variable-selection"/>
      <w:r>
        <w:rPr/>
        <w:t>Diversity-dependent effects have been illustrated many times as important drivers for changes in macroevolutionary rates (Etienne et al. 2011; Condamine et al. 2019, 2020), just like temperature, in a wide range of clades. Therefore, we allowed for diversity-dependence in our environment-dependent diversification (EDD) analyses.</w:t>
      </w:r>
      <w:bookmarkEnd w:id="9"/>
    </w:p>
    <w:p>
      <w:pPr>
        <w:pStyle w:val="Heading3"/>
        <w:rPr/>
      </w:pPr>
      <w:bookmarkStart w:id="10" w:name="multivariate-birth-death-mbd-analyses"/>
      <w:r>
        <w:rPr/>
        <w:t>Multivariate Birth-Death (MBD) analyses</w:t>
      </w:r>
    </w:p>
    <w:p>
      <w:pPr>
        <w:pStyle w:val="FirstParagraph"/>
        <w:rPr/>
      </w:pPr>
      <w:r>
        <w:rPr/>
        <w:t xml:space="preserve">At first, we carried out EDD analyses using the Multivariate Birth-Death (MBD) model implemented in PyRate (Lehtonen et al. 2017). Given origination and extinction times inferred by PyRate (see previous part), the MBD model </w:t>
      </w:r>
      <w:r>
        <w:rPr>
          <w:i/>
          <w:iCs/>
        </w:rPr>
        <w:t>de novo</w:t>
      </w:r>
      <w:r>
        <w:rPr/>
        <w:t xml:space="preserve"> estimates origination and extinction rates (resp. </w:t>
      </w:r>
      <w:r>
        <w:rPr/>
      </w:r>
      <m:oMath xmlns:m="http://schemas.openxmlformats.org/officeDocument/2006/math">
        <m:r>
          <w:rPr>
            <w:rFonts w:ascii="Cambria Math" w:hAnsi="Cambria Math"/>
          </w:rPr>
          <m:t xml:space="preserve">λ</m:t>
        </m:r>
      </m:oMath>
      <w:r>
        <w:rPr/>
        <w:t xml:space="preserve"> and </w:t>
      </w:r>
      <w:r>
        <w:rPr/>
      </w:r>
      <m:oMath xmlns:m="http://schemas.openxmlformats.org/officeDocument/2006/math">
        <m:r>
          <w:rPr>
            <w:rFonts w:ascii="Cambria Math" w:hAnsi="Cambria Math"/>
          </w:rPr>
          <m:t xml:space="preserve">μ</m:t>
        </m:r>
      </m:oMath>
      <w:r>
        <w:rPr/>
        <w:t xml:space="preserve">) using a birth-death process where </w:t>
      </w:r>
      <w:r>
        <w:rPr/>
      </w:r>
      <m:oMath xmlns:m="http://schemas.openxmlformats.org/officeDocument/2006/math">
        <m:r>
          <w:rPr>
            <w:rFonts w:ascii="Cambria Math" w:hAnsi="Cambria Math"/>
          </w:rPr>
          <m:t xml:space="preserve">λ</m:t>
        </m:r>
      </m:oMath>
      <w:r>
        <w:rPr/>
        <w:t xml:space="preserve"> and </w:t>
      </w:r>
      <w:r>
        <w:rPr/>
      </w:r>
      <m:oMath xmlns:m="http://schemas.openxmlformats.org/officeDocument/2006/math">
        <m:r>
          <w:rPr>
            <w:rFonts w:ascii="Cambria Math" w:hAnsi="Cambria Math"/>
          </w:rPr>
          <m:t xml:space="preserve">μ</m:t>
        </m:r>
      </m:oMath>
      <w:r>
        <w:rPr/>
        <w:t xml:space="preserve"> are functions of environmental variables. Given a set of environmental correlates of size </w:t>
      </w:r>
      <w:r>
        <w:rPr/>
      </w:r>
      <m:oMath xmlns:m="http://schemas.openxmlformats.org/officeDocument/2006/math">
        <m:r>
          <w:rPr>
            <w:rFonts w:ascii="Cambria Math" w:hAnsi="Cambria Math"/>
          </w:rPr>
          <m:t xml:space="preserve">n</m:t>
        </m:r>
      </m:oMath>
      <w:r>
        <w:rPr/>
        <w:t xml:space="preserve"> (in our case,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4</m:t>
        </m:r>
      </m:oMath>
      <w:r>
        <w:rPr/>
        <w:t xml:space="preserve">), the model assumes either a linear or an exponential dependency between </w:t>
      </w:r>
      <w:r>
        <w:rPr/>
      </w:r>
      <m:oMath xmlns:m="http://schemas.openxmlformats.org/officeDocument/2006/math">
        <m:r>
          <w:rPr>
            <w:rFonts w:ascii="Cambria Math" w:hAnsi="Cambria Math"/>
          </w:rPr>
          <m:t xml:space="preserve">λ</m:t>
        </m:r>
      </m:oMath>
      <w:r>
        <w:rPr/>
        <w:t xml:space="preserve"> (or </w:t>
      </w:r>
      <w:r>
        <w:rPr/>
      </w:r>
      <m:oMath xmlns:m="http://schemas.openxmlformats.org/officeDocument/2006/math">
        <m:r>
          <w:rPr>
            <w:rFonts w:ascii="Cambria Math" w:hAnsi="Cambria Math"/>
          </w:rPr>
          <m:t xml:space="preserve">μ</m:t>
        </m:r>
      </m:oMath>
      <w:r>
        <w:rPr/>
        <w:t xml:space="preserve">) and the environment correlates – here, we only tested for exponential dependencies. Therefore, to a given rate, </w:t>
      </w:r>
      <w:r>
        <w:rPr/>
      </w:r>
      <m:oMath xmlns:m="http://schemas.openxmlformats.org/officeDocument/2006/math">
        <m:r>
          <w:rPr>
            <w:rFonts w:ascii="Cambria Math" w:hAnsi="Cambria Math"/>
          </w:rPr>
          <m:t xml:space="preserve">n</m:t>
        </m:r>
      </m:oMath>
      <w:r>
        <w:rPr/>
        <w:t xml:space="preserve"> correlation parameters – one per environment variable – are estimated (resp. </w:t>
      </w:r>
      <w:r>
        <w:rPr/>
      </w:r>
      <m:oMath xmlns:m="http://schemas.openxmlformats.org/officeDocument/2006/math">
        <m:sSub>
          <m:e>
            <m:r>
              <w:rPr>
                <w:rFonts w:ascii="Cambria Math" w:hAnsi="Cambria Math"/>
              </w:rPr>
              <m:t xml:space="preserve">G</m:t>
            </m:r>
          </m:e>
          <m:sub>
            <m:r>
              <w:rPr>
                <w:rFonts w:ascii="Cambria Math" w:hAnsi="Cambria Math"/>
              </w:rPr>
              <m:t xml:space="preserve">λ</m:t>
            </m:r>
            <m:r>
              <w:rPr>
                <w:rFonts w:ascii="Cambria Math" w:hAnsi="Cambria Math"/>
              </w:rPr>
              <m:t xml:space="preserve">,</m:t>
            </m:r>
            <m:r>
              <w:rPr>
                <w:rFonts w:ascii="Cambria Math" w:hAnsi="Cambria Math"/>
              </w:rPr>
              <m:t xml:space="preserve">i</m:t>
            </m:r>
          </m:sub>
        </m:sSub>
      </m:oMath>
      <w:r>
        <w:rPr/>
        <w:t xml:space="preserve"> or </w:t>
      </w:r>
      <w:r>
        <w:rPr/>
      </w:r>
      <m:oMath xmlns:m="http://schemas.openxmlformats.org/officeDocument/2006/math">
        <m:sSub>
          <m:e>
            <m:r>
              <w:rPr>
                <w:rFonts w:ascii="Cambria Math" w:hAnsi="Cambria Math"/>
              </w:rPr>
              <m:t xml:space="preserve">G</m:t>
            </m:r>
          </m:e>
          <m:sub>
            <m:r>
              <w:rPr>
                <w:rFonts w:ascii="Cambria Math" w:hAnsi="Cambria Math"/>
              </w:rPr>
              <m:t xml:space="preserve">μ</m:t>
            </m:r>
            <m:r>
              <w:rPr>
                <w:rFonts w:ascii="Cambria Math" w:hAnsi="Cambria Math"/>
              </w:rPr>
              <m:t xml:space="preserve">,</m:t>
            </m:r>
            <m:r>
              <w:rPr>
                <w:rFonts w:ascii="Cambria Math" w:hAnsi="Cambria Math"/>
              </w:rPr>
              <m:t xml:space="preserve">i</m:t>
            </m:r>
          </m:sub>
        </m:sSub>
      </m:oMath>
      <w:r>
        <w:rPr/>
        <w:t xml:space="preserve">), plus a baseline rate. Each </w:t>
      </w:r>
      <w:r>
        <w:rPr/>
      </w:r>
      <m:oMath xmlns:m="http://schemas.openxmlformats.org/officeDocument/2006/math">
        <m:sSub>
          <m:e>
            <m:r>
              <w:rPr>
                <w:rFonts w:ascii="Cambria Math" w:hAnsi="Cambria Math"/>
              </w:rPr>
              <m:t xml:space="preserve">G</m:t>
            </m:r>
          </m:e>
          <m:sub>
            <m:r>
              <w:rPr>
                <w:rFonts w:ascii="Cambria Math" w:hAnsi="Cambria Math"/>
              </w:rPr>
              <m:t xml:space="preserve">λ</m:t>
            </m:r>
            <m:r>
              <w:rPr>
                <w:rFonts w:ascii="Cambria Math" w:hAnsi="Cambria Math"/>
              </w:rPr>
              <m:t xml:space="preserve">,</m:t>
            </m:r>
            <m:r>
              <w:rPr>
                <w:rFonts w:ascii="Cambria Math" w:hAnsi="Cambria Math"/>
              </w:rPr>
              <m:t xml:space="preserve">i</m:t>
            </m:r>
          </m:sub>
        </m:sSub>
      </m:oMath>
      <w:r>
        <w:rPr/>
        <w:t xml:space="preserve"> or </w:t>
      </w:r>
      <w:r>
        <w:rPr/>
      </w:r>
      <m:oMath xmlns:m="http://schemas.openxmlformats.org/officeDocument/2006/math">
        <m:sSub>
          <m:e>
            <m:r>
              <w:rPr>
                <w:rFonts w:ascii="Cambria Math" w:hAnsi="Cambria Math"/>
              </w:rPr>
              <m:t xml:space="preserve">G</m:t>
            </m:r>
          </m:e>
          <m:sub>
            <m:r>
              <w:rPr>
                <w:rFonts w:ascii="Cambria Math" w:hAnsi="Cambria Math"/>
              </w:rPr>
              <m:t xml:space="preserve">μ</m:t>
            </m:r>
            <m:r>
              <w:rPr>
                <w:rFonts w:ascii="Cambria Math" w:hAnsi="Cambria Math"/>
              </w:rPr>
              <m:t xml:space="preserve">,</m:t>
            </m:r>
            <m:r>
              <w:rPr>
                <w:rFonts w:ascii="Cambria Math" w:hAnsi="Cambria Math"/>
              </w:rPr>
              <m:t xml:space="preserve">i</m:t>
            </m:r>
          </m:sub>
        </m:sSub>
      </m:oMath>
      <w:r>
        <w:rPr/>
        <w:t xml:space="preserve"> is assigned a shrinkage weight (resp. </w:t>
      </w:r>
      <w:r>
        <w:rPr/>
      </w:r>
      <m:oMath xmlns:m="http://schemas.openxmlformats.org/officeDocument/2006/math">
        <m:sSub>
          <m:e>
            <m:r>
              <w:rPr>
                <w:rFonts w:ascii="Cambria Math" w:hAnsi="Cambria Math"/>
              </w:rPr>
              <m:t xml:space="preserve">w</m:t>
            </m:r>
          </m:e>
          <m:sub>
            <m:r>
              <w:rPr>
                <w:rFonts w:ascii="Cambria Math" w:hAnsi="Cambria Math"/>
              </w:rPr>
              <m:t xml:space="preserve">λ</m:t>
            </m:r>
            <m:r>
              <w:rPr>
                <w:rFonts w:ascii="Cambria Math" w:hAnsi="Cambria Math"/>
              </w:rPr>
              <m:t xml:space="preserve">,</m:t>
            </m:r>
            <m:r>
              <w:rPr>
                <w:rFonts w:ascii="Cambria Math" w:hAnsi="Cambria Math"/>
              </w:rPr>
              <m:t xml:space="preserve">i</m:t>
            </m:r>
          </m:sub>
        </m:sSub>
      </m:oMath>
      <w:r>
        <w:rPr/>
        <w:t xml:space="preserve"> and </w:t>
      </w:r>
      <w:r>
        <w:rPr/>
      </w:r>
      <m:oMath xmlns:m="http://schemas.openxmlformats.org/officeDocument/2006/math">
        <m:sSub>
          <m:e>
            <m:r>
              <w:rPr>
                <w:rFonts w:ascii="Cambria Math" w:hAnsi="Cambria Math"/>
              </w:rPr>
              <m:t xml:space="preserve">w</m:t>
            </m:r>
          </m:e>
          <m:sub>
            <m:r>
              <w:rPr>
                <w:rFonts w:ascii="Cambria Math" w:hAnsi="Cambria Math"/>
              </w:rPr>
              <m:t xml:space="preserve">μ</m:t>
            </m:r>
            <m:r>
              <w:rPr>
                <w:rFonts w:ascii="Cambria Math" w:hAnsi="Cambria Math"/>
              </w:rPr>
              <m:t xml:space="preserve">,</m:t>
            </m:r>
            <m:r>
              <w:rPr>
                <w:rFonts w:ascii="Cambria Math" w:hAnsi="Cambria Math"/>
              </w:rPr>
              <m:t xml:space="preserve">i</m:t>
            </m:r>
          </m:sub>
        </m:sSub>
      </m:oMath>
      <w:r>
        <w:rPr/>
        <w:t xml:space="preserve">), ranging from 0 to 1, testing for the strength of the relationship between the newly-estimated rate and each environmental variable individually. A correlation coefficient </w:t>
      </w:r>
      <w:r>
        <w:rPr/>
      </w:r>
      <m:oMath xmlns:m="http://schemas.openxmlformats.org/officeDocument/2006/math">
        <m:sSub>
          <m:e>
            <m:r>
              <w:rPr>
                <w:rFonts w:ascii="Cambria Math" w:hAnsi="Cambria Math"/>
              </w:rPr>
              <m:t xml:space="preserve">G</m:t>
            </m:r>
          </m:e>
          <m:sub>
            <m:r>
              <w:rPr>
                <w:rFonts w:ascii="Cambria Math" w:hAnsi="Cambria Math"/>
              </w:rPr>
              <m:t xml:space="preserve">.</m:t>
            </m:r>
            <m:r>
              <w:rPr>
                <w:rFonts w:ascii="Cambria Math" w:hAnsi="Cambria Math"/>
              </w:rPr>
              <m:t xml:space="preserve">,</m:t>
            </m:r>
            <m:r>
              <w:rPr>
                <w:rFonts w:ascii="Cambria Math" w:hAnsi="Cambria Math"/>
              </w:rPr>
              <m:t xml:space="preserve">i</m:t>
            </m:r>
          </m:sub>
        </m:sSub>
      </m:oMath>
      <w:r>
        <w:rPr/>
        <w:t xml:space="preserve"> is considered significant if </w:t>
      </w:r>
      <w:r>
        <w:rPr/>
      </w:r>
      <m:oMath xmlns:m="http://schemas.openxmlformats.org/officeDocument/2006/math">
        <m:r>
          <w:rPr>
            <w:rFonts w:ascii="Cambria Math" w:hAnsi="Cambria Math"/>
          </w:rPr>
          <m:t xml:space="preserve">m</m:t>
        </m:r>
        <m:r>
          <w:rPr>
            <w:rFonts w:ascii="Cambria Math" w:hAnsi="Cambria Math"/>
          </w:rPr>
          <m:t xml:space="preserve">e</m:t>
        </m:r>
        <m:r>
          <w:rPr>
            <w:rFonts w:ascii="Cambria Math" w:hAnsi="Cambria Math"/>
          </w:rPr>
          <m:t xml:space="preserve">d</m:t>
        </m:r>
        <m:r>
          <w:rPr>
            <w:rFonts w:ascii="Cambria Math" w:hAnsi="Cambria Math"/>
          </w:rPr>
          <m:t xml:space="preserve">i</m:t>
        </m:r>
        <m:r>
          <w:rPr>
            <w:rFonts w:ascii="Cambria Math" w:hAnsi="Cambria Math"/>
          </w:rPr>
          <m:t xml:space="preserve">a</m:t>
        </m:r>
        <m:r>
          <w:rPr>
            <w:rFonts w:ascii="Cambria Math" w:hAnsi="Cambria Math"/>
          </w:rPr>
          <m:t xml:space="preserve">n</m:t>
        </m:r>
        <m:d>
          <m:dPr>
            <m:begChr m:val="("/>
            <m:endChr m:val=")"/>
          </m:dPr>
          <m:e>
            <m:sSub>
              <m:e>
                <m:r>
                  <w:rPr>
                    <w:rFonts w:ascii="Cambria Math" w:hAnsi="Cambria Math"/>
                  </w:rPr>
                  <m:t xml:space="preserve">w</m:t>
                </m:r>
              </m:e>
              <m:sub>
                <m:r>
                  <w:rPr>
                    <w:rFonts w:ascii="Cambria Math" w:hAnsi="Cambria Math"/>
                  </w:rPr>
                  <m:t xml:space="preserve">.</m:t>
                </m:r>
                <m:r>
                  <w:rPr>
                    <w:rFonts w:ascii="Cambria Math" w:hAnsi="Cambria Math"/>
                  </w:rPr>
                  <m:t xml:space="preserve">,</m:t>
                </m:r>
                <m:r>
                  <w:rPr>
                    <w:rFonts w:ascii="Cambria Math" w:hAnsi="Cambria Math"/>
                  </w:rPr>
                  <m:t xml:space="preserve">i</m:t>
                </m:r>
              </m:sub>
            </m:sSub>
          </m:e>
        </m:d>
        <m:r>
          <w:rPr>
            <w:rFonts w:ascii="Cambria Math" w:hAnsi="Cambria Math"/>
          </w:rPr>
          <m:t xml:space="preserve">&gt;</m:t>
        </m:r>
        <m:r>
          <w:rPr>
            <w:rFonts w:ascii="Cambria Math" w:hAnsi="Cambria Math"/>
          </w:rPr>
          <m:t xml:space="preserve">0.5</m:t>
        </m:r>
      </m:oMath>
      <w:r>
        <w:rPr/>
        <w:t xml:space="preserve"> and if its 95% Highest Posterior Density interval (HPD) does not overlap with 0. An MCMC algorithm jointly approximates the posterior distribution of each </w:t>
      </w:r>
      <w:r>
        <w:rPr/>
      </w:r>
      <m:oMath xmlns:m="http://schemas.openxmlformats.org/officeDocument/2006/math">
        <m:sSub>
          <m:e>
            <m:r>
              <w:rPr>
                <w:rFonts w:ascii="Cambria Math" w:hAnsi="Cambria Math"/>
              </w:rPr>
              <m:t xml:space="preserve">G</m:t>
            </m:r>
          </m:e>
          <m:sub>
            <m:r>
              <w:rPr>
                <w:rFonts w:ascii="Cambria Math" w:hAnsi="Cambria Math"/>
              </w:rPr>
              <m:t xml:space="preserve">.</m:t>
            </m:r>
            <m:r>
              <w:rPr>
                <w:rFonts w:ascii="Cambria Math" w:hAnsi="Cambria Math"/>
              </w:rPr>
              <m:t xml:space="preserve">,</m:t>
            </m:r>
            <m:r>
              <w:rPr>
                <w:rFonts w:ascii="Cambria Math" w:hAnsi="Cambria Math"/>
              </w:rPr>
              <m:t xml:space="preserve">i</m:t>
            </m:r>
          </m:sub>
        </m:sSub>
      </m:oMath>
      <w:r>
        <w:rPr/>
        <w:t xml:space="preserve"> and their associated </w:t>
      </w:r>
      <w:r>
        <w:rPr/>
      </w:r>
      <m:oMath xmlns:m="http://schemas.openxmlformats.org/officeDocument/2006/math">
        <m:sSub>
          <m:e>
            <m:r>
              <w:rPr>
                <w:rFonts w:ascii="Cambria Math" w:hAnsi="Cambria Math"/>
              </w:rPr>
              <m:t xml:space="preserve">w</m:t>
            </m:r>
          </m:e>
          <m:sub>
            <m:r>
              <w:rPr>
                <w:rFonts w:ascii="Cambria Math" w:hAnsi="Cambria Math"/>
              </w:rPr>
              <m:t xml:space="preserve">.</m:t>
            </m:r>
            <m:r>
              <w:rPr>
                <w:rFonts w:ascii="Cambria Math" w:hAnsi="Cambria Math"/>
              </w:rPr>
              <m:t xml:space="preserve">,</m:t>
            </m:r>
            <m:r>
              <w:rPr>
                <w:rFonts w:ascii="Cambria Math" w:hAnsi="Cambria Math"/>
              </w:rPr>
              <m:t xml:space="preserve">i</m:t>
            </m:r>
          </m:sub>
        </m:sSub>
      </m:oMath>
      <w:r>
        <w:rPr/>
        <w:t xml:space="preserve"> while controlling for over-parameterisation. We scaled environmental predictors prior their incorporation to the model, and ran each set of MBD analyses across 10 million iterations, with a sampling frequency of 10,000.</w:t>
      </w:r>
      <w:bookmarkEnd w:id="10"/>
    </w:p>
    <w:p>
      <w:pPr>
        <w:pStyle w:val="Heading3"/>
        <w:rPr/>
      </w:pPr>
      <w:bookmarkStart w:id="11" w:name="X4354b30efd5e7c4fb4ef9647c79b96606b13c61"/>
      <w:r>
        <w:rPr/>
        <w:t>Birth-Death Neural Networks (BDNN) analyses</w:t>
      </w:r>
    </w:p>
    <w:p>
      <w:pPr>
        <w:pStyle w:val="FirstParagraph"/>
        <w:rPr/>
      </w:pPr>
      <w:r>
        <w:rPr/>
        <w:t>We used the BDNN model (Hauffe et al. 2024) to complement the EDD analyses carried out with the MBD model. BDNN uses PyRate’s framework to estimate preservation-aware times of origination and extinction for each taxon of the occurrence database. Given these times, it further extends the birth-death process used in PyRate to model origination and extinction rate dynamics by allowing rates to vary not only across time, but also across lineages. One of the key advances of BDNN is that it uses an unsupervised neural network to estimate these rates as a function of a user-provided set of external predictors, such as environmental covariates or biological traits. It therefore does not assume any predefined dependency between diversification rates and the variables tested – contrary to the linear vs. exponential duality offered by classical EDD approaches. Consequently, these dependencies can be complex, going beyond linearity, and can change through time. The so-estimated rates are then directly incorporated in the likelihood function of the birth-death process implemented in PyRate. Noteworthy, BDNN provides the ability to test for the combined effect (</w:t>
      </w:r>
      <w:r>
        <w:rPr>
          <w:i/>
          <w:iCs/>
        </w:rPr>
        <w:t>i</w:t>
      </w:r>
      <w:r>
        <w:rPr/>
        <w:t>.</w:t>
      </w:r>
      <w:r>
        <w:rPr>
          <w:i/>
          <w:iCs/>
        </w:rPr>
        <w:t>e</w:t>
      </w:r>
      <w:r>
        <w:rPr/>
        <w:t>., interaction) of multiple variables, and further ranks the predictors according to their respective contribution to the modelled macroevolutionary pattern by using common explainable AI metrics.</w:t>
      </w:r>
    </w:p>
    <w:p>
      <w:pPr>
        <w:pStyle w:val="BodyText"/>
        <w:rPr/>
      </w:pPr>
      <w:r>
        <w:rPr/>
        <w:t xml:space="preserve">All the model parameters were estimated using an MCMC algorithm that we ran for 50 million generations, sampling every 50,000. As in our PyRate analyses, we used a time-dependent preservation process allowing preservation rate shift between geological stages, and between lineages according to a </w:t>
      </w:r>
      <w:r>
        <w:rPr>
          <w:i/>
          <w:iCs/>
        </w:rPr>
        <w:t>Gamma</w:t>
      </w:r>
      <w:r>
        <w:rPr/>
        <w:t xml:space="preserve"> model. Predictors (</w:t>
      </w:r>
      <w:r>
        <w:rPr>
          <w:i/>
          <w:iCs/>
        </w:rPr>
        <w:t>i</w:t>
      </w:r>
      <w:r>
        <w:rPr/>
        <w:t>.</w:t>
      </w:r>
      <w:r>
        <w:rPr>
          <w:i/>
          <w:iCs/>
        </w:rPr>
        <w:t>e</w:t>
      </w:r>
      <w:r>
        <w:rPr/>
        <w:t>., environmental covariates and categorical traits) were scaled prior to their incorporation in the model.</w:t>
      </w:r>
      <w:bookmarkEnd w:id="11"/>
    </w:p>
    <w:p>
      <w:pPr>
        <w:pStyle w:val="Heading3"/>
        <w:rPr/>
      </w:pPr>
      <w:bookmarkStart w:id="12" w:name="age-dependent-extinction-ade-model"/>
      <w:r>
        <w:rPr/>
        <w:t>Age-Dependent Extinction (ADE) model</w:t>
      </w:r>
    </w:p>
    <w:p>
      <w:pPr>
        <w:pStyle w:val="FirstParagraph"/>
        <w:rPr/>
      </w:pPr>
      <w:r>
        <w:rPr/>
        <w:t>To investigate the potential effect of species age on their extinction probabilities, we used the ADE model (Hagen et al. 2018). This model uses a Weibull distribution to model the relationship between species age and their probability to go extinct. The shape parameter (</w:t>
      </w:r>
      <w:r>
        <w:rPr/>
      </w:r>
      <m:oMath xmlns:m="http://schemas.openxmlformats.org/officeDocument/2006/math">
        <m:r>
          <w:rPr>
            <w:rFonts w:ascii="Cambria Math" w:hAnsi="Cambria Math"/>
          </w:rPr>
          <m:t xml:space="preserve">ϕ</m:t>
        </m:r>
      </m:oMath>
      <w:r>
        <w:rPr/>
        <w:t xml:space="preserve">) of the distribution informs about the direction of such a relationship, with </w:t>
      </w:r>
      <w:r>
        <w:rPr/>
      </w:r>
      <m:oMath xmlns:m="http://schemas.openxmlformats.org/officeDocument/2006/math">
        <m:r>
          <w:rPr>
            <w:rFonts w:ascii="Cambria Math" w:hAnsi="Cambria Math"/>
          </w:rPr>
          <m:t xml:space="preserve">ϕ</m:t>
        </m:r>
        <m:r>
          <w:rPr>
            <w:rFonts w:ascii="Cambria Math" w:hAnsi="Cambria Math"/>
          </w:rPr>
          <m:t xml:space="preserve">&lt;</m:t>
        </m:r>
        <m:r>
          <w:rPr>
            <w:rFonts w:ascii="Cambria Math" w:hAnsi="Cambria Math"/>
          </w:rPr>
          <m:t xml:space="preserve">1</m:t>
        </m:r>
      </m:oMath>
      <w:r>
        <w:rPr/>
        <w:t xml:space="preserve"> indicating decreasing extinction probability decreases with species age, </w:t>
      </w:r>
      <w:r>
        <w:rPr/>
      </w:r>
      <m:oMath xmlns:m="http://schemas.openxmlformats.org/officeDocument/2006/math">
        <m:r>
          <w:rPr>
            <w:rFonts w:ascii="Cambria Math" w:hAnsi="Cambria Math"/>
          </w:rPr>
          <m:t xml:space="preserve">ϕ</m:t>
        </m:r>
        <m:r>
          <w:rPr>
            <w:rFonts w:ascii="Cambria Math" w:hAnsi="Cambria Math"/>
          </w:rPr>
          <m:t xml:space="preserve">&gt;</m:t>
        </m:r>
        <m:r>
          <w:rPr>
            <w:rFonts w:ascii="Cambria Math" w:hAnsi="Cambria Math"/>
          </w:rPr>
          <m:t xml:space="preserve">1</m:t>
        </m:r>
      </m:oMath>
      <w:r>
        <w:rPr/>
        <w:t xml:space="preserve"> increasing extinction probability with species age, and </w:t>
      </w:r>
      <w:r>
        <w:rPr/>
      </w:r>
      <m:oMath xmlns:m="http://schemas.openxmlformats.org/officeDocument/2006/math">
        <m:r>
          <w:rPr>
            <w:rFonts w:ascii="Cambria Math" w:hAnsi="Cambria Math"/>
          </w:rPr>
          <m:t xml:space="preserve">ϕ</m:t>
        </m:r>
        <m:r>
          <w:rPr>
            <w:rFonts w:ascii="Cambria Math" w:hAnsi="Cambria Math"/>
          </w:rPr>
          <m:t xml:space="preserve">=</m:t>
        </m:r>
        <m:r>
          <w:rPr>
            <w:rFonts w:ascii="Cambria Math" w:hAnsi="Cambria Math"/>
          </w:rPr>
          <m:t xml:space="preserve">1</m:t>
        </m:r>
      </m:oMath>
      <w:r>
        <w:rPr/>
        <w:t xml:space="preserve"> no relationship between species age and extinction probability. We fitted the ADE model to our fossil occurrence database, approximating the posterior distribution of the model parameters with an MCMC algorithm that we ran across 40 million MCMC generations, sampling every 40,000. Parameter convergence was assessed using the pymc library v5.9.2 , and we considered parameters achieved convergence if their ESS was above 200.</w:t>
      </w:r>
      <w:bookmarkEnd w:id="3"/>
      <w:bookmarkEnd w:id="7"/>
      <w:bookmarkEnd w:id="12"/>
    </w:p>
    <w:p>
      <w:pPr>
        <w:pStyle w:val="Heading1"/>
        <w:rPr/>
      </w:pPr>
      <w:bookmarkStart w:id="13" w:name="results"/>
      <w:r>
        <w:rPr/>
        <w:t>Results</w:t>
      </w:r>
    </w:p>
    <w:p>
      <w:pPr>
        <w:pStyle w:val="Heading2"/>
        <w:rPr/>
      </w:pPr>
      <w:bookmarkStart w:id="14" w:name="rjmcmc"/>
      <w:r>
        <w:rPr/>
        <w:t>RJMCMC</w:t>
      </w:r>
    </w:p>
    <w:p>
      <w:pPr>
        <w:pStyle w:val="FirstParagraph"/>
        <w:rPr/>
      </w:pPr>
      <w:r>
        <w:rPr/>
        <w:t>Are we detecting pulses of mid-late Miocene pulses of diversification that lead to the differenciation of extant lineages postulated from the fossil record ? Vucetich et al. (2015)</w:t>
      </w:r>
    </w:p>
    <w:p>
      <w:pPr>
        <w:pStyle w:val="BodyText"/>
        <w:rPr/>
      </w:pPr>
      <w:bookmarkStart w:id="15" w:name="rjmcmc"/>
      <w:r>
        <w:rPr/>
        <w:t>PLOT SPECIES LONGEVITY BY CLADE INCORPORATING INFORMATION ON THEIR BODY MASS !!</w:t>
      </w:r>
      <w:bookmarkEnd w:id="15"/>
    </w:p>
    <w:p>
      <w:pPr>
        <w:pStyle w:val="Heading2"/>
        <w:rPr/>
      </w:pPr>
      <w:bookmarkStart w:id="16" w:name="deepdive"/>
      <w:r>
        <w:rPr/>
        <w:t>Deepdive</w:t>
      </w:r>
    </w:p>
    <w:p>
      <w:pPr>
        <w:pStyle w:val="FirstParagraph"/>
        <w:rPr/>
      </w:pPr>
      <w:r>
        <w:rPr/>
        <w:t>All architectures performed similarly, as long as they comprised at least one dense layer connecting the output of the LSTM layers to the output layer (</w:t>
      </w:r>
      <w:r>
        <w:rPr>
          <w:b/>
          <w:bCs/>
        </w:rPr>
        <w:t>Supp. Tab. 8</w:t>
      </w:r>
      <w:r>
        <w:rPr/>
        <w:t>).</w:t>
      </w:r>
      <w:bookmarkEnd w:id="16"/>
    </w:p>
    <w:p>
      <w:pPr>
        <w:pStyle w:val="Heading2"/>
        <w:rPr/>
      </w:pPr>
      <w:bookmarkStart w:id="17" w:name="mbd"/>
      <w:r>
        <w:rPr/>
        <w:t>MBD</w:t>
      </w:r>
    </w:p>
    <w:p>
      <w:pPr>
        <w:pStyle w:val="FirstParagraph"/>
        <w:rPr/>
      </w:pPr>
      <w:r>
        <w:rPr/>
        <w:t>Full time facetted:</w:t>
      </w:r>
    </w:p>
    <w:p>
      <w:pPr>
        <w:pStyle w:val="Normal"/>
        <w:numPr>
          <w:ilvl w:val="0"/>
          <w:numId w:val="6"/>
        </w:numPr>
        <w:rPr/>
      </w:pPr>
      <w:r>
        <w:rPr/>
        <w:t>Andes: Late Neogene + Quaternary, negative relationship with extiction rate, of increasing magnitude with decreasing time.</w:t>
      </w:r>
    </w:p>
    <w:p>
      <w:pPr>
        <w:pStyle w:val="Normal"/>
        <w:numPr>
          <w:ilvl w:val="0"/>
          <w:numId w:val="6"/>
        </w:numPr>
        <w:rPr/>
      </w:pPr>
      <w:bookmarkStart w:id="18" w:name="mbd"/>
      <w:r>
        <w:rPr/>
        <w:t>Temperature: mid-Pliocene Warming Period (mPWP), confounding effect with GABI?</w:t>
      </w:r>
      <w:bookmarkEnd w:id="18"/>
    </w:p>
    <w:p>
      <w:pPr>
        <w:pStyle w:val="Heading2"/>
        <w:rPr/>
      </w:pPr>
      <w:bookmarkStart w:id="19" w:name="bdnn"/>
      <w:r>
        <w:rPr/>
        <w:t>BDNN</w:t>
      </w:r>
    </w:p>
    <w:p>
      <w:pPr>
        <w:pStyle w:val="FirstParagraph"/>
        <w:rPr/>
      </w:pPr>
      <w:r>
        <w:rPr/>
        <w:t>Our deep learning-based analysis of diversification provided evidence for significant origination and extinction rates variation as compared to a constant-rate birth-death model with the same amount of lineages and root ages as our empirical data (coefficients of rate variation table).</w:t>
      </w:r>
    </w:p>
    <w:p>
      <w:pPr>
        <w:pStyle w:val="BodyText"/>
        <w:rPr/>
      </w:pPr>
      <w:r>
        <w:rPr/>
        <w:t>Heterogeneity in lineage-specific diversification rates (example of lineages/groups of taxa).</w:t>
      </w:r>
    </w:p>
    <w:p>
      <w:pPr>
        <w:pStyle w:val="BodyText"/>
        <w:rPr/>
      </w:pPr>
      <w:r>
        <w:rPr/>
        <w:t>Migrant taxa (</w:t>
      </w:r>
      <w:r>
        <w:rPr>
          <w:i/>
          <w:iCs/>
        </w:rPr>
        <w:t>i</w:t>
      </w:r>
      <w:r>
        <w:rPr/>
        <w:t>.</w:t>
      </w:r>
      <w:r>
        <w:rPr>
          <w:i/>
          <w:iCs/>
        </w:rPr>
        <w:t>e</w:t>
      </w:r>
      <w:r>
        <w:rPr/>
        <w:t>., belonging to groups that reached South America after North and South America were close enough to allow for biotic interchanges) were found to exhibit an overall extinction rate lower that endemic ones.</w:t>
      </w:r>
    </w:p>
    <w:p>
      <w:pPr>
        <w:pStyle w:val="BodyText"/>
        <w:rPr/>
      </w:pPr>
      <w:r>
        <w:rPr/>
        <w:t>Also, tropical lineages appear to have overall lower origination and extinction rates, suggesting enhanced biotic turnover outside the tropics.</w:t>
      </w:r>
    </w:p>
    <w:p>
      <w:pPr>
        <w:pStyle w:val="BodyText"/>
        <w:rPr/>
      </w:pPr>
      <w:r>
        <w:rPr/>
        <w:t>Diversity-dependent effects were found to be the most important factor influencing origination rate variations, with decreasing rate values with increasing diversity. Andean uplift and palaeotemperature were respectively ranked at the second and third positions on the predictor importance scale.</w:t>
      </w:r>
    </w:p>
    <w:p>
      <w:pPr>
        <w:pStyle w:val="BodyText"/>
        <w:rPr/>
      </w:pPr>
      <w:r>
        <w:rPr/>
        <w:t>Palaeotemperature was retrieved as most significantly influencing extinction rate variations, via a negative relationship – extinction rate decreases when palaeotemperature increases. Sea level and Andean uplift respectively arrived second and third. At a given palaeotemperature, extinction rate was higher when sea level was higher.</w:t>
      </w:r>
    </w:p>
    <w:p>
      <w:pPr>
        <w:pStyle w:val="BodyText"/>
        <w:rPr/>
      </w:pPr>
      <w:bookmarkStart w:id="20" w:name="results"/>
      <w:bookmarkStart w:id="21" w:name="bdnn"/>
      <w:r>
        <w:rPr/>
        <w:t>Results robust to different network architectures.</w:t>
      </w:r>
      <w:bookmarkEnd w:id="20"/>
      <w:bookmarkEnd w:id="21"/>
    </w:p>
    <w:p>
      <w:pPr>
        <w:pStyle w:val="Heading1"/>
        <w:rPr/>
      </w:pPr>
      <w:bookmarkStart w:id="22" w:name="discussion"/>
      <w:r>
        <w:rPr/>
        <w:t>Discussion</w:t>
      </w:r>
    </w:p>
    <w:p>
      <w:pPr>
        <w:pStyle w:val="FirstParagraph"/>
        <w:rPr/>
      </w:pPr>
      <w:r>
        <w:rPr/>
        <w:t>Unlike the evidenced decoupled diversity and disparity patterns evidenced between caviomorph superfamilies (</w:t>
      </w:r>
      <w:r>
        <w:rPr>
          <w:i/>
          <w:iCs/>
        </w:rPr>
        <w:t>e</w:t>
      </w:r>
      <w:r>
        <w:rPr/>
        <w:t>.</w:t>
      </w:r>
      <w:r>
        <w:rPr>
          <w:i/>
          <w:iCs/>
        </w:rPr>
        <w:t>g</w:t>
      </w:r>
      <w:r>
        <w:rPr/>
        <w:t>., Álvarez et al. 2017; Carrillo et al. n.d.), our results suggest a coordinated behaviour of chinchilloid diversity and disparity, both peaking in the late Miocene and further declining towards the present.</w:t>
      </w:r>
    </w:p>
    <w:p>
      <w:pPr>
        <w:pStyle w:val="BodyText"/>
        <w:rPr/>
      </w:pPr>
      <w:r>
        <w:rPr/>
        <w:t>This peak though cannot be excluded to be a reflect of fossil deposits abundancy.</w:t>
      </w:r>
    </w:p>
    <w:p>
      <w:pPr>
        <w:pStyle w:val="BodyText"/>
        <w:rPr/>
      </w:pPr>
      <w:r>
        <w:rPr/>
        <w:t>Turning point in Dinomyid diversification at high latitudes in the Chasicoan (e.g., Arroyo Chasicó locality, La Pampa, Argentina), with the record of a great number of Euhypsodont taxa, meanwhile protohypsodont taxa became scarcer (though still recovered at lower latitudes) Rasia et al. (2024)</w:t>
      </w:r>
    </w:p>
    <w:p>
      <w:pPr>
        <w:pStyle w:val="BodyText"/>
        <w:rPr/>
      </w:pPr>
      <w:r>
        <w:rPr/>
        <w:t>Our results suggest a “waxing-and-waning” diversity pattern for chinchilloid rodents, peaking in the late Miocene (Chasicoan SALMA), with XX reconstructed taxa (fig pyrate) (YY corrected diversity, fig deepdive), and declining thereafter until the 7 extant species. This pattern goes in contradiction with the “stagnating” diversity since the Early Oligocene reconstructed by Carrillo et al. (n.d.), based on a total-evidence phylogeny. Such a mismatch between phylogeny and occurrence-derived patterns probably comes from the poor representativity of extinct chinchilloid lineages in the phylogenetic reconstruction (31 species) when compared to our occurrence database (13X species).</w:t>
      </w:r>
    </w:p>
    <w:p>
      <w:pPr>
        <w:pStyle w:val="BodyText"/>
        <w:rPr/>
      </w:pPr>
      <w:r>
        <w:rPr/>
        <w:t>Caribbean lineages of Quaternary age (</w:t>
      </w:r>
      <w:r>
        <w:rPr>
          <w:i/>
          <w:iCs/>
        </w:rPr>
        <w:t>Elasmodontomys</w:t>
      </w:r>
      <w:r>
        <w:rPr/>
        <w:t xml:space="preserve">, </w:t>
      </w:r>
      <w:r>
        <w:rPr>
          <w:i/>
          <w:iCs/>
        </w:rPr>
        <w:t>Amblyrhiza</w:t>
      </w:r>
      <w:r>
        <w:rPr/>
        <w:t xml:space="preserve">, </w:t>
      </w:r>
      <w:r>
        <w:rPr>
          <w:i/>
          <w:iCs/>
        </w:rPr>
        <w:t>Quemisia</w:t>
      </w:r>
      <w:r>
        <w:rPr/>
        <w:t xml:space="preserve"> and </w:t>
      </w:r>
      <w:r>
        <w:rPr>
          <w:i/>
          <w:iCs/>
        </w:rPr>
        <w:t>Clidomys</w:t>
      </w:r>
      <w:r>
        <w:rPr/>
        <w:t>) descend from at least one (but most likely several, see (MacPhee 2011; Marivaux et al. 2020)) earlier colonisation events of the West Indies by ancestral lineages that could not be preserved in the fossil record (Marivaux et al. 2022).</w:t>
      </w:r>
    </w:p>
    <w:p>
      <w:pPr>
        <w:pStyle w:val="BodyText"/>
        <w:rPr/>
      </w:pPr>
      <w:r>
        <w:rPr/>
        <w:t>How about an implication of the GABI in the Pliocene extinction rate increase?</w:t>
      </w:r>
    </w:p>
    <w:p>
      <w:pPr>
        <w:pStyle w:val="Heading2"/>
        <w:rPr/>
      </w:pPr>
      <w:bookmarkStart w:id="23" w:name="drivers"/>
      <w:r>
        <w:rPr/>
        <w:t>Drivers</w:t>
      </w:r>
    </w:p>
    <w:p>
      <w:pPr>
        <w:pStyle w:val="FirstParagraph"/>
        <w:rPr/>
      </w:pPr>
      <w:r>
        <w:rPr/>
        <w:t>Diet !! Evolution towards large to very large body sizes must have implied adaptations in terms of nutrient supply. Did they achieve this by consuming new forms of food? Could landscape opening play a role?</w:t>
      </w:r>
    </w:p>
    <w:p>
      <w:pPr>
        <w:pStyle w:val="BodyText"/>
        <w:rPr/>
      </w:pPr>
      <w:r>
        <w:rPr/>
        <w:t>Come back to Vucetich et al. (2015) hypotheses regarding large size evolution</w:t>
      </w:r>
    </w:p>
    <w:p>
      <w:pPr>
        <w:pStyle w:val="BodyText"/>
        <w:rPr/>
      </w:pPr>
      <w:r>
        <w:rPr/>
        <w:t>Demise of large sizes could also be viewed under the lens of hyperspecialisation, in turn restricting adaptabilities over evolutionary timescales (see Neige and Tiel 2026)</w:t>
      </w:r>
    </w:p>
    <w:p>
      <w:pPr>
        <w:pStyle w:val="BodyText"/>
        <w:rPr/>
      </w:pPr>
      <w:r>
        <w:rPr/>
        <w:t>Our results did not provide any support for hypsodonty-dependent diversification. Contrary to the paradigm (Stebbins 1974), previous findings illustrated that evolution of hypsodonty was not necessarily linked to grassland spreading in the Americas (Jardine et al. 2012; Strömberg et al. 2013)</w:t>
      </w:r>
    </w:p>
    <w:p>
      <w:pPr>
        <w:pStyle w:val="Heading3"/>
        <w:rPr/>
      </w:pPr>
      <w:bookmarkStart w:id="24" w:name="andes"/>
      <w:r>
        <w:rPr/>
        <w:t>Andes</w:t>
      </w:r>
    </w:p>
    <w:p>
      <w:pPr>
        <w:pStyle w:val="FirstParagraph"/>
        <w:rPr/>
      </w:pPr>
      <w:r>
        <w:rPr/>
        <w:t>Refugia, limiting extinction (MBD). Effect of increasing magnitude as the mountain chain gets higher. On the other hand, negative effect on origination (BDNN), first driver. “Museum”? Bear in mind that our fossil record is biased westwards, likely exacerbating the prominence of the role of the Andes for Neogene SAM diversification.</w:t>
      </w:r>
    </w:p>
    <w:p>
      <w:pPr>
        <w:pStyle w:val="BodyText"/>
        <w:rPr/>
      </w:pPr>
      <w:r>
        <w:rPr/>
        <w:t>Also, late phases of Andean uplift resulted in major changes in hydrographic patterns in Tropical South America (Pebas -&gt; Acre -&gt; Amazon), which were shown to have been a significant trigger for extinctions (or wax-and-waning) among endemic lacustrine faunal assemblages (</w:t>
      </w:r>
      <w:r>
        <w:rPr>
          <w:i/>
          <w:iCs/>
        </w:rPr>
        <w:t>e</w:t>
      </w:r>
      <w:r>
        <w:rPr/>
        <w:t>.</w:t>
      </w:r>
      <w:r>
        <w:rPr>
          <w:i/>
          <w:iCs/>
        </w:rPr>
        <w:t>g</w:t>
      </w:r>
      <w:r>
        <w:rPr/>
        <w:t>., Salas-Gismondi et al. 2015 + mollusks). Subsequent effects on terrestrial communities?</w:t>
      </w:r>
      <w:bookmarkEnd w:id="24"/>
    </w:p>
    <w:p>
      <w:pPr>
        <w:pStyle w:val="Heading3"/>
        <w:rPr/>
      </w:pPr>
      <w:bookmarkStart w:id="25" w:name="sea-level"/>
      <w:r>
        <w:rPr/>
        <w:t>Sea level</w:t>
      </w:r>
    </w:p>
    <w:p>
      <w:pPr>
        <w:pStyle w:val="FirstParagraph"/>
        <w:rPr/>
      </w:pPr>
      <w:bookmarkStart w:id="26" w:name="drivers"/>
      <w:bookmarkStart w:id="27" w:name="sea-level"/>
      <w:r>
        <w:rPr/>
        <w:t>Pebas Hoorn et al. (2022) + Paranaense sea Homero Camacho (1967). Retrieved as second most important predictor for extinction rate variations by our BDNN analyses, likely having to do with hydrographic pattern changes.</w:t>
      </w:r>
      <w:bookmarkEnd w:id="26"/>
      <w:bookmarkEnd w:id="27"/>
    </w:p>
    <w:p>
      <w:pPr>
        <w:pStyle w:val="Heading2"/>
        <w:rPr/>
      </w:pPr>
      <w:bookmarkStart w:id="28" w:name="body-mass"/>
      <w:r>
        <w:rPr/>
        <w:t>Body mass</w:t>
      </w:r>
    </w:p>
    <w:p>
      <w:pPr>
        <w:pStyle w:val="FirstParagraph"/>
        <w:rPr/>
      </w:pPr>
      <w:r>
        <w:rPr/>
        <w:t>We found that larger species tend to have higher speciation rates than smaller ones. This apparently counter-intuitive finding could reflect the fact that, at least among mammals, larger species usually have lower effective population sizes and in turn accumulate more deleterious mutations, in turn likely to generate diversity</w:t>
      </w:r>
    </w:p>
    <w:p>
      <w:pPr>
        <w:pStyle w:val="BodyText"/>
        <w:rPr/>
      </w:pPr>
      <w:r>
        <w:rPr/>
        <w:t>Became larger as time went forward (DTT plot), by-product of the Bergman’s rule? (</w:t>
      </w:r>
      <w:r>
        <w:rPr>
          <w:i/>
          <w:iCs/>
        </w:rPr>
        <w:t>appropriate refs</w:t>
      </w:r>
      <w:r>
        <w:rPr/>
        <w:t>)</w:t>
      </w:r>
    </w:p>
    <w:p>
      <w:pPr>
        <w:pStyle w:val="BodyText"/>
        <w:rPr/>
      </w:pPr>
      <w:r>
        <w:rPr/>
        <w:t>Broad trend to be large in the Miocene, parallel with sloths Boscaini et al. (2025)</w:t>
      </w:r>
    </w:p>
    <w:p>
      <w:pPr>
        <w:pStyle w:val="BodyText"/>
        <w:rPr/>
      </w:pPr>
      <w:bookmarkStart w:id="29" w:name="body-mass"/>
      <w:r>
        <w:rPr/>
        <w:t>Do large species diversify at a different pace? Liow et al. (2008)</w:t>
      </w:r>
      <w:bookmarkEnd w:id="29"/>
    </w:p>
    <w:p>
      <w:pPr>
        <w:pStyle w:val="Heading2"/>
        <w:rPr/>
      </w:pPr>
      <w:bookmarkStart w:id="30" w:name="limitations-and-perspectives"/>
      <w:r>
        <w:rPr/>
        <w:t>Limitations and perspectives</w:t>
      </w:r>
    </w:p>
    <w:p>
      <w:pPr>
        <w:pStyle w:val="FirstParagraph"/>
        <w:rPr/>
      </w:pPr>
      <w:r>
        <w:rPr/>
        <w:t>Lack of phylogenetic framework, hence ignoring phylogenetic relatedness, though proven relevant in previous analyses Hauffe et al. (2024). Phylogeny unresolved for key nodes though (</w:t>
      </w:r>
      <w:r>
        <w:rPr>
          <w:i/>
          <w:iCs/>
        </w:rPr>
        <w:t>e</w:t>
      </w:r>
      <w:r>
        <w:rPr/>
        <w:t>.</w:t>
      </w:r>
      <w:r>
        <w:rPr>
          <w:i/>
          <w:iCs/>
        </w:rPr>
        <w:t>g</w:t>
      </w:r>
      <w:r>
        <w:rPr/>
        <w:t>., Boivin et al. 2019; Marivaux et al. 2020; Rasia et al. 2021)</w:t>
      </w:r>
    </w:p>
    <w:p>
      <w:pPr>
        <w:pStyle w:val="BodyText"/>
        <w:rPr/>
      </w:pPr>
      <w:r>
        <w:rPr/>
        <w:t>The massive diversity of the Late Miocene Ituzaingó formation (Candela 2005) likely drives the reconstructed diversity peak that we infer.</w:t>
      </w:r>
    </w:p>
    <w:p>
      <w:pPr>
        <w:pStyle w:val="BodyText"/>
        <w:rPr/>
      </w:pPr>
      <w:r>
        <w:rPr/>
        <w:t>On the other hand, the trend towards general size increase could also come from a sampling artifact, where larger taxa are easier to spot and sample in the end, whereas sampling smaller taxa is usually more resource-demanding, involves screenwashing, which is not always possible to carry out easily based on the sampling area (</w:t>
      </w:r>
      <w:r>
        <w:rPr>
          <w:i/>
          <w:iCs/>
        </w:rPr>
        <w:t>e</w:t>
      </w:r>
      <w:r>
        <w:rPr/>
        <w:t>.</w:t>
      </w:r>
      <w:r>
        <w:rPr>
          <w:i/>
          <w:iCs/>
        </w:rPr>
        <w:t>g</w:t>
      </w:r>
      <w:r>
        <w:rPr/>
        <w:t>., proximity with a river).</w:t>
      </w:r>
    </w:p>
    <w:p>
      <w:pPr>
        <w:pStyle w:val="BodyText"/>
        <w:rPr/>
      </w:pPr>
      <w:r>
        <w:rPr/>
        <w:t>Challenge to infer body sizes of extinct taxa with little extant representatives =&gt; Estimates can vary significantly based on the proxy or the modelling system used (Boivin et al. 2024; Paiva et al. 2026).</w:t>
      </w:r>
    </w:p>
    <w:p>
      <w:pPr>
        <w:pStyle w:val="BodyText"/>
        <w:rPr/>
      </w:pPr>
      <w:r>
        <w:rPr/>
        <w:t>Being large implies additional energetic requirements =&gt; diet. Need for additional studies to quantify diet shifts in large forms using quantitative methods like microwear texture analysis (</w:t>
      </w:r>
      <w:r>
        <w:rPr>
          <w:i/>
          <w:iCs/>
        </w:rPr>
        <w:t>e</w:t>
      </w:r>
      <w:r>
        <w:rPr/>
        <w:t>.</w:t>
      </w:r>
      <w:r>
        <w:rPr>
          <w:i/>
          <w:iCs/>
        </w:rPr>
        <w:t>g</w:t>
      </w:r>
      <w:r>
        <w:rPr/>
        <w:t>., Robinet et al. 2020; Hullot et al. 2025).</w:t>
      </w:r>
    </w:p>
    <w:p>
      <w:pPr>
        <w:pStyle w:val="BodyText"/>
        <w:rPr/>
      </w:pPr>
      <w:bookmarkStart w:id="31" w:name="discussion"/>
      <w:bookmarkStart w:id="32" w:name="limitations-and-perspectives"/>
      <w:r>
        <w:rPr/>
        <w:t>Test for the direct effet of intraspecific interaction in the rate of body mass evolution in a phylogenetic framework [Drury et al. (2016); chabrol inch’bouddah]</w:t>
      </w:r>
      <w:bookmarkEnd w:id="31"/>
      <w:bookmarkEnd w:id="32"/>
    </w:p>
    <w:p>
      <w:pPr>
        <w:pStyle w:val="Heading1"/>
        <w:rPr/>
      </w:pPr>
      <w:bookmarkStart w:id="33" w:name="conclusions"/>
      <w:r>
        <w:rPr/>
        <w:t>Conclusions</w:t>
      </w:r>
      <w:bookmarkEnd w:id="33"/>
    </w:p>
    <w:p>
      <w:pPr>
        <w:pStyle w:val="Heading1"/>
        <w:rPr/>
      </w:pPr>
      <w:bookmarkStart w:id="34" w:name="acknowledgements"/>
      <w:bookmarkEnd w:id="34"/>
      <w:r>
        <w:rPr/>
        <w:t>Acknowledgements</w:t>
      </w:r>
    </w:p>
    <w:p>
      <w:pPr>
        <w:pStyle w:val="FirstParagraph"/>
        <w:rPr/>
      </w:pPr>
      <w:r>
        <w:rPr/>
        <w:t>Torsten Hauffe.</w:t>
      </w:r>
    </w:p>
    <w:p>
      <w:pPr>
        <w:pStyle w:val="Normal"/>
        <w:rPr/>
      </w:pPr>
      <w:r>
        <w:rPr/>
      </w:r>
      <w:bookmarkStart w:id="35" w:name="acknowledgements"/>
      <w:bookmarkStart w:id="36" w:name="acknowledgements"/>
      <w:bookmarkEnd w:id="36"/>
      <w:r>
        <w:br w:type="page"/>
      </w:r>
    </w:p>
    <w:p>
      <w:pPr>
        <w:pStyle w:val="Heading1"/>
        <w:spacing w:before="0" w:after="0"/>
        <w:rPr/>
      </w:pPr>
      <w:bookmarkStart w:id="37" w:name="references"/>
      <w:r>
        <w:rPr/>
        <w:t>References</w:t>
      </w:r>
    </w:p>
    <w:p>
      <w:pPr>
        <w:pStyle w:val="Bibliography"/>
        <w:rPr/>
      </w:pPr>
      <w:bookmarkStart w:id="38" w:name="refs"/>
      <w:bookmarkStart w:id="39" w:name="ref-álvarez2017"/>
      <w:r>
        <w:rPr/>
        <w:t xml:space="preserve">Álvarez, A., R. L. M. Arévalo, and D. H. Verzi. 2017. </w:t>
      </w:r>
      <w:hyperlink r:id="rId2">
        <w:r>
          <w:rPr>
            <w:rStyle w:val="Hyperlink"/>
          </w:rPr>
          <w:t>Diversification patterns and size evolution in caviomorph rodents</w:t>
        </w:r>
      </w:hyperlink>
      <w:r>
        <w:rPr/>
        <w:t>. Biological Journal of the Linnean Society 121:907–922.</w:t>
      </w:r>
      <w:bookmarkEnd w:id="39"/>
    </w:p>
    <w:p>
      <w:pPr>
        <w:pStyle w:val="Bibliography"/>
        <w:rPr/>
      </w:pPr>
      <w:bookmarkStart w:id="40" w:name="ref-antoine2021"/>
      <w:r>
        <w:rPr/>
        <w:t xml:space="preserve">Antoine, P.-O., J. Yans, A. A. Castillo, N. Stutz, M. A. Abello, S. Adnet, M. A. Custódio, A. Benites-Palomino, G. Billet, M. Boivin, F. Herrera, C. Jaramillo, C. Mártinez, F. Moreno, R. E. Navarrete, F. R. Negri, F. Parra, F. Pujos, J.-C. Rage, A. M. Ribeiro, C. Robinet, M. Roddaz, J. V. Tejada-Lara, R. Varas-Malca, R. Ventura Santos, R. Salas-Gismondi, and L. Marivaux. 2021. </w:t>
      </w:r>
      <w:hyperlink r:id="rId3">
        <w:r>
          <w:rPr>
            <w:rStyle w:val="Hyperlink"/>
          </w:rPr>
          <w:t>Biotic community and landscape changes around the EoceneOligocene transition at Shapaja, Peruvian Amazonia: Regional or global drivers?</w:t>
        </w:r>
      </w:hyperlink>
      <w:r>
        <w:rPr/>
        <w:t xml:space="preserve"> Global and Planetary Change 202:103512.</w:t>
      </w:r>
      <w:bookmarkEnd w:id="40"/>
    </w:p>
    <w:p>
      <w:pPr>
        <w:pStyle w:val="Bibliography"/>
        <w:rPr/>
      </w:pPr>
      <w:bookmarkStart w:id="41" w:name="ref-antonelli2009"/>
      <w:r>
        <w:rPr/>
        <w:t xml:space="preserve">Antonelli, A., J. A. A. Nylander, C. Persson, and I. Sanmartín. 2009. </w:t>
      </w:r>
      <w:hyperlink r:id="rId4">
        <w:r>
          <w:rPr>
            <w:rStyle w:val="Hyperlink"/>
          </w:rPr>
          <w:t>Tracing the impact of the andean uplift on neotropical plant evolution</w:t>
        </w:r>
      </w:hyperlink>
      <w:r>
        <w:rPr/>
        <w:t>. Proceedings of the National Academy of Sciences 106:9749–9754.</w:t>
      </w:r>
      <w:bookmarkEnd w:id="41"/>
    </w:p>
    <w:p>
      <w:pPr>
        <w:pStyle w:val="Bibliography"/>
        <w:rPr/>
      </w:pPr>
      <w:bookmarkStart w:id="42" w:name="ref-balseiro2025"/>
      <w:r>
        <w:rPr/>
        <w:t xml:space="preserve">Balseiro, D., F. Serra, and A. Bignon. 2025. Extinction drives both expansion and contraction of morphological disparity in trilobites. Proceedings B, doi: </w:t>
      </w:r>
      <w:hyperlink r:id="rId5">
        <w:r>
          <w:rPr>
            <w:rStyle w:val="Hyperlink"/>
          </w:rPr>
          <w:t>10.1098/rspb.2025.1418</w:t>
        </w:r>
      </w:hyperlink>
      <w:r>
        <w:rPr/>
        <w:t>.</w:t>
      </w:r>
      <w:bookmarkEnd w:id="42"/>
    </w:p>
    <w:p>
      <w:pPr>
        <w:pStyle w:val="Bibliography"/>
        <w:rPr/>
      </w:pPr>
      <w:bookmarkStart w:id="43" w:name="ref-barnosky2001"/>
      <w:r>
        <w:rPr/>
        <w:t xml:space="preserve">Barnosky, A. D. 2001. </w:t>
      </w:r>
      <w:hyperlink r:id="rId6">
        <w:r>
          <w:rPr>
            <w:rStyle w:val="Hyperlink"/>
          </w:rPr>
          <w:t>Distinguishing the effects of the red queen and court jester on miocene mammal evolution in the northern rocky mountains</w:t>
        </w:r>
      </w:hyperlink>
      <w:r>
        <w:rPr/>
        <w:t>. Journal of Vertebrate Paleontology 21:172–185.</w:t>
      </w:r>
      <w:bookmarkEnd w:id="43"/>
    </w:p>
    <w:p>
      <w:pPr>
        <w:pStyle w:val="Bibliography"/>
        <w:rPr/>
      </w:pPr>
      <w:bookmarkStart w:id="44" w:name="ref-benton1983"/>
      <w:r>
        <w:rPr/>
        <w:t xml:space="preserve">Benton, M. J. 1983. </w:t>
      </w:r>
      <w:hyperlink r:id="rId7">
        <w:r>
          <w:rPr>
            <w:rStyle w:val="Hyperlink"/>
          </w:rPr>
          <w:t>Macroevolution: Large-scale replacements in the history of life</w:t>
        </w:r>
      </w:hyperlink>
      <w:r>
        <w:rPr/>
        <w:t>. Nature 302:16–17.</w:t>
      </w:r>
      <w:bookmarkEnd w:id="44"/>
    </w:p>
    <w:p>
      <w:pPr>
        <w:pStyle w:val="Bibliography"/>
        <w:rPr/>
      </w:pPr>
      <w:bookmarkStart w:id="45" w:name="ref-biknevicius1993"/>
      <w:r>
        <w:rPr/>
        <w:t>Biknevicius, A. R., D. A. Macfarlane, and R. D. E. MacPhee. 1993. Body size in amblyrhiza inundata (rodentia: Caviomorpha), an extinct megafaunal rodent from the anguilla bank, west indies: Estimates and implications. American Museum Novitates 1–25.</w:t>
      </w:r>
      <w:bookmarkEnd w:id="45"/>
    </w:p>
    <w:p>
      <w:pPr>
        <w:pStyle w:val="Bibliography"/>
        <w:rPr/>
      </w:pPr>
      <w:bookmarkStart w:id="46" w:name="ref-billet2009"/>
      <w:r>
        <w:rPr/>
        <w:t xml:space="preserve">Billet, G., C. Blondel, and C. de Muizon. 2009. </w:t>
      </w:r>
      <w:hyperlink r:id="rId8">
        <w:r>
          <w:rPr>
            <w:rStyle w:val="Hyperlink"/>
          </w:rPr>
          <w:t>Dental microwear analysis of notoungulates (mammalia) from salla (late oligocene, bolivia) and discussion on their precocious hypsodonty</w:t>
        </w:r>
      </w:hyperlink>
      <w:r>
        <w:rPr/>
        <w:t>. Palaeogeography, Palaeoclimatology, Palaeoecology 274:114–124.</w:t>
      </w:r>
      <w:bookmarkEnd w:id="46"/>
    </w:p>
    <w:p>
      <w:pPr>
        <w:pStyle w:val="Bibliography"/>
        <w:rPr/>
      </w:pPr>
      <w:bookmarkStart w:id="47" w:name="ref-boivin2024"/>
      <w:r>
        <w:rPr/>
        <w:t xml:space="preserve">Boivin, M., A. Álvarez, M. D. Ercoli, S. R. Moyano, J. S. Salgado-Ahumada, A. M. O. Tejerina, and G. H. Cassini. 2024. </w:t>
      </w:r>
      <w:hyperlink r:id="rId9">
        <w:r>
          <w:rPr>
            <w:rStyle w:val="Hyperlink"/>
          </w:rPr>
          <w:t>Body mass estimation from cheek tooth measurements in extinct caviomorphs (Ctenohystrica, Hystricognathi): the importance of predictor, reference sample and method</w:t>
        </w:r>
      </w:hyperlink>
      <w:r>
        <w:rPr/>
        <w:t>. Journal of Mammalian Evolution 31:43.</w:t>
      </w:r>
      <w:bookmarkEnd w:id="47"/>
    </w:p>
    <w:p>
      <w:pPr>
        <w:pStyle w:val="Bibliography"/>
        <w:rPr/>
      </w:pPr>
      <w:bookmarkStart w:id="48" w:name="ref-boivin2019"/>
      <w:r>
        <w:rPr/>
        <w:t xml:space="preserve">Boivin, M., L. Marivaux, and P.-O. Antoine. 2019. </w:t>
      </w:r>
      <w:hyperlink r:id="rId10">
        <w:r>
          <w:rPr>
            <w:rStyle w:val="Hyperlink"/>
          </w:rPr>
          <w:t>L’apport du registre paléogène d’amazonie sur la diversification initiale des caviomorpha (hystricognathi, rodentia): Implications phylogénétiques, macroévolutives et paléobiogéographiques</w:t>
        </w:r>
      </w:hyperlink>
      <w:r>
        <w:rPr/>
        <w:t>. Geodiversitas 41:143–245.</w:t>
      </w:r>
      <w:bookmarkEnd w:id="48"/>
    </w:p>
    <w:p>
      <w:pPr>
        <w:pStyle w:val="Bibliography"/>
        <w:rPr/>
      </w:pPr>
      <w:bookmarkStart w:id="49" w:name="ref-boscaini2025"/>
      <w:r>
        <w:rPr/>
        <w:t xml:space="preserve">Boscaini, A., D. M. Casali, N. Toledo, J. L. Cantalapiedra, M. S. Bargo, G. De Iuliis, T. J. Gaudin, M. C. Langer, R. Narducci, F. Pujos, E. M. Soto, S. F. Vizcaíno, and I. M. Soto. 2025. </w:t>
      </w:r>
      <w:hyperlink r:id="rId11">
        <w:r>
          <w:rPr>
            <w:rStyle w:val="Hyperlink"/>
          </w:rPr>
          <w:t>The emergence and demise of giant sloths</w:t>
        </w:r>
      </w:hyperlink>
      <w:r>
        <w:rPr/>
        <w:t>. Science 388:864–868.</w:t>
      </w:r>
      <w:bookmarkEnd w:id="49"/>
    </w:p>
    <w:p>
      <w:pPr>
        <w:pStyle w:val="Bibliography"/>
        <w:rPr/>
      </w:pPr>
      <w:bookmarkStart w:id="50" w:name="ref-boschman2021"/>
      <w:r>
        <w:rPr/>
        <w:t xml:space="preserve">Boschman, L. M. 2021. </w:t>
      </w:r>
      <w:hyperlink r:id="rId12">
        <w:r>
          <w:rPr>
            <w:rStyle w:val="Hyperlink"/>
          </w:rPr>
          <w:t>Andean mountain building since the late cretaceous: A paleoelevation reconstruction</w:t>
        </w:r>
      </w:hyperlink>
      <w:r>
        <w:rPr/>
        <w:t>. Earth-Science Reviews 220:103640.</w:t>
      </w:r>
      <w:bookmarkEnd w:id="50"/>
    </w:p>
    <w:p>
      <w:pPr>
        <w:pStyle w:val="Bibliography"/>
        <w:rPr/>
      </w:pPr>
      <w:bookmarkStart w:id="51" w:name="ref-brandoni2016"/>
      <w:r>
        <w:rPr/>
        <w:t xml:space="preserve">Brandoni, D., L. G. Ruiz, M. F. Tejedor, G. Martin, and J. G. Fleagle. 2016. </w:t>
      </w:r>
      <w:hyperlink r:id="rId13">
        <w:r>
          <w:rPr>
            <w:rStyle w:val="Hyperlink"/>
          </w:rPr>
          <w:t>Megatherioidea (Mammalia, Xenarthra, Tardigrada) from the Pinturas Formation (Early Miocene), Santa Cruz Province (Argentina) and their chronological implications</w:t>
        </w:r>
      </w:hyperlink>
      <w:r>
        <w:rPr/>
        <w:t>. PalZ 90:619–628.</w:t>
      </w:r>
      <w:bookmarkEnd w:id="51"/>
    </w:p>
    <w:p>
      <w:pPr>
        <w:pStyle w:val="Bibliography"/>
        <w:rPr/>
      </w:pPr>
      <w:bookmarkStart w:id="52" w:name="ref-brée2022"/>
      <w:r>
        <w:rPr/>
        <w:t xml:space="preserve">Brée, B., F. L. Condamine, and G. Guinot. 2022. </w:t>
      </w:r>
      <w:hyperlink r:id="rId14">
        <w:r>
          <w:rPr>
            <w:rStyle w:val="Hyperlink"/>
          </w:rPr>
          <w:t>Combining palaeontological and neontological data shows a delayed diversification burst of carcharhiniform sharks likely mediated by environmental change</w:t>
        </w:r>
      </w:hyperlink>
      <w:r>
        <w:rPr/>
        <w:t>. Scientific Reports 12:21906.</w:t>
      </w:r>
      <w:bookmarkEnd w:id="52"/>
    </w:p>
    <w:p>
      <w:pPr>
        <w:pStyle w:val="Bibliography"/>
        <w:rPr/>
      </w:pPr>
      <w:bookmarkStart w:id="53" w:name="ref-buffan2025"/>
      <w:r>
        <w:rPr/>
        <w:t xml:space="preserve">Buffan, L., F. L. Condamine, N. S. Stutz, F. Pujos, P.-O. Antoine, and L. Marivaux. 2025. </w:t>
      </w:r>
      <w:hyperlink r:id="rId15">
        <w:r>
          <w:rPr>
            <w:rStyle w:val="Hyperlink"/>
          </w:rPr>
          <w:t>The fate of south america’s endemic mammalian fauna in response to the most dramatic cenozoic climate disruption</w:t>
        </w:r>
      </w:hyperlink>
      <w:r>
        <w:rPr/>
        <w:t>. Proceedings of the National Academy of Sciences 122:e2419520122.</w:t>
      </w:r>
      <w:bookmarkEnd w:id="53"/>
    </w:p>
    <w:p>
      <w:pPr>
        <w:pStyle w:val="Bibliography"/>
        <w:rPr/>
      </w:pPr>
      <w:bookmarkStart w:id="54" w:name="ref-burgin2025"/>
      <w:r>
        <w:rPr/>
        <w:t xml:space="preserve">Burgin, C. J., J. S. Zijlstra, M. A. Becker, H. Handika, J. M. Alston, J. Widness, S. Liphardt, D. G. Huckaby, and N. S. Upham. 2025. How many mammal species are there now? Updates and trends in taxonomic, nomenclatural, and geographic knowledge, doi: </w:t>
      </w:r>
      <w:hyperlink r:id="rId16">
        <w:r>
          <w:rPr>
            <w:rStyle w:val="Hyperlink"/>
          </w:rPr>
          <w:t>10.1101/2025.02.27.640393</w:t>
        </w:r>
      </w:hyperlink>
      <w:r>
        <w:rPr/>
        <w:t>. bioRxiv.</w:t>
      </w:r>
      <w:bookmarkEnd w:id="54"/>
    </w:p>
    <w:p>
      <w:pPr>
        <w:pStyle w:val="Bibliography"/>
        <w:rPr/>
      </w:pPr>
      <w:bookmarkStart w:id="55" w:name="ref-candela2005"/>
      <w:r>
        <w:rPr/>
        <w:t>Candela, A. M. 2005. Los roedores del mesopotamiense (mioceno tardí</w:t>
        <w:softHyphen/>
        <w:t>o, formación ituzaingó) de la provincia de entre rí</w:t>
        <w:softHyphen/>
        <w:t>os (argentina). Temas de la Biodiversidad del Litoral fluvial argentino II 37–48.</w:t>
      </w:r>
      <w:bookmarkEnd w:id="55"/>
    </w:p>
    <w:p>
      <w:pPr>
        <w:pStyle w:val="Bibliography"/>
        <w:rPr/>
      </w:pPr>
      <w:bookmarkStart w:id="56" w:name="ref-candela2013"/>
      <w:r>
        <w:rPr/>
        <w:t xml:space="preserve">Candela, A. M., G. H. Cassini, and N. L. Nasif. 2013. </w:t>
      </w:r>
      <w:hyperlink r:id="rId17">
        <w:r>
          <w:rPr>
            <w:rStyle w:val="Hyperlink"/>
          </w:rPr>
          <w:t>Fractal dimension and cheek teeth crown complexity in the giant rodent eumegamys paranensis</w:t>
        </w:r>
      </w:hyperlink>
      <w:r>
        <w:rPr/>
        <w:t>. Lethaia 46:369–377.</w:t>
      </w:r>
      <w:bookmarkEnd w:id="56"/>
    </w:p>
    <w:p>
      <w:pPr>
        <w:pStyle w:val="Bibliography"/>
        <w:rPr/>
      </w:pPr>
      <w:bookmarkStart w:id="57" w:name="ref-carrillo_giant_2015"/>
      <w:r>
        <w:rPr/>
        <w:t xml:space="preserve">Carrillo, J. D., and M. R. Sánchez-Villagra. 2015. </w:t>
      </w:r>
      <w:hyperlink r:id="rId18">
        <w:r>
          <w:rPr>
            <w:rStyle w:val="Hyperlink"/>
          </w:rPr>
          <w:t>Giant rodents from the neotropics: Diversity and dental variation of late miocene neoepiblemid remains from urumaco, venezuela</w:t>
        </w:r>
      </w:hyperlink>
      <w:r>
        <w:rPr/>
        <w:t>. Paläontol Z 89:1057–1071.</w:t>
      </w:r>
      <w:bookmarkEnd w:id="57"/>
    </w:p>
    <w:p>
      <w:pPr>
        <w:pStyle w:val="Bibliography"/>
        <w:rPr/>
      </w:pPr>
      <w:bookmarkStart w:id="58" w:name="ref-carrillo"/>
      <w:r>
        <w:rPr/>
        <w:t>Carrillo, J. D., M. F. Torres Jiménez, F. J. Urrea-Barreto, A. Antonelli, C. Bacon, S. Faurby, and D. Silvestro. n.d. Decoupled diversity and disparity after faunistic turnover in caviomorph rodents.</w:t>
      </w:r>
      <w:bookmarkEnd w:id="58"/>
    </w:p>
    <w:p>
      <w:pPr>
        <w:pStyle w:val="Bibliography"/>
        <w:rPr/>
      </w:pPr>
      <w:bookmarkStart w:id="59" w:name="ref-clavel2017"/>
      <w:r>
        <w:rPr/>
        <w:t xml:space="preserve">Clavel, J., and H. Morlon. 2017. </w:t>
      </w:r>
      <w:hyperlink r:id="rId19">
        <w:r>
          <w:rPr>
            <w:rStyle w:val="Hyperlink"/>
          </w:rPr>
          <w:t>Accelerated body size evolution during cold climatic periods in the cenozoic</w:t>
        </w:r>
      </w:hyperlink>
      <w:r>
        <w:rPr/>
        <w:t>. Proceedings of the National Academy of Sciences 114:4183–4188.</w:t>
      </w:r>
      <w:bookmarkEnd w:id="59"/>
    </w:p>
    <w:p>
      <w:pPr>
        <w:pStyle w:val="Bibliography"/>
        <w:rPr/>
      </w:pPr>
      <w:bookmarkStart w:id="60" w:name="ref-cohen2025"/>
      <w:r>
        <w:rPr/>
        <w:t xml:space="preserve">Cohen, K., D. Harper, P. Gibbard, and N. Car. 2025. </w:t>
      </w:r>
      <w:hyperlink r:id="rId20">
        <w:r>
          <w:rPr>
            <w:rStyle w:val="Hyperlink"/>
          </w:rPr>
          <w:t>The ICS international chronostratigraphic chart this decade</w:t>
        </w:r>
      </w:hyperlink>
      <w:r>
        <w:rPr/>
        <w:t>. Episodes Journal of International Geoscience 48:105–115.</w:t>
      </w:r>
      <w:bookmarkEnd w:id="60"/>
    </w:p>
    <w:p>
      <w:pPr>
        <w:pStyle w:val="Bibliography"/>
        <w:rPr/>
      </w:pPr>
      <w:bookmarkStart w:id="61" w:name="ref-condamine2018"/>
      <w:r>
        <w:rPr/>
        <w:t xml:space="preserve">Condamine, F. L., J. Rolland, S. Höhna, F. A. H. Sperling, and I. Sanmartín. 2018. </w:t>
      </w:r>
      <w:hyperlink r:id="rId21">
        <w:r>
          <w:rPr>
            <w:rStyle w:val="Hyperlink"/>
          </w:rPr>
          <w:t>Testing the role of the red queen and court jester as drivers of the macroevolution of apollo butterflies</w:t>
        </w:r>
      </w:hyperlink>
      <w:r>
        <w:rPr/>
        <w:t>. Systematic Biology 67:940–964.</w:t>
      </w:r>
      <w:bookmarkEnd w:id="61"/>
    </w:p>
    <w:p>
      <w:pPr>
        <w:pStyle w:val="Bibliography"/>
        <w:rPr/>
      </w:pPr>
      <w:bookmarkStart w:id="62" w:name="ref-condamine2019"/>
      <w:r>
        <w:rPr/>
        <w:t xml:space="preserve">Condamine, F. L., J. Rolland, and H. Morlon. 2019. </w:t>
      </w:r>
      <w:hyperlink r:id="rId22">
        <w:r>
          <w:rPr>
            <w:rStyle w:val="Hyperlink"/>
          </w:rPr>
          <w:t>Assessing the causes of diversification slowdowns: temperature-dependent and diversity-dependent models receive equivalent support</w:t>
        </w:r>
      </w:hyperlink>
      <w:r>
        <w:rPr/>
        <w:t>. Ecology Letters 22:1900–1912.</w:t>
      </w:r>
      <w:bookmarkEnd w:id="62"/>
    </w:p>
    <w:p>
      <w:pPr>
        <w:pStyle w:val="Bibliography"/>
        <w:rPr/>
      </w:pPr>
      <w:bookmarkStart w:id="63" w:name="ref-condamine2020"/>
      <w:r>
        <w:rPr/>
        <w:t xml:space="preserve">Condamine, F. L., D. Silvestro, E. B. Koppelhus, and A. Antonelli. 2020. </w:t>
      </w:r>
      <w:hyperlink r:id="rId23">
        <w:r>
          <w:rPr>
            <w:rStyle w:val="Hyperlink"/>
          </w:rPr>
          <w:t>The rise of angiosperms pushed conifers to decline during global cooling</w:t>
        </w:r>
      </w:hyperlink>
      <w:r>
        <w:rPr/>
        <w:t>. Proceedings of the National Academy of Sciences 117:28867–28875.</w:t>
      </w:r>
      <w:bookmarkEnd w:id="63"/>
    </w:p>
    <w:p>
      <w:pPr>
        <w:pStyle w:val="Bibliography"/>
        <w:rPr/>
      </w:pPr>
      <w:bookmarkStart w:id="64" w:name="ref-cooper2025"/>
      <w:r>
        <w:rPr/>
        <w:t xml:space="preserve">Cooper, R. B., B. J. Allen, and D. Silvestro. 2025. </w:t>
      </w:r>
      <w:hyperlink r:id="rId24">
        <w:r>
          <w:rPr>
            <w:rStyle w:val="Hyperlink"/>
          </w:rPr>
          <w:t>DeepDiveRA software for deep learning estimation of palaeodiversity from fossil occurrences</w:t>
        </w:r>
      </w:hyperlink>
      <w:r>
        <w:rPr/>
        <w:t>. Methods in Ecology and Evolution 16:1923–1934.</w:t>
      </w:r>
      <w:bookmarkEnd w:id="64"/>
    </w:p>
    <w:p>
      <w:pPr>
        <w:pStyle w:val="Bibliography"/>
        <w:rPr/>
      </w:pPr>
      <w:bookmarkStart w:id="65" w:name="ref-cooper2024"/>
      <w:r>
        <w:rPr/>
        <w:t xml:space="preserve">Cooper, R. B., J. T. Flannery-Sutherland, and D. Silvestro. 2024. </w:t>
      </w:r>
      <w:hyperlink r:id="rId25">
        <w:r>
          <w:rPr>
            <w:rStyle w:val="Hyperlink"/>
          </w:rPr>
          <w:t>DeepDive: estimating global biodiversity patterns through time using deep learning</w:t>
        </w:r>
      </w:hyperlink>
      <w:r>
        <w:rPr/>
        <w:t>. Nature Communications 15:4199.</w:t>
      </w:r>
      <w:bookmarkEnd w:id="65"/>
    </w:p>
    <w:p>
      <w:pPr>
        <w:pStyle w:val="Bibliography"/>
        <w:rPr/>
      </w:pPr>
      <w:bookmarkStart w:id="66" w:name="ref-cuitiño2021"/>
      <w:r>
        <w:rPr/>
        <w:t xml:space="preserve">Cuitiño, J. I., M. Sol Raigemborn, M. Susana Bargo, S. F. Vizcaíno, N. A. Muñoz, M. J. Kohn, and R. F. Kay. 2021. </w:t>
      </w:r>
      <w:hyperlink r:id="rId26">
        <w:r>
          <w:rPr>
            <w:rStyle w:val="Hyperlink"/>
          </w:rPr>
          <w:t>Insights on the controls on floodplain-dominated fluvial successions: A perspective from the earlymiddle miocene santa cruz formation in río chalía (patagonia, argentina)</w:t>
        </w:r>
      </w:hyperlink>
      <w:r>
        <w:rPr/>
        <w:t>. Journal of the Geological Society 178:jgs2020–188.</w:t>
      </w:r>
      <w:bookmarkEnd w:id="66"/>
    </w:p>
    <w:p>
      <w:pPr>
        <w:pStyle w:val="Bibliography"/>
        <w:rPr/>
      </w:pPr>
      <w:bookmarkStart w:id="67" w:name="ref-dacunha2023"/>
      <w:r>
        <w:rPr/>
        <w:t xml:space="preserve">Da Cunha, L., L. W. Viñola-López, R. D. E. MacPhee, L. Kerber, J. Vélez-Juarbe, P.-O. Antoine, M. Boivin, L. Hautier, R. Lebrun, L. Marivaux, and P.-H. Fabre. 2023. </w:t>
      </w:r>
      <w:hyperlink r:id="rId27">
        <w:r>
          <w:rPr>
            <w:rStyle w:val="Hyperlink"/>
          </w:rPr>
          <w:t>The inner ear of caviomorph rodents: Phylogenetic implications and application to extinct West Indian taxa</w:t>
        </w:r>
      </w:hyperlink>
      <w:r>
        <w:rPr/>
        <w:t>. Journal of Mammalian Evolution 30:1155–1176.</w:t>
      </w:r>
      <w:bookmarkEnd w:id="67"/>
    </w:p>
    <w:p>
      <w:pPr>
        <w:pStyle w:val="Bibliography"/>
        <w:rPr/>
      </w:pPr>
      <w:bookmarkStart w:id="68" w:name="ref-damuth1993"/>
      <w:r>
        <w:rPr/>
        <w:t xml:space="preserve">Damuth, J. 1993. </w:t>
      </w:r>
      <w:hyperlink r:id="rId28">
        <w:r>
          <w:rPr>
            <w:rStyle w:val="Hyperlink"/>
          </w:rPr>
          <w:t>Cope’s rule, the island rule and the scaling of mammalian population density</w:t>
        </w:r>
      </w:hyperlink>
      <w:r>
        <w:rPr/>
        <w:t>. Nature 365:748–750.</w:t>
      </w:r>
      <w:bookmarkEnd w:id="68"/>
    </w:p>
    <w:p>
      <w:pPr>
        <w:pStyle w:val="Bibliography"/>
        <w:rPr/>
      </w:pPr>
      <w:bookmarkStart w:id="69" w:name="ref-damuth2011"/>
      <w:r>
        <w:rPr/>
        <w:t xml:space="preserve">Damuth, J., and C. M. Janis. 2011. </w:t>
      </w:r>
      <w:hyperlink r:id="rId29">
        <w:r>
          <w:rPr>
            <w:rStyle w:val="Hyperlink"/>
          </w:rPr>
          <w:t>On the relationship between hypsodonty and feeding ecology in ungulate mammals, and its utility in palaeoecology</w:t>
        </w:r>
      </w:hyperlink>
      <w:r>
        <w:rPr/>
        <w:t>. Biological Reviews 86:733–758.</w:t>
      </w:r>
      <w:bookmarkEnd w:id="69"/>
    </w:p>
    <w:p>
      <w:pPr>
        <w:pStyle w:val="Bibliography"/>
        <w:rPr/>
      </w:pPr>
      <w:bookmarkStart w:id="70" w:name="ref-drury2016"/>
      <w:r>
        <w:rPr/>
        <w:t xml:space="preserve">Drury, J., J. Clavel, M. Manceau, and H. Morlon. 2016. </w:t>
      </w:r>
      <w:hyperlink r:id="rId30">
        <w:r>
          <w:rPr>
            <w:rStyle w:val="Hyperlink"/>
          </w:rPr>
          <w:t>Estimating the effect of competition on trait evolution using maximum likelihood inference</w:t>
        </w:r>
      </w:hyperlink>
      <w:r>
        <w:rPr/>
        <w:t>. Systematic Biology 65:700–710.</w:t>
      </w:r>
      <w:bookmarkEnd w:id="70"/>
    </w:p>
    <w:p>
      <w:pPr>
        <w:pStyle w:val="Bibliography"/>
        <w:rPr/>
      </w:pPr>
      <w:bookmarkStart w:id="71" w:name="ref-dunn2013"/>
      <w:r>
        <w:rPr/>
        <w:t xml:space="preserve">Dunn, R. E., R. H. Madden, M. J. Kohn, M. D. Schmitz, C. A. E. Strömberg, A. A. Carlini, G. H. Ré, and J. Crowley. 2013. </w:t>
      </w:r>
      <w:hyperlink r:id="rId31">
        <w:r>
          <w:rPr>
            <w:rStyle w:val="Hyperlink"/>
          </w:rPr>
          <w:t>A new chronology for middle eoceneearly miocene south american land mammal ages</w:t>
        </w:r>
      </w:hyperlink>
      <w:r>
        <w:rPr/>
        <w:t>. GSA Bulletin 125:539–555.</w:t>
      </w:r>
      <w:bookmarkEnd w:id="71"/>
    </w:p>
    <w:p>
      <w:pPr>
        <w:pStyle w:val="Bibliography"/>
        <w:rPr/>
      </w:pPr>
      <w:bookmarkStart w:id="72" w:name="ref-esteve2025"/>
      <w:r>
        <w:rPr/>
        <w:t xml:space="preserve">Esteve, J. 2025. </w:t>
      </w:r>
      <w:hyperlink r:id="rId32">
        <w:r>
          <w:rPr>
            <w:rStyle w:val="Hyperlink"/>
          </w:rPr>
          <w:t>When extinction expands morphospace: Lessons from trilobites</w:t>
        </w:r>
      </w:hyperlink>
      <w:r>
        <w:rPr/>
        <w:t>. Proceedings of the Royal Society B: Biological Sciences 292:20252245.</w:t>
      </w:r>
      <w:bookmarkEnd w:id="72"/>
    </w:p>
    <w:p>
      <w:pPr>
        <w:pStyle w:val="Bibliography"/>
        <w:rPr/>
      </w:pPr>
      <w:bookmarkStart w:id="73" w:name="ref-etienne2011"/>
      <w:r>
        <w:rPr/>
        <w:t xml:space="preserve">Etienne, R. S., B. Haegeman, T. Stadler, T. Aze, P. N. Pearson, A. Purvis, and A. B. Phillimore. 2011. </w:t>
      </w:r>
      <w:hyperlink r:id="rId33">
        <w:r>
          <w:rPr>
            <w:rStyle w:val="Hyperlink"/>
          </w:rPr>
          <w:t>Diversity-dependence brings molecular phylogenies closer to agreement with the fossil record</w:t>
        </w:r>
      </w:hyperlink>
      <w:r>
        <w:rPr/>
        <w:t>. Proceedings of the Royal Society B: Biological Sciences 279:1300–1309.</w:t>
      </w:r>
      <w:bookmarkEnd w:id="73"/>
    </w:p>
    <w:p>
      <w:pPr>
        <w:pStyle w:val="Bibliography"/>
        <w:rPr/>
      </w:pPr>
      <w:bookmarkStart w:id="74" w:name="ref-faurby2016"/>
      <w:r>
        <w:rPr/>
        <w:t xml:space="preserve">Faurby, S., and J.-C. Svenning. 2016. </w:t>
      </w:r>
      <w:hyperlink r:id="rId34">
        <w:r>
          <w:rPr>
            <w:rStyle w:val="Hyperlink"/>
          </w:rPr>
          <w:t>Resurrection of the island rule: Human-driven extinctions have obscured a basic evolutionary pattern</w:t>
        </w:r>
      </w:hyperlink>
      <w:r>
        <w:rPr/>
        <w:t>. The American Naturalist 187:812–820.</w:t>
      </w:r>
      <w:bookmarkEnd w:id="74"/>
    </w:p>
    <w:p>
      <w:pPr>
        <w:pStyle w:val="Bibliography"/>
        <w:rPr/>
      </w:pPr>
      <w:bookmarkStart w:id="75" w:name="ref-fernicola2019"/>
      <w:r>
        <w:rPr/>
        <w:t xml:space="preserve">Fernicola, J. C., S. F. Vizcaíno, M. S. Bargo, R. F. Kay, and J. I. Cuitiño. 2019. </w:t>
      </w:r>
      <w:hyperlink r:id="rId35">
        <w:r>
          <w:rPr>
            <w:rStyle w:val="Hyperlink"/>
          </w:rPr>
          <w:t>Analysis of the EarlyMiddle Miocene mammal associations at the río Santa Cruz (Patagonia, Argentina)</w:t>
        </w:r>
      </w:hyperlink>
      <w:r>
        <w:rPr/>
        <w:t>. Publicación Electrónica de la Asociación Paleontológica Argentina 19.</w:t>
      </w:r>
      <w:bookmarkEnd w:id="75"/>
    </w:p>
    <w:p>
      <w:pPr>
        <w:pStyle w:val="Bibliography"/>
        <w:rPr/>
      </w:pPr>
      <w:bookmarkStart w:id="76" w:name="ref-flannery-sutherland2022"/>
      <w:r>
        <w:rPr/>
        <w:t xml:space="preserve">Flannery-Sutherland, J. T., D. Silvestro, and M. J. Benton. 2022. </w:t>
      </w:r>
      <w:hyperlink r:id="rId36">
        <w:r>
          <w:rPr>
            <w:rStyle w:val="Hyperlink"/>
          </w:rPr>
          <w:t>Global diversity dynamics in the fossil record are regionally heterogeneous</w:t>
        </w:r>
      </w:hyperlink>
      <w:r>
        <w:rPr/>
        <w:t>. Nature Communications 13:2751.</w:t>
      </w:r>
      <w:bookmarkEnd w:id="76"/>
    </w:p>
    <w:p>
      <w:pPr>
        <w:pStyle w:val="Bibliography"/>
        <w:rPr/>
      </w:pPr>
      <w:bookmarkStart w:id="77" w:name="ref-foote1993"/>
      <w:r>
        <w:rPr/>
        <w:t xml:space="preserve">Foote, M. 1993. </w:t>
      </w:r>
      <w:hyperlink r:id="rId37">
        <w:r>
          <w:rPr>
            <w:rStyle w:val="Hyperlink"/>
          </w:rPr>
          <w:t>Discordance and concordance between morphological and taxonomic diversity</w:t>
        </w:r>
      </w:hyperlink>
      <w:r>
        <w:rPr/>
        <w:t>. Paleobiology 19:185–204.</w:t>
      </w:r>
      <w:bookmarkEnd w:id="77"/>
    </w:p>
    <w:p>
      <w:pPr>
        <w:pStyle w:val="Bibliography"/>
        <w:rPr/>
      </w:pPr>
      <w:bookmarkStart w:id="78" w:name="ref-foote1997"/>
      <w:r>
        <w:rPr/>
        <w:t xml:space="preserve">Foote, M. 1997. </w:t>
      </w:r>
      <w:hyperlink r:id="rId38">
        <w:r>
          <w:rPr>
            <w:rStyle w:val="Hyperlink"/>
          </w:rPr>
          <w:t>The Evolution of Morphological Diversity</w:t>
        </w:r>
      </w:hyperlink>
      <w:r>
        <w:rPr/>
        <w:t>. Annual Review of Ecology, Evolution, and Systematics 28:129–152.</w:t>
      </w:r>
      <w:bookmarkEnd w:id="78"/>
    </w:p>
    <w:p>
      <w:pPr>
        <w:pStyle w:val="Bibliography"/>
        <w:rPr/>
      </w:pPr>
      <w:bookmarkStart w:id="79" w:name="ref-guayasamin2024"/>
      <w:r>
        <w:rPr/>
        <w:t xml:space="preserve">Guayasamin, J. M., C. C. Ribas, A. C. Carnaval, J. D. Carrillo, C. Hoorn, L. G. Lohmann, D. Riff, C. Ulloa Ulloa, and J. S. Albert. 2024. </w:t>
      </w:r>
      <w:hyperlink r:id="rId39">
        <w:r>
          <w:rPr>
            <w:rStyle w:val="Hyperlink"/>
          </w:rPr>
          <w:t>Evolution of Amazonian biodiversity: A review</w:t>
        </w:r>
      </w:hyperlink>
      <w:r>
        <w:rPr/>
        <w:t>. Acta Amazonica 54:e54bc21360.</w:t>
      </w:r>
      <w:bookmarkEnd w:id="79"/>
    </w:p>
    <w:p>
      <w:pPr>
        <w:pStyle w:val="Bibliography"/>
        <w:rPr/>
      </w:pPr>
      <w:bookmarkStart w:id="80" w:name="ref-hagen2018"/>
      <w:r>
        <w:rPr/>
        <w:t xml:space="preserve">Hagen, O., T. Andermann, T. B. Quental, A. Antonelli, and D. Silvestro. 2018. </w:t>
      </w:r>
      <w:hyperlink r:id="rId40">
        <w:r>
          <w:rPr>
            <w:rStyle w:val="Hyperlink"/>
          </w:rPr>
          <w:t>Estimating age-dependent extinction: Contrasting evidence from fossils and phylogenies</w:t>
        </w:r>
      </w:hyperlink>
      <w:r>
        <w:rPr/>
        <w:t>. Systematic Biology 67:458–474.</w:t>
      </w:r>
      <w:bookmarkEnd w:id="80"/>
    </w:p>
    <w:p>
      <w:pPr>
        <w:pStyle w:val="Bibliography"/>
        <w:rPr/>
      </w:pPr>
      <w:bookmarkStart w:id="81" w:name="ref-hauffe2024"/>
      <w:r>
        <w:rPr/>
        <w:t xml:space="preserve">Hauffe, T., J. L. Cantalapiedra, and D. Silvestro. 2024. </w:t>
      </w:r>
      <w:hyperlink r:id="rId41">
        <w:r>
          <w:rPr>
            <w:rStyle w:val="Hyperlink"/>
          </w:rPr>
          <w:t>Trait-mediated speciation and human-driven extinctions in proboscideans revealed by unsupervised bayesian neural networks</w:t>
        </w:r>
      </w:hyperlink>
      <w:r>
        <w:rPr/>
        <w:t>. Science Advances 10:eadl2643. American Association for the Advancement of Science.</w:t>
      </w:r>
      <w:bookmarkEnd w:id="81"/>
    </w:p>
    <w:p>
      <w:pPr>
        <w:pStyle w:val="Bibliography"/>
        <w:rPr/>
      </w:pPr>
      <w:bookmarkStart w:id="82" w:name="ref-hernández2005"/>
      <w:r>
        <w:rPr/>
        <w:t xml:space="preserve">Hernández, R. M., T. E. Jordan, A. Dalenz Farjat, L. Echavarría, B. D. Idleman, and J. H. Reynolds. 2005. </w:t>
      </w:r>
      <w:hyperlink r:id="rId42">
        <w:r>
          <w:rPr>
            <w:rStyle w:val="Hyperlink"/>
          </w:rPr>
          <w:t>Age, distribution, tectonics, and eustatic controls of the paranense and caribbean marine transgressions in southern bolivia and argentina</w:t>
        </w:r>
      </w:hyperlink>
      <w:r>
        <w:rPr/>
        <w:t>. Journal of South American Earth Sciences 19:495–512.</w:t>
      </w:r>
      <w:bookmarkEnd w:id="82"/>
    </w:p>
    <w:p>
      <w:pPr>
        <w:pStyle w:val="Bibliography"/>
        <w:rPr/>
      </w:pPr>
      <w:bookmarkStart w:id="83" w:name="ref-homerocamacho1967"/>
      <w:r>
        <w:rPr/>
        <w:t>Homero Camacho, H. 1967. Las transgresiones del cretácico superior y terciario de la argentina. Revista de la Asociación Geológica Argentina 22:253–280.</w:t>
      </w:r>
      <w:bookmarkEnd w:id="83"/>
    </w:p>
    <w:p>
      <w:pPr>
        <w:pStyle w:val="Bibliography"/>
        <w:rPr/>
      </w:pPr>
      <w:bookmarkStart w:id="84" w:name="ref-hoorn2022"/>
      <w:r>
        <w:rPr/>
        <w:t xml:space="preserve">Hoorn, C., L. M. Boschman, T. Kukla, M. Sciumbata, and P. Val. 2022. </w:t>
      </w:r>
      <w:hyperlink r:id="rId43">
        <w:r>
          <w:rPr>
            <w:rStyle w:val="Hyperlink"/>
          </w:rPr>
          <w:t>The miocene wetland of western amazonia and its role in neotropical biogeography</w:t>
        </w:r>
      </w:hyperlink>
      <w:r>
        <w:rPr/>
        <w:t>. Botanical Journal of the Linnean Society 199:25–35.</w:t>
      </w:r>
      <w:bookmarkEnd w:id="84"/>
    </w:p>
    <w:p>
      <w:pPr>
        <w:pStyle w:val="Bibliography"/>
        <w:rPr/>
      </w:pPr>
      <w:bookmarkStart w:id="85" w:name="ref-hoorn1995"/>
      <w:r>
        <w:rPr/>
        <w:t xml:space="preserve">Hoorn, C., J. Guerrero, G. A. Sarmiento, and M. A. Lorente. 1995. </w:t>
      </w:r>
      <w:hyperlink r:id="rId44">
        <w:r>
          <w:rPr>
            <w:rStyle w:val="Hyperlink"/>
          </w:rPr>
          <w:t>Andean tectonics as a cause for changing drainage patterns in Miocene northern South America</w:t>
        </w:r>
      </w:hyperlink>
      <w:r>
        <w:rPr/>
        <w:t>. Geology 23:237.</w:t>
      </w:r>
      <w:bookmarkEnd w:id="85"/>
    </w:p>
    <w:p>
      <w:pPr>
        <w:pStyle w:val="Bibliography"/>
        <w:rPr/>
      </w:pPr>
      <w:bookmarkStart w:id="86" w:name="ref-hoorn2010"/>
      <w:r>
        <w:rPr/>
        <w:t xml:space="preserve">Hoorn, C., F. P. Wesselingh, H. ter Steege, M. A. Bermudez, A. Mora, J. Sevink, I. Sanmartín, A. Sanchez-Meseguer, C. L. Anderson, J. P. Figueiredo, C. Jaramillo, D. Riff, F. R. Negri, H. Hooghiemstra, J. Lundberg, T. Stadler, T. Särkinen, and A. Antonelli. 2010. </w:t>
      </w:r>
      <w:hyperlink r:id="rId45">
        <w:r>
          <w:rPr>
            <w:rStyle w:val="Hyperlink"/>
          </w:rPr>
          <w:t>Amazonia through time: Andean uplift, climate change, landscape evolution, and biodiversity</w:t>
        </w:r>
      </w:hyperlink>
      <w:r>
        <w:rPr/>
        <w:t>. Science 330:927–931.</w:t>
      </w:r>
      <w:bookmarkEnd w:id="86"/>
    </w:p>
    <w:p>
      <w:pPr>
        <w:pStyle w:val="Bibliography"/>
        <w:rPr/>
      </w:pPr>
      <w:bookmarkStart w:id="87" w:name="ref-hullot2025"/>
      <w:r>
        <w:rPr/>
        <w:t xml:space="preserve">Hullot, M., C. Robinet, Q. Vautrin, R. Tabuce, P.-O. Antoine, G. Merceron, and F. Lihoreau. 2025. </w:t>
      </w:r>
      <w:hyperlink r:id="rId46">
        <w:r>
          <w:rPr>
            <w:rStyle w:val="Hyperlink"/>
          </w:rPr>
          <w:t>Evolution of dietary preferences of the lophiodontidae (mammalia, perissodactyla) from southern france</w:t>
        </w:r>
      </w:hyperlink>
      <w:r>
        <w:rPr/>
        <w:t>. Palaeogeography, Palaeoclimatology, Palaeoecology 675:113076.</w:t>
      </w:r>
      <w:bookmarkEnd w:id="87"/>
    </w:p>
    <w:p>
      <w:pPr>
        <w:pStyle w:val="Bibliography"/>
        <w:rPr/>
      </w:pPr>
      <w:bookmarkStart w:id="88" w:name="ref-janis1988"/>
      <w:r>
        <w:rPr/>
        <w:t>Janis, C. M. 1988. An estimation of tooth volume and hypsodonty indices in ungulate mammals, and the correlation of these factors with dietary preferences. Mémoires du Moséum d’Histoire Naturelle de Paris 367–387.</w:t>
      </w:r>
      <w:bookmarkEnd w:id="88"/>
    </w:p>
    <w:p>
      <w:pPr>
        <w:pStyle w:val="Bibliography"/>
        <w:rPr/>
      </w:pPr>
      <w:bookmarkStart w:id="89" w:name="ref-jaramillo2017"/>
      <w:r>
        <w:rPr/>
        <w:t xml:space="preserve">Jaramillo, C., I. Romero, C. D’Apolito, G. Bayona, E. Duarte, S. Louwye, J. Escobar, J. Luque, J. D. Carrillo-Briceño, V. Zapata, A. Mora, S. Schouten, M. Zavada, G. Harrington, J. Ortiz, and F. P. Wesselingh. 2017. </w:t>
      </w:r>
      <w:hyperlink r:id="rId47">
        <w:r>
          <w:rPr>
            <w:rStyle w:val="Hyperlink"/>
          </w:rPr>
          <w:t>Miocene flooding events of western amazonia</w:t>
        </w:r>
      </w:hyperlink>
      <w:r>
        <w:rPr/>
        <w:t>. Science Advances 3:e1601693.</w:t>
      </w:r>
      <w:bookmarkEnd w:id="89"/>
    </w:p>
    <w:p>
      <w:pPr>
        <w:pStyle w:val="Bibliography"/>
        <w:rPr/>
      </w:pPr>
      <w:bookmarkStart w:id="90" w:name="ref-jardine2012"/>
      <w:r>
        <w:rPr/>
        <w:t xml:space="preserve">Jardine, P. E., C. M. Janis, S. Sahney, and M. J. Benton. 2012. </w:t>
      </w:r>
      <w:hyperlink r:id="rId48">
        <w:r>
          <w:rPr>
            <w:rStyle w:val="Hyperlink"/>
          </w:rPr>
          <w:t>Grit not grass: Concordant patterns of early origin of hypsodonty in great plains ungulates and glires</w:t>
        </w:r>
      </w:hyperlink>
      <w:r>
        <w:rPr/>
        <w:t>. Palaeogeography, Palaeoclimatology, Palaeoecology 365-366:1–10.</w:t>
      </w:r>
      <w:bookmarkEnd w:id="90"/>
    </w:p>
    <w:p>
      <w:pPr>
        <w:pStyle w:val="Bibliography"/>
        <w:rPr/>
      </w:pPr>
      <w:bookmarkStart w:id="91" w:name="ref-lehtonen2017"/>
      <w:r>
        <w:rPr/>
        <w:t xml:space="preserve">Lehtonen, S., D. Silvestro, D. N. Karger, C. Scotese, H. Tuomisto, M. Kessler, C. Peña, N. Wahlberg, and A. Antonelli. 2017. </w:t>
      </w:r>
      <w:hyperlink r:id="rId49">
        <w:r>
          <w:rPr>
            <w:rStyle w:val="Hyperlink"/>
          </w:rPr>
          <w:t>Environmentally driven extinction and opportunistic origination explain fern diversification patterns</w:t>
        </w:r>
      </w:hyperlink>
      <w:r>
        <w:rPr/>
        <w:t>. Scientific Reports 7:4831.</w:t>
      </w:r>
      <w:bookmarkEnd w:id="91"/>
    </w:p>
    <w:p>
      <w:pPr>
        <w:pStyle w:val="Bibliography"/>
        <w:rPr/>
      </w:pPr>
      <w:bookmarkStart w:id="92" w:name="ref-liow2008"/>
      <w:r>
        <w:rPr/>
        <w:t xml:space="preserve">Liow, L. H., M. Fortelius, E. Bingham, K. Lintulaakso, H. Mannila, L. Flynn, and N. Chr. Stenseth. 2008. </w:t>
      </w:r>
      <w:hyperlink r:id="rId50">
        <w:r>
          <w:rPr>
            <w:rStyle w:val="Hyperlink"/>
          </w:rPr>
          <w:t>Higher origination and extinction rates in larger mammals</w:t>
        </w:r>
      </w:hyperlink>
      <w:r>
        <w:rPr/>
        <w:t>. Proceedings of the National Academy of Sciences 105:6097–6102.</w:t>
      </w:r>
      <w:bookmarkEnd w:id="92"/>
    </w:p>
    <w:p>
      <w:pPr>
        <w:pStyle w:val="Bibliography"/>
        <w:rPr/>
      </w:pPr>
      <w:bookmarkStart w:id="93" w:name="ref-liow2010"/>
      <w:r>
        <w:rPr/>
        <w:t xml:space="preserve">Liow, L. H., T. B. Quental, and C. R. Marshall. 2010. </w:t>
      </w:r>
      <w:hyperlink r:id="rId51">
        <w:r>
          <w:rPr>
            <w:rStyle w:val="Hyperlink"/>
          </w:rPr>
          <w:t>When can decreasing diversification rates be detected with molecular phylogenies and the fossil record?</w:t>
        </w:r>
      </w:hyperlink>
      <w:r>
        <w:rPr/>
        <w:t xml:space="preserve"> Systematic Biology 59:646–659.</w:t>
      </w:r>
      <w:bookmarkEnd w:id="93"/>
    </w:p>
    <w:p>
      <w:pPr>
        <w:pStyle w:val="Bibliography"/>
        <w:rPr/>
      </w:pPr>
      <w:bookmarkStart w:id="94" w:name="ref-lomolino2005"/>
      <w:r>
        <w:rPr/>
        <w:t xml:space="preserve">Lomolino, M. V. 2005. </w:t>
      </w:r>
      <w:hyperlink r:id="rId52">
        <w:r>
          <w:rPr>
            <w:rStyle w:val="Hyperlink"/>
          </w:rPr>
          <w:t>Body size evolution in insular vertebrates: Generality of the island rule</w:t>
        </w:r>
      </w:hyperlink>
      <w:r>
        <w:rPr/>
        <w:t>. Journal of Biogeography 32:1683–1699.</w:t>
      </w:r>
      <w:bookmarkEnd w:id="94"/>
    </w:p>
    <w:p>
      <w:pPr>
        <w:pStyle w:val="Bibliography"/>
        <w:rPr/>
      </w:pPr>
      <w:bookmarkStart w:id="95" w:name="ref-macfadden2000"/>
      <w:r>
        <w:rPr/>
        <w:t xml:space="preserve">MacFadden, B. J. 2000. </w:t>
      </w:r>
      <w:hyperlink r:id="rId53">
        <w:r>
          <w:rPr>
            <w:rStyle w:val="Hyperlink"/>
          </w:rPr>
          <w:t>Cenozoic mammalian herbivores from the americas: Reconstructing ancient diets and terrestrial communities</w:t>
        </w:r>
      </w:hyperlink>
      <w:r>
        <w:rPr/>
        <w:t>. Annual Review of Ecology and Systematics 31:33–59.</w:t>
      </w:r>
      <w:bookmarkEnd w:id="95"/>
    </w:p>
    <w:p>
      <w:pPr>
        <w:pStyle w:val="Bibliography"/>
        <w:rPr/>
      </w:pPr>
      <w:bookmarkStart w:id="96" w:name="ref-macphee2011"/>
      <w:r>
        <w:rPr/>
        <w:t xml:space="preserve">MacPhee, R. D. E. 2011. </w:t>
      </w:r>
      <w:hyperlink r:id="rId54">
        <w:r>
          <w:rPr>
            <w:rStyle w:val="Hyperlink"/>
          </w:rPr>
          <w:t>Basicranial morphology and relationships of antillean heptaxodontidae (rodentia, ctenohystrica, caviomorpha)</w:t>
        </w:r>
      </w:hyperlink>
      <w:r>
        <w:rPr/>
        <w:t>. Bulletin of the American Museum of Natural History 2011:1–70.</w:t>
      </w:r>
      <w:bookmarkEnd w:id="96"/>
    </w:p>
    <w:p>
      <w:pPr>
        <w:pStyle w:val="Bibliography"/>
        <w:rPr/>
      </w:pPr>
      <w:bookmarkStart w:id="97" w:name="ref-marion_bioluminescence_2025"/>
      <w:r>
        <w:rPr/>
        <w:t xml:space="preserve">Marion, A. F. P., F. L. Condamine, and G. Guinot. 2025. </w:t>
      </w:r>
      <w:hyperlink r:id="rId55">
        <w:r>
          <w:rPr>
            <w:rStyle w:val="Hyperlink"/>
          </w:rPr>
          <w:t>Bioluminescence and repeated deep-sea colonization shaped the diversification and body size evolution of squaliform sharks</w:t>
        </w:r>
      </w:hyperlink>
      <w:r>
        <w:rPr/>
        <w:t>. Proceedings of the Royal Society B: Biological Sciences 292:20242932. Royal Society.</w:t>
      </w:r>
      <w:bookmarkEnd w:id="97"/>
    </w:p>
    <w:p>
      <w:pPr>
        <w:pStyle w:val="Bibliography"/>
        <w:rPr/>
      </w:pPr>
      <w:bookmarkStart w:id="98" w:name="ref-marivaux2022"/>
      <w:r>
        <w:rPr/>
        <w:t xml:space="preserve">Marivaux, L., L. W. V. López, M. Boivin, L. Da Cunha, P.-H. Fabre, R. Joannes-Boyau, G. Maincent, P. Münch, N. S. Stutz, J. Vélez-Juarbe, and P.-O. Antoine. 2022. </w:t>
      </w:r>
      <w:hyperlink r:id="rId56">
        <w:r>
          <w:rPr>
            <w:rStyle w:val="Hyperlink"/>
          </w:rPr>
          <w:t>Incisor enamel microstructure of West Indian caviomorph hystricognathous rodents (Octodontoidea and Chinchilloidea)</w:t>
        </w:r>
      </w:hyperlink>
      <w:r>
        <w:rPr/>
        <w:t>. Journal of Mammalian Evolution 29:969–995.</w:t>
      </w:r>
      <w:bookmarkEnd w:id="98"/>
    </w:p>
    <w:p>
      <w:pPr>
        <w:pStyle w:val="Bibliography"/>
        <w:rPr/>
      </w:pPr>
      <w:bookmarkStart w:id="99" w:name="ref-marivaux_early_2020"/>
      <w:r>
        <w:rPr/>
        <w:t xml:space="preserve">Marivaux, L., J. Vélez-Juarbe, G. Merzeraud, F. Pujos, L. W. Viñola López, M. Boivin, H. Santos-Mercado, E. J. Cruz, A. Grajales, J. Padilla, K. I. Vélez-Rosado, M. Philippon, J.-L. Léticée, P. Münch, and P.-O. Antoine. 2020. </w:t>
      </w:r>
      <w:hyperlink r:id="rId57">
        <w:r>
          <w:rPr>
            <w:rStyle w:val="Hyperlink"/>
          </w:rPr>
          <w:t>Early oligocene chinchilloid caviomorphs from puerto rico and the initial rodent colonization of the west indies</w:t>
        </w:r>
      </w:hyperlink>
      <w:r>
        <w:rPr/>
        <w:t>. Proceedings of the Royal Society B: Biological Sciences 287:20192806.</w:t>
      </w:r>
      <w:bookmarkEnd w:id="99"/>
    </w:p>
    <w:p>
      <w:pPr>
        <w:pStyle w:val="Bibliography"/>
        <w:rPr/>
      </w:pPr>
      <w:bookmarkStart w:id="100" w:name="ref-marshall1982"/>
      <w:r>
        <w:rPr/>
        <w:t xml:space="preserve">Marshall, L. G., S. D. Webb, J. J. Sepkoski, and D. M. Raup. 1982. </w:t>
      </w:r>
      <w:hyperlink r:id="rId58">
        <w:r>
          <w:rPr>
            <w:rStyle w:val="Hyperlink"/>
          </w:rPr>
          <w:t>Mammalian evolution and the great american interchange</w:t>
        </w:r>
      </w:hyperlink>
      <w:r>
        <w:rPr/>
        <w:t>. Science 215:1351–1357.</w:t>
      </w:r>
      <w:bookmarkEnd w:id="100"/>
    </w:p>
    <w:p>
      <w:pPr>
        <w:pStyle w:val="Bibliography"/>
        <w:rPr/>
      </w:pPr>
      <w:bookmarkStart w:id="101" w:name="ref-mcfarlane1998"/>
      <w:r>
        <w:rPr/>
        <w:t xml:space="preserve">McFarlane, D. A., R. D. E. MacPhee, and D. C. Ford. 1998. </w:t>
      </w:r>
      <w:hyperlink r:id="rId59">
        <w:r>
          <w:rPr>
            <w:rStyle w:val="Hyperlink"/>
          </w:rPr>
          <w:t>Body Size Variability and a Sangamonian Extinction Model for Amblyrhiza,a West Indian Megafaunal Rodent</w:t>
        </w:r>
      </w:hyperlink>
      <w:r>
        <w:rPr/>
        <w:t>. Quaternary Research 50:80–89.</w:t>
      </w:r>
      <w:bookmarkEnd w:id="101"/>
    </w:p>
    <w:p>
      <w:pPr>
        <w:pStyle w:val="Bibliography"/>
        <w:rPr/>
      </w:pPr>
      <w:bookmarkStart w:id="102" w:name="ref-meiri2007"/>
      <w:r>
        <w:rPr/>
        <w:t xml:space="preserve">Meiri, S., N. Cooper, and A. Purvis. 2007. </w:t>
      </w:r>
      <w:hyperlink r:id="rId60">
        <w:r>
          <w:rPr>
            <w:rStyle w:val="Hyperlink"/>
          </w:rPr>
          <w:t>The island rule: Made to be broken?</w:t>
        </w:r>
      </w:hyperlink>
      <w:r>
        <w:rPr/>
        <w:t xml:space="preserve"> Proceedings of the Royal Society B: Biological Sciences 275:141–148.</w:t>
      </w:r>
      <w:bookmarkEnd w:id="102"/>
    </w:p>
    <w:p>
      <w:pPr>
        <w:pStyle w:val="Bibliography"/>
        <w:rPr/>
      </w:pPr>
      <w:bookmarkStart w:id="103" w:name="ref-miller2020"/>
      <w:r>
        <w:rPr/>
        <w:t xml:space="preserve">Miller, K. G., J. V. Browning, W. J. Schmelz, R. E. Kopp, G. S. Mountain, and J. D. Wright. 2020. </w:t>
      </w:r>
      <w:hyperlink r:id="rId61">
        <w:r>
          <w:rPr>
            <w:rStyle w:val="Hyperlink"/>
          </w:rPr>
          <w:t>Cenozoic sea-level and cryospheric evolution from deep-sea geochemical and continental margin records</w:t>
        </w:r>
      </w:hyperlink>
      <w:r>
        <w:rPr/>
        <w:t>. Science Advances 6:eaaz1346.</w:t>
      </w:r>
      <w:bookmarkEnd w:id="103"/>
    </w:p>
    <w:p>
      <w:pPr>
        <w:pStyle w:val="Bibliography"/>
        <w:rPr/>
      </w:pPr>
      <w:bookmarkStart w:id="104" w:name="ref-mones1982"/>
      <w:r>
        <w:rPr/>
        <w:t xml:space="preserve">Mones, A. 1982. </w:t>
      </w:r>
      <w:hyperlink r:id="rId62">
        <w:r>
          <w:rPr>
            <w:rStyle w:val="Hyperlink"/>
          </w:rPr>
          <w:t>An equivocal nomenclature: What means hypsodonty?</w:t>
        </w:r>
      </w:hyperlink>
      <w:r>
        <w:rPr/>
        <w:t xml:space="preserve"> Paläontologische Zeitschrift 56:107–111.</w:t>
      </w:r>
      <w:bookmarkEnd w:id="104"/>
    </w:p>
    <w:p>
      <w:pPr>
        <w:pStyle w:val="Bibliography"/>
        <w:rPr/>
      </w:pPr>
      <w:bookmarkStart w:id="105" w:name="ref-morlon2024"/>
      <w:r>
        <w:rPr/>
        <w:t xml:space="preserve">Morlon, H., J. Andréoletti, J. Barido-Sottani, S. Lambert, B. Perez-Lamarque, I. Quintero, V. Senderov, and P. Veron. 2024. Phylogenetic Insights into Diversification. Annual Review of Ecology, Evolution, and Systematics, doi: </w:t>
      </w:r>
      <w:hyperlink r:id="rId63">
        <w:r>
          <w:rPr>
            <w:rStyle w:val="Hyperlink"/>
          </w:rPr>
          <w:t>10.1146/annurev-ecolsys-102722-020508</w:t>
        </w:r>
      </w:hyperlink>
      <w:r>
        <w:rPr/>
        <w:t>.</w:t>
      </w:r>
      <w:bookmarkEnd w:id="105"/>
    </w:p>
    <w:p>
      <w:pPr>
        <w:pStyle w:val="Bibliography"/>
        <w:rPr/>
      </w:pPr>
      <w:bookmarkStart w:id="106" w:name="ref-muñoz2023"/>
      <w:r>
        <w:rPr/>
        <w:t xml:space="preserve">Muñoz, C. O. R., R. Bonini, S. Hemming, M. Cenizo, U. F. J. Pardiñas, and F. J. Prevosti. 2023. </w:t>
      </w:r>
      <w:hyperlink r:id="rId64">
        <w:r>
          <w:rPr>
            <w:rStyle w:val="Hyperlink"/>
          </w:rPr>
          <w:t>Advances in the understanding of Neogene mammalian fauna in the pampean region (Central Argentina) through revising “biozone” hypotheses based on new dates and biochronological analyses</w:t>
        </w:r>
      </w:hyperlink>
      <w:r>
        <w:rPr/>
        <w:t>. Ameghiniana 60:465–491.</w:t>
      </w:r>
      <w:bookmarkEnd w:id="106"/>
    </w:p>
    <w:p>
      <w:pPr>
        <w:pStyle w:val="Bibliography"/>
        <w:rPr/>
      </w:pPr>
      <w:bookmarkStart w:id="107" w:name="ref-neige2026"/>
      <w:r>
        <w:rPr/>
        <w:t xml:space="preserve">Neige, P., and T. van Tiel. 2026. </w:t>
      </w:r>
      <w:hyperlink r:id="rId65">
        <w:r>
          <w:rPr>
            <w:rStyle w:val="Hyperlink"/>
          </w:rPr>
          <w:t>Background extinction due to species specialization? Insights from a high-resolution Jurassic ammonoid case study (Dactylioceratidae)</w:t>
        </w:r>
      </w:hyperlink>
      <w:r>
        <w:rPr/>
        <w:t>. Paleobiology 1–17.</w:t>
      </w:r>
      <w:bookmarkEnd w:id="107"/>
    </w:p>
    <w:p>
      <w:pPr>
        <w:pStyle w:val="Bibliography"/>
        <w:rPr/>
      </w:pPr>
      <w:bookmarkStart w:id="108" w:name="ref-ogg2020"/>
      <w:r>
        <w:rPr/>
        <w:t xml:space="preserve">Ogg, J. G. 2020. </w:t>
      </w:r>
      <w:hyperlink r:id="rId66">
        <w:r>
          <w:rPr>
            <w:rStyle w:val="Hyperlink"/>
          </w:rPr>
          <w:t>Geomagnetic polarity time scale</w:t>
        </w:r>
      </w:hyperlink>
      <w:r>
        <w:rPr/>
        <w:t xml:space="preserve">. Pp. 159–192 </w:t>
      </w:r>
      <w:r>
        <w:rPr>
          <w:i/>
          <w:iCs/>
        </w:rPr>
        <w:t>in</w:t>
      </w:r>
      <w:r>
        <w:rPr/>
        <w:t>. Elsevier.</w:t>
      </w:r>
      <w:bookmarkEnd w:id="108"/>
    </w:p>
    <w:p>
      <w:pPr>
        <w:pStyle w:val="Bibliography"/>
        <w:rPr/>
      </w:pPr>
      <w:bookmarkStart w:id="109" w:name="ref-ortiz_roedores_2012"/>
      <w:r>
        <w:rPr/>
        <w:t xml:space="preserve">Ortiz, P. E., J. P. Jayat, N. L. Nasif, P. Teta, and A. Haber. 2012. </w:t>
      </w:r>
      <w:hyperlink r:id="rId67">
        <w:r>
          <w:rPr>
            <w:rStyle w:val="Hyperlink"/>
          </w:rPr>
          <w:t>Roedores del holoceno tardío de la puna de atacama, sitio arqueológico tebenquiche chico, catamarca, argentina</w:t>
        </w:r>
      </w:hyperlink>
      <w:r>
        <w:rPr/>
        <w:t>. Archaeofauna 249–266.</w:t>
      </w:r>
      <w:bookmarkEnd w:id="109"/>
    </w:p>
    <w:p>
      <w:pPr>
        <w:pStyle w:val="Bibliography"/>
        <w:rPr/>
      </w:pPr>
      <w:bookmarkStart w:id="110" w:name="ref-paiva2026"/>
      <w:r>
        <w:rPr/>
        <w:t xml:space="preserve">Paiva, A. L., P. Godoy, D. dos Santos, M. Langer, and P. Mannion. 2026. </w:t>
      </w:r>
      <w:hyperlink r:id="rId68">
        <w:r>
          <w:rPr>
            <w:rStyle w:val="Hyperlink"/>
          </w:rPr>
          <w:t>Phylogenetically-informed estimates of notosuchian (Archosauria, Crocodylomorpha) body size and the challenges of inferring macroevolutionary patterns in extinct groups</w:t>
        </w:r>
      </w:hyperlink>
      <w:r>
        <w:rPr/>
        <w:t>. Palaeontology.</w:t>
      </w:r>
      <w:bookmarkEnd w:id="110"/>
    </w:p>
    <w:p>
      <w:pPr>
        <w:pStyle w:val="Bibliography"/>
        <w:rPr/>
      </w:pPr>
      <w:bookmarkStart w:id="111" w:name="ref-palazzesi2012"/>
      <w:r>
        <w:rPr/>
        <w:t xml:space="preserve">Palazzesi, L., and V. Barreda. 2012. </w:t>
      </w:r>
      <w:hyperlink r:id="rId69">
        <w:r>
          <w:rPr>
            <w:rStyle w:val="Hyperlink"/>
          </w:rPr>
          <w:t>Fossil pollen records reveal a late rise of open-habitat ecosystems in Patagonia</w:t>
        </w:r>
      </w:hyperlink>
      <w:r>
        <w:rPr/>
        <w:t>. Nature Communications 3:1294.</w:t>
      </w:r>
      <w:bookmarkEnd w:id="111"/>
    </w:p>
    <w:p>
      <w:pPr>
        <w:pStyle w:val="Bibliography"/>
        <w:rPr/>
      </w:pPr>
      <w:bookmarkStart w:id="112" w:name="ref-pascual1996"/>
      <w:r>
        <w:rPr/>
        <w:t>Pascual, R., E. Ortiz-Jaureguizar, and J. L. Prado. 1996. Land mammals: Paradigm for cenozoic south american geobiotic evolution.</w:t>
      </w:r>
      <w:bookmarkEnd w:id="112"/>
    </w:p>
    <w:p>
      <w:pPr>
        <w:pStyle w:val="Bibliography"/>
        <w:rPr/>
      </w:pPr>
      <w:bookmarkStart w:id="113" w:name="ref-patton2015"/>
      <w:r>
        <w:rPr/>
        <w:t xml:space="preserve">Patton, J. L., U. F. J. Pardiñas, and G. D’Elía. 2015. </w:t>
      </w:r>
      <w:hyperlink r:id="rId70">
        <w:r>
          <w:rPr>
            <w:rStyle w:val="Hyperlink"/>
          </w:rPr>
          <w:t>Mammals of South America, Volume 2: Rodents</w:t>
        </w:r>
      </w:hyperlink>
      <w:r>
        <w:rPr/>
        <w:t>. University of Chicago Press, Chicago, IL.</w:t>
      </w:r>
      <w:bookmarkEnd w:id="113"/>
    </w:p>
    <w:p>
      <w:pPr>
        <w:pStyle w:val="Bibliography"/>
        <w:rPr/>
      </w:pPr>
      <w:bookmarkStart w:id="114" w:name="ref-pérez_new_2010"/>
      <w:r>
        <w:rPr/>
        <w:t xml:space="preserve">Pérez, M. E. 2010. </w:t>
      </w:r>
      <w:hyperlink r:id="rId71">
        <w:r>
          <w:rPr>
            <w:rStyle w:val="Hyperlink"/>
          </w:rPr>
          <w:t>A new rodent (cavioidea, hystricognathi) from the middle miocene of patagonia, mandibular homologies, and the origin of the crown group cavioidea sensu stricto</w:t>
        </w:r>
      </w:hyperlink>
      <w:r>
        <w:rPr/>
        <w:t>. Journal of Vertebrate Paleontology 30:1848–1859.</w:t>
      </w:r>
      <w:bookmarkEnd w:id="114"/>
    </w:p>
    <w:p>
      <w:pPr>
        <w:pStyle w:val="Bibliography"/>
        <w:rPr/>
      </w:pPr>
      <w:bookmarkStart w:id="115" w:name="ref-rasia_reappraisal_2018"/>
      <w:r>
        <w:rPr/>
        <w:t xml:space="preserve">Rasia, L. L., and A. M. Candela. 2018. </w:t>
      </w:r>
      <w:hyperlink r:id="rId72">
        <w:r>
          <w:rPr>
            <w:rStyle w:val="Hyperlink"/>
          </w:rPr>
          <w:t>Reappraisal of the giant caviomorph rodent phoberomys burmeisteri (ameghino, 1886) from the late miocene of northeastern argentina, and the phylogeny and diversity of neoepiblemidae</w:t>
        </w:r>
      </w:hyperlink>
      <w:r>
        <w:rPr/>
        <w:t>. Historical Biology 30:486–495. Taylor &amp; Francis.</w:t>
      </w:r>
      <w:bookmarkEnd w:id="115"/>
    </w:p>
    <w:p>
      <w:pPr>
        <w:pStyle w:val="Bibliography"/>
        <w:rPr/>
      </w:pPr>
      <w:bookmarkStart w:id="116" w:name="ref-rasia_comprehensive_2021"/>
      <w:r>
        <w:rPr/>
        <w:t xml:space="preserve">Rasia, L. L., A. M. Candela, and C. Cañón. 2021. </w:t>
      </w:r>
      <w:hyperlink r:id="rId73">
        <w:r>
          <w:rPr>
            <w:rStyle w:val="Hyperlink"/>
          </w:rPr>
          <w:t>Comprehensive total evidence phylogeny of chinchillids (rodentia, caviomorpha): Cheek teeth anatomy and evolution</w:t>
        </w:r>
      </w:hyperlink>
      <w:r>
        <w:rPr/>
        <w:t>. Journal of Anatomy 239:405–423.</w:t>
      </w:r>
      <w:bookmarkEnd w:id="116"/>
    </w:p>
    <w:p>
      <w:pPr>
        <w:pStyle w:val="Bibliography"/>
        <w:rPr/>
      </w:pPr>
      <w:bookmarkStart w:id="117" w:name="ref-rasia2024"/>
      <w:r>
        <w:rPr/>
        <w:t xml:space="preserve">Rasia, L. L., C. I. Montalvo, R. Sostillo, L. Kerber, and R. L. Tomassini. 2024. </w:t>
      </w:r>
      <w:hyperlink r:id="rId74">
        <w:r>
          <w:rPr>
            <w:rStyle w:val="Hyperlink"/>
          </w:rPr>
          <w:t>Dinomyid (rodentia, caviomorpha) diversity from the late miocene (chasicoan stage/age) cerro azul formation at the classical arroyo chasicó locality (argentina)</w:t>
        </w:r>
      </w:hyperlink>
      <w:r>
        <w:rPr/>
        <w:t>. Historical Biology 37:1902–1914.</w:t>
      </w:r>
      <w:bookmarkEnd w:id="117"/>
    </w:p>
    <w:p>
      <w:pPr>
        <w:pStyle w:val="Bibliography"/>
        <w:rPr/>
      </w:pPr>
      <w:bookmarkStart w:id="118" w:name="ref-rinderknecht2008"/>
      <w:r>
        <w:rPr/>
        <w:t xml:space="preserve">Rinderknecht, A., and R. E. Blanco. 2008. </w:t>
      </w:r>
      <w:hyperlink r:id="rId75">
        <w:r>
          <w:rPr>
            <w:rStyle w:val="Hyperlink"/>
          </w:rPr>
          <w:t>The largest fossil rodent</w:t>
        </w:r>
      </w:hyperlink>
      <w:r>
        <w:rPr/>
        <w:t>. Proceedings of the Royal Society B: Biological Sciences 275:923–928.</w:t>
      </w:r>
      <w:bookmarkEnd w:id="118"/>
    </w:p>
    <w:p>
      <w:pPr>
        <w:pStyle w:val="Bibliography"/>
        <w:rPr/>
      </w:pPr>
      <w:bookmarkStart w:id="119" w:name="ref-robinet2020"/>
      <w:r>
        <w:rPr/>
        <w:t xml:space="preserve">Robinet, C., G. Merceron, A. M. Candela, and L. Marivaux. 2020. </w:t>
      </w:r>
      <w:hyperlink r:id="rId76">
        <w:r>
          <w:rPr>
            <w:rStyle w:val="Hyperlink"/>
          </w:rPr>
          <w:t>Dental microwear texture analysis and diet in caviomorphs (rodentia) from the serra do mar atlantic forest (brazil)</w:t>
        </w:r>
      </w:hyperlink>
      <w:r>
        <w:rPr/>
        <w:t>. Journal of Mammalogy 101:386–402.</w:t>
      </w:r>
      <w:bookmarkEnd w:id="119"/>
    </w:p>
    <w:p>
      <w:pPr>
        <w:pStyle w:val="Bibliography"/>
        <w:rPr/>
      </w:pPr>
      <w:bookmarkStart w:id="120" w:name="ref-salas-gismondi2015"/>
      <w:r>
        <w:rPr/>
        <w:t xml:space="preserve">Salas-Gismondi, R., J. J. Flynn, P. Baby, J. V. Tejada-Lara, F. P. Wesselingh, and P.-O. Antoine. 2015. </w:t>
      </w:r>
      <w:hyperlink r:id="rId77">
        <w:r>
          <w:rPr>
            <w:rStyle w:val="Hyperlink"/>
          </w:rPr>
          <w:t>A miocene hyperdiverse crocodylian community reveals peculiar trophic dynamics in proto-amazonian mega-wetlands</w:t>
        </w:r>
      </w:hyperlink>
      <w:r>
        <w:rPr/>
        <w:t>. Proceedings of the Royal Society B: Biological Sciences 282:20142490.</w:t>
      </w:r>
      <w:bookmarkEnd w:id="120"/>
    </w:p>
    <w:p>
      <w:pPr>
        <w:pStyle w:val="Bibliography"/>
        <w:rPr/>
      </w:pPr>
      <w:bookmarkStart w:id="121" w:name="ref-sánchez-villagra2003"/>
      <w:r>
        <w:rPr/>
        <w:t xml:space="preserve">Sánchez-Villagra, M. R., O. Aguilera, and I. Horovitz. 2003. </w:t>
      </w:r>
      <w:hyperlink r:id="rId78">
        <w:r>
          <w:rPr>
            <w:rStyle w:val="Hyperlink"/>
          </w:rPr>
          <w:t>The anatomy of the world’s largest extinct rodent</w:t>
        </w:r>
      </w:hyperlink>
      <w:r>
        <w:rPr/>
        <w:t>. Science 301:1708–1710.</w:t>
      </w:r>
      <w:bookmarkEnd w:id="121"/>
    </w:p>
    <w:p>
      <w:pPr>
        <w:pStyle w:val="Bibliography"/>
        <w:rPr/>
      </w:pPr>
      <w:bookmarkStart w:id="122" w:name="ref-silvestro2015"/>
      <w:r>
        <w:rPr/>
        <w:t xml:space="preserve">Silvestro, D., A. Antonelli, N. Salamin, and T. B. Quental. 2015. </w:t>
      </w:r>
      <w:hyperlink r:id="rId79">
        <w:r>
          <w:rPr>
            <w:rStyle w:val="Hyperlink"/>
          </w:rPr>
          <w:t>The role of clade competition in the diversification of North American canids</w:t>
        </w:r>
      </w:hyperlink>
      <w:r>
        <w:rPr/>
        <w:t>. Proceedings of the National Academy of Sciences 112:8684–8689.</w:t>
      </w:r>
      <w:bookmarkEnd w:id="122"/>
    </w:p>
    <w:p>
      <w:pPr>
        <w:pStyle w:val="Bibliography"/>
        <w:rPr/>
      </w:pPr>
      <w:bookmarkStart w:id="123" w:name="ref-silvestro2019"/>
      <w:r>
        <w:rPr/>
        <w:t xml:space="preserve">Silvestro, D., N. Salamin, A. Antonelli, and X. Meyer. 2019. </w:t>
      </w:r>
      <w:hyperlink r:id="rId80">
        <w:r>
          <w:rPr>
            <w:rStyle w:val="Hyperlink"/>
          </w:rPr>
          <w:t>Improved estimation of macroevolutionary rates from fossil data using a Bayesian framework</w:t>
        </w:r>
      </w:hyperlink>
      <w:r>
        <w:rPr/>
        <w:t>. Paleobiology 45:546–570.</w:t>
      </w:r>
      <w:bookmarkEnd w:id="123"/>
    </w:p>
    <w:p>
      <w:pPr>
        <w:pStyle w:val="Bibliography"/>
        <w:rPr/>
      </w:pPr>
      <w:bookmarkStart w:id="124" w:name="ref-silvestro2014"/>
      <w:r>
        <w:rPr/>
        <w:t xml:space="preserve">Silvestro, D., N. Salamin, and J. Schnitzler. 2014. </w:t>
      </w:r>
      <w:hyperlink r:id="rId81">
        <w:r>
          <w:rPr>
            <w:rStyle w:val="Hyperlink"/>
          </w:rPr>
          <w:t>PyRate: a new program to estimate speciation and extinction rates from incomplete fossil data</w:t>
        </w:r>
      </w:hyperlink>
      <w:r>
        <w:rPr/>
        <w:t>. Methods in Ecology and Evolution 5:1126–1131.</w:t>
      </w:r>
      <w:bookmarkEnd w:id="124"/>
    </w:p>
    <w:p>
      <w:pPr>
        <w:pStyle w:val="Bibliography"/>
        <w:rPr/>
      </w:pPr>
      <w:bookmarkStart w:id="125" w:name="ref-simpson1980"/>
      <w:r>
        <w:rPr/>
        <w:t>Simpson, G. G. 1980. Splendid isolation : The curious history of south american mammals. Yale University Press, New Haven.</w:t>
      </w:r>
      <w:bookmarkEnd w:id="125"/>
    </w:p>
    <w:p>
      <w:pPr>
        <w:pStyle w:val="Bibliography"/>
        <w:rPr/>
      </w:pPr>
      <w:bookmarkStart w:id="126" w:name="ref-simpson1944"/>
      <w:r>
        <w:rPr/>
        <w:t>Simpson, G. G. 1944. Tempo and mode in evolution. Columbia University Press.</w:t>
      </w:r>
      <w:bookmarkEnd w:id="126"/>
    </w:p>
    <w:p>
      <w:pPr>
        <w:pStyle w:val="Bibliography"/>
        <w:rPr/>
      </w:pPr>
      <w:bookmarkStart w:id="127" w:name="ref-solórzano2024"/>
      <w:r>
        <w:rPr/>
        <w:t xml:space="preserve">Solórzano, A., M. Núñez-Flores, and E. Rodríguez-Serrano. 2024. The rise and fall of notoungulates: How andean uplift, available land area, competition, and depredation driven its diversification dynamics. Gondwana Research, doi: </w:t>
      </w:r>
      <w:hyperlink r:id="rId82">
        <w:r>
          <w:rPr>
            <w:rStyle w:val="Hyperlink"/>
          </w:rPr>
          <w:t>10.1016/j.gr.2024.08.002</w:t>
        </w:r>
      </w:hyperlink>
      <w:r>
        <w:rPr/>
        <w:t>.</w:t>
      </w:r>
      <w:bookmarkEnd w:id="127"/>
    </w:p>
    <w:p>
      <w:pPr>
        <w:pStyle w:val="Bibliography"/>
        <w:rPr/>
      </w:pPr>
      <w:bookmarkStart w:id="128" w:name="ref-stebbins1974"/>
      <w:r>
        <w:rPr/>
        <w:t xml:space="preserve">Stebbins, G. L. 1974. Trends of angiosperm phylogeny - the ecological basis of diversity. Pp. 156–170 </w:t>
      </w:r>
      <w:r>
        <w:rPr>
          <w:i/>
          <w:iCs/>
        </w:rPr>
        <w:t>in</w:t>
      </w:r>
      <w:r>
        <w:rPr/>
        <w:t>. Cambridge, Mass.</w:t>
      </w:r>
      <w:bookmarkEnd w:id="128"/>
    </w:p>
    <w:p>
      <w:pPr>
        <w:pStyle w:val="Bibliography"/>
        <w:rPr/>
      </w:pPr>
      <w:bookmarkStart w:id="129" w:name="ref-strömberg2013"/>
      <w:r>
        <w:rPr/>
        <w:t xml:space="preserve">Strömberg, C. A. E., R. E. Dunn, R. H. Madden, M. J. Kohn, and A. A. Carlini. 2013. </w:t>
      </w:r>
      <w:hyperlink r:id="rId83">
        <w:r>
          <w:rPr>
            <w:rStyle w:val="Hyperlink"/>
          </w:rPr>
          <w:t>Decoupling the spread of grasslands from the evolution of grazer-type herbivores in South America</w:t>
        </w:r>
      </w:hyperlink>
      <w:r>
        <w:rPr/>
        <w:t>. Nature Communications 4:1478.</w:t>
      </w:r>
      <w:bookmarkEnd w:id="129"/>
    </w:p>
    <w:p>
      <w:pPr>
        <w:pStyle w:val="Bibliography"/>
        <w:rPr/>
      </w:pPr>
      <w:bookmarkStart w:id="130" w:name="ref-tardif2025"/>
      <w:r>
        <w:rPr/>
        <w:t xml:space="preserve">Tardif, D., F. L. Condamine, S. J. R. Streiff, P. Sepulchre, and T. L. P. Couvreur. 2025. </w:t>
      </w:r>
      <w:hyperlink r:id="rId84">
        <w:r>
          <w:rPr>
            <w:rStyle w:val="Hyperlink"/>
          </w:rPr>
          <w:t>Generating Spatialised and Seasonal Deep-Time Palaeoclimatic Information: Integration Into an Environmental-Dependent Diversification Model</w:t>
        </w:r>
      </w:hyperlink>
      <w:r>
        <w:rPr/>
        <w:t>. Global Ecology and Biogeography 34:e70024.</w:t>
      </w:r>
      <w:bookmarkEnd w:id="130"/>
    </w:p>
    <w:p>
      <w:pPr>
        <w:pStyle w:val="Bibliography"/>
        <w:rPr/>
      </w:pPr>
      <w:bookmarkStart w:id="131" w:name="ref-tarquini2022"/>
      <w:r>
        <w:rPr/>
        <w:t xml:space="preserve">Tarquini, S. D., S. Ladevèze, and F. J. Prevosti. 2022. </w:t>
      </w:r>
      <w:hyperlink r:id="rId85">
        <w:r>
          <w:rPr>
            <w:rStyle w:val="Hyperlink"/>
          </w:rPr>
          <w:t>The multicausal twilight of South American native mammalian predators (Metatheria, Sparassodonta)</w:t>
        </w:r>
      </w:hyperlink>
      <w:r>
        <w:rPr/>
        <w:t>. Scientific Reports 12:1224.</w:t>
      </w:r>
      <w:bookmarkEnd w:id="131"/>
    </w:p>
    <w:p>
      <w:pPr>
        <w:pStyle w:val="Bibliography"/>
        <w:rPr/>
      </w:pPr>
      <w:bookmarkStart w:id="132" w:name="ref-database"/>
      <w:r>
        <w:rPr/>
        <w:t xml:space="preserve">Upham, N., C. Burgin, J. Widness, S. Liphardt, C. Parker, M. Becker, I. Rochon, D. Huckaby, and J. Zijlstra. 2026. </w:t>
      </w:r>
      <w:hyperlink r:id="rId86">
        <w:r>
          <w:rPr>
            <w:rStyle w:val="Hyperlink"/>
          </w:rPr>
          <w:t>Mammal Diversity Database v2.4</w:t>
        </w:r>
      </w:hyperlink>
      <w:r>
        <w:rPr/>
        <w:t>.</w:t>
      </w:r>
      <w:bookmarkEnd w:id="132"/>
    </w:p>
    <w:p>
      <w:pPr>
        <w:pStyle w:val="Bibliography"/>
        <w:rPr/>
      </w:pPr>
      <w:bookmarkStart w:id="133" w:name="ref-vallejos-garrido2023"/>
      <w:r>
        <w:rPr/>
        <w:t xml:space="preserve">Vallejos-Garrido, P., K. Pino, N. Espinoza-Aravena, A. Pari, O. Inostroza-Michael, M. Toledo-Muñoz, B. Castillo-Ravanal, V. Romero-Alarcón, C. E. Hernández, R. E. Palma, and E. Rodríguez-Serrano. 2023. </w:t>
      </w:r>
      <w:hyperlink r:id="rId87">
        <w:r>
          <w:rPr>
            <w:rStyle w:val="Hyperlink"/>
          </w:rPr>
          <w:t>The importance of the Andes in the evolutionary radiation of Sigmodontinae (Rodentia, Cricetidae), the most diverse group of mammals in the Neotropics</w:t>
        </w:r>
      </w:hyperlink>
      <w:r>
        <w:rPr/>
        <w:t>. Scientific Reports 13:2207.</w:t>
      </w:r>
      <w:bookmarkEnd w:id="133"/>
    </w:p>
    <w:p>
      <w:pPr>
        <w:pStyle w:val="Bibliography"/>
        <w:rPr/>
      </w:pPr>
      <w:bookmarkStart w:id="134" w:name="ref-vanvalen1960"/>
      <w:r>
        <w:rPr/>
        <w:t xml:space="preserve">Van Valen, L. 1960. </w:t>
      </w:r>
      <w:hyperlink r:id="rId88">
        <w:r>
          <w:rPr>
            <w:rStyle w:val="Hyperlink"/>
          </w:rPr>
          <w:t>A functional index of hypsodonty</w:t>
        </w:r>
      </w:hyperlink>
      <w:r>
        <w:rPr/>
        <w:t>. Evolution 14:531–532.</w:t>
      </w:r>
      <w:bookmarkEnd w:id="134"/>
    </w:p>
    <w:p>
      <w:pPr>
        <w:pStyle w:val="Bibliography"/>
        <w:rPr/>
      </w:pPr>
      <w:bookmarkStart w:id="135" w:name="ref-vanvalen1973"/>
      <w:r>
        <w:rPr/>
        <w:t>Van Valen, L. 1973a. A new evolutionary law. Evolutionary Theory 1–30.</w:t>
      </w:r>
      <w:bookmarkEnd w:id="135"/>
    </w:p>
    <w:p>
      <w:pPr>
        <w:pStyle w:val="Bibliography"/>
        <w:rPr/>
      </w:pPr>
      <w:bookmarkStart w:id="136" w:name="ref-van_valen_pattern_1973"/>
      <w:r>
        <w:rPr/>
        <w:t>Van Valen, L. 1973b. Pattern and the balance of nature. Evol. Theory 1:31–49.</w:t>
      </w:r>
      <w:bookmarkEnd w:id="136"/>
    </w:p>
    <w:p>
      <w:pPr>
        <w:pStyle w:val="Bibliography"/>
        <w:rPr/>
      </w:pPr>
      <w:bookmarkStart w:id="137" w:name="ref-vrba1995"/>
      <w:r>
        <w:rPr/>
        <w:t xml:space="preserve">Vrba, E. S. 1995. On the connections between paleoclimate and evolution. Pp. 25–45 </w:t>
      </w:r>
      <w:r>
        <w:rPr>
          <w:i/>
          <w:iCs/>
        </w:rPr>
        <w:t>in</w:t>
      </w:r>
      <w:r>
        <w:rPr/>
        <w:t>. New Haven; London.</w:t>
      </w:r>
      <w:bookmarkEnd w:id="137"/>
    </w:p>
    <w:p>
      <w:pPr>
        <w:pStyle w:val="Bibliography"/>
        <w:rPr/>
      </w:pPr>
      <w:bookmarkStart w:id="138" w:name="ref-vucetich2015"/>
      <w:r>
        <w:rPr/>
        <w:t xml:space="preserve">Vucetich, M. G., M. Arnal, C. M. Deschamps, and M. E. Pérez. 2015. A brief history of caviomorph rodents as told by the fossil record. Pp. 11–62 </w:t>
      </w:r>
      <w:r>
        <w:rPr>
          <w:i/>
          <w:iCs/>
        </w:rPr>
        <w:t>in</w:t>
      </w:r>
      <w:r>
        <w:rPr/>
        <w:t>. Sociedad Argentina para el Estudio de los Mammíferos (SAREM), Buenos Aires, Argentina.</w:t>
      </w:r>
      <w:bookmarkEnd w:id="138"/>
    </w:p>
    <w:p>
      <w:pPr>
        <w:pStyle w:val="Bibliography"/>
        <w:rPr/>
      </w:pPr>
      <w:bookmarkStart w:id="139" w:name="ref-webb1985"/>
      <w:r>
        <w:rPr/>
        <w:t>Webb, S. D. 1985. Late cenozoic mammal dispersals between the americas.</w:t>
      </w:r>
      <w:bookmarkEnd w:id="139"/>
    </w:p>
    <w:p>
      <w:pPr>
        <w:pStyle w:val="Bibliography"/>
        <w:rPr/>
      </w:pPr>
      <w:bookmarkStart w:id="140" w:name="ref-weppe2023"/>
      <w:r>
        <w:rPr/>
        <w:t xml:space="preserve">Weppe, R., F. L. Condamine, G. Guinot, J. Maugoust, and M. J. Orliac. 2023. </w:t>
      </w:r>
      <w:hyperlink r:id="rId89">
        <w:r>
          <w:rPr>
            <w:rStyle w:val="Hyperlink"/>
          </w:rPr>
          <w:t>Drivers of the artiodactyl turnover in insular western europe at the eoceneoligocene transition</w:t>
        </w:r>
      </w:hyperlink>
      <w:r>
        <w:rPr/>
        <w:t>. Proceedings of the National Academy of Sciences 120:e2309945120.</w:t>
      </w:r>
      <w:bookmarkEnd w:id="140"/>
    </w:p>
    <w:p>
      <w:pPr>
        <w:pStyle w:val="Bibliography"/>
        <w:rPr/>
      </w:pPr>
      <w:bookmarkStart w:id="141" w:name="ref-westerhold2020"/>
      <w:r>
        <w:rPr/>
        <w:t xml:space="preserve">Westerhold, T., N. Marwan, A. J. Drury, D. Liebrand, C. Agnini, E. Anagnostou, J. S. K. Barnet, S. M. Bohaty, D. De Vleeschouwer, F. Florindo, T. Frederichs, D. A. Hodell, A. E. Holbourn, D. Kroon, V. Lauretano, K. Littler, L. J. Lourens, M. Lyle, H. Pälike, U. Röhl, J. Tian, R. H. Wilkens, P. A. Wilson, and J. C. Zachos. 2020. </w:t>
      </w:r>
      <w:hyperlink r:id="rId90">
        <w:r>
          <w:rPr>
            <w:rStyle w:val="Hyperlink"/>
          </w:rPr>
          <w:t>An astronomically dated record of earth’s climate and its predictability over the last 66 million years</w:t>
        </w:r>
      </w:hyperlink>
      <w:r>
        <w:rPr/>
        <w:t>. Science 369:1383–1387.</w:t>
      </w:r>
      <w:bookmarkEnd w:id="141"/>
    </w:p>
    <w:p>
      <w:pPr>
        <w:pStyle w:val="Bibliography"/>
        <w:rPr/>
      </w:pPr>
      <w:bookmarkStart w:id="142" w:name="ref-woods2021"/>
      <w:r>
        <w:rPr/>
        <w:t xml:space="preserve">Woods, R., I. Barnes, S. Brace, and S. T. Turvey. 2021. </w:t>
      </w:r>
      <w:hyperlink r:id="rId91">
        <w:r>
          <w:rPr>
            <w:rStyle w:val="Hyperlink"/>
          </w:rPr>
          <w:t>Ancient DNA suggests single colonization and within-archipelago diversification of caribbean caviomorph rodents</w:t>
        </w:r>
      </w:hyperlink>
      <w:r>
        <w:rPr/>
        <w:t>. Molecular Biology and Evolution 38:84–95.</w:t>
      </w:r>
      <w:bookmarkEnd w:id="37"/>
      <w:bookmarkEnd w:id="38"/>
      <w:bookmarkEnd w:id="142"/>
    </w:p>
    <w:p>
      <w:pPr>
        <w:pStyle w:val="Heading1"/>
        <w:rPr/>
      </w:pPr>
      <w:r>
        <w:rPr/>
        <w:t>Figures</w:t>
      </w:r>
    </w:p>
    <w:tbl>
      <w:tblPr>
        <w:tblStyle w:val="Table"/>
        <w:tblW w:w="5000" w:type="pct"/>
        <w:jc w:val="left"/>
        <w:tblInd w:w="0"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p>
            <w:pPr>
              <w:pStyle w:val="Compact"/>
              <w:spacing w:before="36" w:after="36"/>
              <w:jc w:val="center"/>
              <w:rPr/>
            </w:pPr>
            <w:bookmarkStart w:id="143" w:name="fig-lifespans"/>
            <w:r>
              <w:rPr/>
              <w:drawing>
                <wp:inline distT="0" distB="0" distL="0" distR="0">
                  <wp:extent cx="5400040" cy="6840220"/>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92"/>
                          <a:stretch>
                            <a:fillRect/>
                          </a:stretch>
                        </pic:blipFill>
                        <pic:spPr bwMode="auto">
                          <a:xfrm>
                            <a:off x="0" y="0"/>
                            <a:ext cx="5400040" cy="6840220"/>
                          </a:xfrm>
                          <a:prstGeom prst="rect">
                            <a:avLst/>
                          </a:prstGeom>
                        </pic:spPr>
                      </pic:pic>
                    </a:graphicData>
                  </a:graphic>
                </wp:inline>
              </w:drawing>
            </w:r>
          </w:p>
          <w:p>
            <w:pPr>
              <w:pStyle w:val="ImageCaption"/>
              <w:spacing w:before="200" w:after="200"/>
              <w:jc w:val="left"/>
              <w:rPr/>
            </w:pPr>
            <w:r>
              <w:rPr/>
              <w:t>Figure 1: Bayesian reconstruction of the longevities of the 136 chinchilloid species considered in our dataset. Each segment depicts the longevity of a given species, that is, the interval between species’ speciation and extinction times averaged across PyRate runs that achieved convergence. Lines, ticks and taxonomic names were coloured according to the body mass category to which species were assigned. The histogram at the centre of the plot shows the number of species within each body mass class. The first four silhouettes (from top to bottom) are from Phylopic (credits available in Table S2). The last two silhouettes (</w:t>
            </w:r>
            <w:r>
              <w:rPr>
                <w:i/>
                <w:iCs/>
              </w:rPr>
              <w:t>Elasmodontomys obliquus</w:t>
            </w:r>
            <w:r>
              <w:rPr/>
              <w:t xml:space="preserve"> and </w:t>
            </w:r>
            <w:r>
              <w:rPr>
                <w:i/>
                <w:iCs/>
              </w:rPr>
              <w:t>Borikenomys praecursor</w:t>
            </w:r>
            <w:r>
              <w:rPr/>
              <w:t>) were designed by L.M. for a previous work (Marivaux et al. 2020).</w:t>
            </w:r>
            <w:bookmarkEnd w:id="143"/>
          </w:p>
        </w:tc>
      </w:tr>
    </w:tbl>
    <w:p>
      <w:pPr>
        <w:pStyle w:val="BodyText"/>
        <w:rPr/>
      </w:pPr>
      <w:r>
        <w:rPr/>
        <w:br/>
      </w:r>
    </w:p>
    <w:tbl>
      <w:tblPr>
        <w:tblStyle w:val="Table"/>
        <w:tblW w:w="5000" w:type="pct"/>
        <w:jc w:val="left"/>
        <w:tblInd w:w="0"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p>
            <w:pPr>
              <w:pStyle w:val="Compact"/>
              <w:spacing w:before="36" w:after="36"/>
              <w:jc w:val="center"/>
              <w:rPr/>
            </w:pPr>
            <w:bookmarkStart w:id="144" w:name="fig-diversity"/>
            <w:r>
              <w:rPr/>
              <w:drawing>
                <wp:inline distT="0" distB="0" distL="0" distR="0">
                  <wp:extent cx="5039995" cy="252031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93"/>
                          <a:stretch>
                            <a:fillRect/>
                          </a:stretch>
                        </pic:blipFill>
                        <pic:spPr bwMode="auto">
                          <a:xfrm>
                            <a:off x="0" y="0"/>
                            <a:ext cx="5039995" cy="2520315"/>
                          </a:xfrm>
                          <a:prstGeom prst="rect">
                            <a:avLst/>
                          </a:prstGeom>
                        </pic:spPr>
                      </pic:pic>
                    </a:graphicData>
                  </a:graphic>
                </wp:inline>
              </w:drawing>
            </w:r>
          </w:p>
          <w:p>
            <w:pPr>
              <w:pStyle w:val="ImageCaption"/>
              <w:spacing w:before="200" w:after="200"/>
              <w:jc w:val="left"/>
              <w:rPr/>
            </w:pPr>
            <w:r>
              <w:rPr/>
              <w:t xml:space="preserve">Figure 2: Comparative occurrence-based chinchilloid diversity reconstructions. Estimates were either produced in a bayesian preservation-aware framework jointly assessing the times of speciation and extinction of each species from the temporal occurrence database (PyRate) </w:t>
            </w:r>
            <w:r>
              <w:rPr>
                <w:b/>
                <w:bCs/>
              </w:rPr>
              <w:t>(A)</w:t>
            </w:r>
            <w:r>
              <w:rPr/>
              <w:t>, or using a simulation-based deep-learning framework incorporating a wide variety of biases to reconstruct the temporal variations of the “true” (</w:t>
            </w:r>
            <w:r>
              <w:rPr>
                <w:i/>
                <w:iCs/>
              </w:rPr>
              <w:t>i</w:t>
            </w:r>
            <w:r>
              <w:rPr/>
              <w:t>.</w:t>
            </w:r>
            <w:r>
              <w:rPr>
                <w:i/>
                <w:iCs/>
              </w:rPr>
              <w:t>e</w:t>
            </w:r>
            <w:r>
              <w:rPr/>
              <w:t xml:space="preserve">., corrected) diversity (DeepDive) </w:t>
            </w:r>
            <w:r>
              <w:rPr>
                <w:b/>
                <w:bCs/>
              </w:rPr>
              <w:t>(B)</w:t>
            </w:r>
            <w:r>
              <w:rPr/>
              <w:t xml:space="preserve">. In </w:t>
            </w:r>
            <w:r>
              <w:rPr>
                <w:b/>
                <w:bCs/>
              </w:rPr>
              <w:t>(A)</w:t>
            </w:r>
            <w:r>
              <w:rPr/>
              <w:t xml:space="preserve">, the full line represents the median diversity estimate across all PyRate runs that achieved convergence and the ribbon shows its associated 95% HPD interval. In </w:t>
            </w:r>
            <w:r>
              <w:rPr>
                <w:b/>
                <w:bCs/>
              </w:rPr>
              <w:t>(B)</w:t>
            </w:r>
            <w:r>
              <w:rPr/>
              <w:t>, the full line shows the mean diversity estimate per 1Myr-bin obtained across the 100 replicates of empirical prediction while the darker and lighter ribbons show the intervals respectively encompassing 50% and 95% of the per-bin diversity distribution across the 100 replicates.</w:t>
            </w:r>
            <w:bookmarkEnd w:id="144"/>
          </w:p>
        </w:tc>
      </w:tr>
    </w:tbl>
    <w:p>
      <w:pPr>
        <w:pStyle w:val="BodyText"/>
        <w:rPr/>
      </w:pPr>
      <w:r>
        <w:rPr/>
        <w:br/>
      </w:r>
    </w:p>
    <w:tbl>
      <w:tblPr>
        <w:tblStyle w:val="Table"/>
        <w:tblW w:w="5000" w:type="pct"/>
        <w:jc w:val="left"/>
        <w:tblInd w:w="0"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p>
            <w:pPr>
              <w:pStyle w:val="Compact"/>
              <w:spacing w:before="36" w:after="36"/>
              <w:jc w:val="center"/>
              <w:rPr/>
            </w:pPr>
            <w:bookmarkStart w:id="145" w:name="fig-diversification"/>
            <w:r>
              <w:rPr/>
              <w:drawing>
                <wp:inline distT="0" distB="0" distL="0" distR="0">
                  <wp:extent cx="5400040" cy="395986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94"/>
                          <a:stretch>
                            <a:fillRect/>
                          </a:stretch>
                        </pic:blipFill>
                        <pic:spPr bwMode="auto">
                          <a:xfrm>
                            <a:off x="0" y="0"/>
                            <a:ext cx="5400040" cy="3959860"/>
                          </a:xfrm>
                          <a:prstGeom prst="rect">
                            <a:avLst/>
                          </a:prstGeom>
                        </pic:spPr>
                      </pic:pic>
                    </a:graphicData>
                  </a:graphic>
                </wp:inline>
              </w:drawing>
            </w:r>
          </w:p>
          <w:p>
            <w:pPr>
              <w:pStyle w:val="ImageCaption"/>
              <w:spacing w:before="200" w:after="200"/>
              <w:jc w:val="left"/>
              <w:rPr/>
            </w:pPr>
            <w:r>
              <w:rPr/>
              <w:t xml:space="preserve">Figure 3: Comparative chinchilloid speciation and extinction rates reconstructed using three Bayesian occurrence-based birth-death models. Speciation and extinction rates are respectively depicted in blue and red. The left column </w:t>
            </w:r>
            <w:r>
              <w:rPr>
                <w:b/>
                <w:bCs/>
              </w:rPr>
              <w:t>(A-B)</w:t>
            </w:r>
            <w:r>
              <w:rPr/>
              <w:t xml:space="preserve"> shows the rates estimated by PyRate, using the rjMCMC algorithm (Silvestro et al. 2019). Stars indicate significant rate shifts.</w:t>
            </w:r>
            <w:bookmarkStart w:id="146" w:name="figures"/>
            <w:bookmarkEnd w:id="145"/>
            <w:bookmarkEnd w:id="146"/>
          </w:p>
        </w:tc>
      </w:tr>
    </w:tbl>
    <w:sectPr>
      <w:footnotePr>
        <w:numFmt w:val="decimal"/>
      </w:footnotePr>
      <w:type w:val="nextPage"/>
      <w:pgSz w:w="12240" w:h="15840"/>
      <w:pgMar w:left="1440" w:right="1440" w:gutter="0" w:header="0" w:top="1440" w:footer="0" w:bottom="1440"/>
      <w:lnNumType w:countBy="1" w:restart="continuous" w:distance="283"/>
      <w:pgNumType w:fmt="decimal"/>
      <w:formProt w:val="false"/>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pPr>
      <w:r>
        <w:rPr>
          <w:rStyle w:val="FootnoteCharacters"/>
        </w:rPr>
        <w:footnoteRef/>
      </w:r>
      <w:r>
        <w:rPr/>
        <w:t xml:space="preserve"> </w:t>
      </w:r>
      <w:r>
        <w:rPr/>
        <w:t xml:space="preserve">One might however mention that, as summarised by Marivaux et al. (2022), the phylogenetic placement of </w:t>
      </w:r>
      <w:r>
        <w:rPr/>
      </w:r>
      <m:oMath xmlns:m="http://schemas.openxmlformats.org/officeDocument/2006/math">
        <m:r>
          <w:rPr>
            <w:rFonts w:ascii="Cambria Math" w:hAnsi="Cambria Math"/>
          </w:rPr>
          <m:t xml:space="preserve">†</m:t>
        </m:r>
      </m:oMath>
      <w:r>
        <w:rPr>
          <w:i/>
          <w:iCs/>
        </w:rPr>
        <w:t>Elasmodontomys</w:t>
      </w:r>
      <w:r>
        <w:rPr/>
        <w:t xml:space="preserve"> still represents a real </w:t>
      </w:r>
      <w:r>
        <w:rPr>
          <w:i/>
          <w:iCs/>
        </w:rPr>
        <w:t>conundrum</w:t>
      </w:r>
      <w:r>
        <w:rPr/>
        <w:t>, with contrasting sources of evidence either suggesting this taxon to be nested within Chinchilloidea (</w:t>
      </w:r>
      <w:r>
        <w:rPr>
          <w:i/>
          <w:iCs/>
        </w:rPr>
        <w:t>e</w:t>
      </w:r>
      <w:r>
        <w:rPr/>
        <w:t>.</w:t>
      </w:r>
      <w:r>
        <w:rPr>
          <w:i/>
          <w:iCs/>
        </w:rPr>
        <w:t>g</w:t>
      </w:r>
      <w:r>
        <w:rPr/>
        <w:t>., Marivaux et al. 2020; Marivaux et al. 2022), Octodontoidea (</w:t>
      </w:r>
      <w:r>
        <w:rPr>
          <w:i/>
          <w:iCs/>
        </w:rPr>
        <w:t>e</w:t>
      </w:r>
      <w:r>
        <w:rPr/>
        <w:t>.</w:t>
      </w:r>
      <w:r>
        <w:rPr>
          <w:i/>
          <w:iCs/>
        </w:rPr>
        <w:t>g</w:t>
      </w:r>
      <w:r>
        <w:rPr/>
        <w:t>., Woods et al. 2021) – another caviomorph superfamily – or to be a morphological intermediate between those two clades (</w:t>
      </w:r>
      <w:r>
        <w:rPr>
          <w:i/>
          <w:iCs/>
        </w:rPr>
        <w:t>i</w:t>
      </w:r>
      <w:r>
        <w:rPr/>
        <w:t>.</w:t>
      </w:r>
      <w:r>
        <w:rPr>
          <w:i/>
          <w:iCs/>
        </w:rPr>
        <w:t>e</w:t>
      </w:r>
      <w:r>
        <w:rPr/>
        <w:t>., Octochinchilloi, sensu Boivin et al. (2019)) (MacPhee 2011; Da Cunha et al. 2023).</w:t>
      </w:r>
    </w:p>
  </w:footnote>
  <w:footnote w:id="3">
    <w:p>
      <w:pPr>
        <w:pStyle w:val="FootnoteText"/>
        <w:rPr/>
      </w:pPr>
      <w:r>
        <w:rPr>
          <w:rStyle w:val="FootnoteCharacters"/>
        </w:rPr>
        <w:footnoteRef/>
      </w:r>
      <w:r>
        <w:rPr/>
        <w:t xml:space="preserve"> </w:t>
      </w:r>
      <w:r>
        <w:rPr/>
        <w:t xml:space="preserve">Remains of </w:t>
      </w:r>
      <w:r>
        <w:rPr>
          <w:i/>
          <w:iCs/>
        </w:rPr>
        <w:t>Chinchilla chinchilla</w:t>
      </w:r>
      <w:r>
        <w:rPr/>
        <w:t xml:space="preserve"> were in fact once reported from an archaeological assemblage (Ortiz et al. 2012), but we believe their age to be too close to the present to provide useful information on the time of speciation of the species.</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926"/>
        </w:tabs>
        <w:ind w:left="926"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643"/>
        </w:tabs>
        <w:ind w:left="643"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643"/>
        </w:tabs>
        <w:ind w:left="643"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40"/>
  <w:embedSystemFonts/>
  <w:defaultTabStop w:val="720"/>
  <w:autoHyphenation w:val="true"/>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5e7dbf"/>
    <w:pPr>
      <w:widowControl/>
      <w:suppressAutoHyphens w:val="true"/>
      <w:bidi w:val="0"/>
      <w:spacing w:before="0" w:after="200"/>
      <w:jc w:val="left"/>
    </w:pPr>
    <w:rPr>
      <w:rFonts w:ascii="Times New Roman" w:hAnsi="Times New Roman" w:eastAsia="Cambria" w:cs="" w:cstheme="minorBidi" w:eastAsiaTheme="minorHAnsi"/>
      <w:color w:val="auto"/>
      <w:kern w:val="0"/>
      <w:sz w:val="22"/>
      <w:szCs w:val="24"/>
      <w:lang w:val="en-US" w:eastAsia="en-US" w:bidi="ar-SA"/>
    </w:rPr>
  </w:style>
  <w:style w:type="paragraph" w:styleId="Heading1">
    <w:name w:val="Heading 1"/>
    <w:basedOn w:val="Normal"/>
    <w:next w:val="BodyText"/>
    <w:uiPriority w:val="9"/>
    <w:qFormat/>
    <w:rsid w:val="00e4579e"/>
    <w:pPr>
      <w:keepNext w:val="true"/>
      <w:keepLines/>
      <w:spacing w:before="480" w:after="0"/>
      <w:outlineLvl w:val="0"/>
    </w:pPr>
    <w:rPr>
      <w:rFonts w:eastAsia="" w:cs="" w:cstheme="majorBidi" w:eastAsiaTheme="majorEastAsia"/>
      <w:b/>
      <w:bCs/>
      <w:color w:themeColor="text1" w:val="000000"/>
      <w:sz w:val="32"/>
      <w:szCs w:val="32"/>
    </w:rPr>
  </w:style>
  <w:style w:type="paragraph" w:styleId="Heading2">
    <w:name w:val="Heading 2"/>
    <w:basedOn w:val="Normal"/>
    <w:next w:val="BodyText"/>
    <w:uiPriority w:val="9"/>
    <w:unhideWhenUsed/>
    <w:qFormat/>
    <w:rsid w:val="00e4579e"/>
    <w:pPr>
      <w:keepNext w:val="true"/>
      <w:keepLines/>
      <w:spacing w:before="200" w:after="0"/>
      <w:outlineLvl w:val="1"/>
    </w:pPr>
    <w:rPr>
      <w:rFonts w:eastAsia="" w:cs="" w:cstheme="majorBidi" w:eastAsiaTheme="majorEastAsia"/>
      <w:b/>
      <w:bCs/>
      <w:color w:themeColor="text1" w:val="000000"/>
      <w:sz w:val="28"/>
      <w:szCs w:val="28"/>
    </w:rPr>
  </w:style>
  <w:style w:type="paragraph" w:styleId="Heading3">
    <w:name w:val="Heading 3"/>
    <w:basedOn w:val="Normal"/>
    <w:next w:val="BodyText"/>
    <w:uiPriority w:val="9"/>
    <w:unhideWhenUsed/>
    <w:qFormat/>
    <w:rsid w:val="00e4579e"/>
    <w:pPr>
      <w:keepNext w:val="true"/>
      <w:keepLines/>
      <w:spacing w:before="200" w:after="0"/>
      <w:outlineLvl w:val="2"/>
    </w:pPr>
    <w:rPr>
      <w:rFonts w:eastAsia="" w:cs="Times New Roman" w:eastAsiaTheme="majorEastAsia"/>
      <w:b/>
      <w:bCs/>
      <w:color w:themeColor="text1" w:val="000000"/>
    </w:rPr>
  </w:style>
  <w:style w:type="paragraph" w:styleId="Heading4">
    <w:name w:val="Heading 4"/>
    <w:basedOn w:val="Normal"/>
    <w:next w:val="BodyText"/>
    <w:uiPriority w:val="9"/>
    <w:unhideWhenUsed/>
    <w:qFormat/>
    <w:rsid w:val="00e4579e"/>
    <w:pPr>
      <w:keepNext w:val="true"/>
      <w:keepLines/>
      <w:spacing w:before="200" w:after="0"/>
      <w:outlineLvl w:val="3"/>
    </w:pPr>
    <w:rPr>
      <w:rFonts w:eastAsia="" w:cs="Times New Roman" w:eastAsiaTheme="majorEastAsia"/>
      <w:bCs/>
      <w:color w:themeColor="text1" w:val="000000"/>
    </w:rPr>
  </w:style>
  <w:style w:type="paragraph" w:styleId="Heading5">
    <w:name w:val="Heading 5"/>
    <w:basedOn w:val="Normal"/>
    <w:next w:val="BodyText"/>
    <w:uiPriority w:val="9"/>
    <w:unhideWhenUsed/>
    <w:qFormat/>
    <w:rsid w:val="00e4579e"/>
    <w:pPr>
      <w:keepNext w:val="true"/>
      <w:keepLines/>
      <w:spacing w:before="200" w:after="0"/>
      <w:outlineLvl w:val="4"/>
    </w:pPr>
    <w:rPr>
      <w:rFonts w:eastAsia="" w:cs="Times New Roman" w:eastAsiaTheme="majorEastAsia"/>
      <w:color w:themeColor="text1" w:val="000000"/>
    </w:rPr>
  </w:style>
  <w:style w:type="paragraph" w:styleId="Heading6">
    <w:name w:val="Heading 6"/>
    <w:basedOn w:val="Normal"/>
    <w:next w:val="BodyText"/>
    <w:uiPriority w:val="9"/>
    <w:unhideWhenUsed/>
    <w:qFormat/>
    <w:rsid w:val="00e4579e"/>
    <w:pPr>
      <w:keepNext w:val="true"/>
      <w:keepLines/>
      <w:spacing w:before="200" w:after="0"/>
      <w:outlineLvl w:val="5"/>
    </w:pPr>
    <w:rPr>
      <w:rFonts w:eastAsia="" w:cs="Times New Roman" w:eastAsiaTheme="majorEastAsia"/>
      <w:color w:themeColor="text1" w:val="000000"/>
    </w:rPr>
  </w:style>
  <w:style w:type="paragraph" w:styleId="Heading7">
    <w:name w:val="Heading 7"/>
    <w:basedOn w:val="Normal"/>
    <w:next w:val="BodyText"/>
    <w:uiPriority w:val="9"/>
    <w:unhideWhenUsed/>
    <w:qFormat/>
    <w:rsid w:val="00e4579e"/>
    <w:pPr>
      <w:keepNext w:val="true"/>
      <w:keepLines/>
      <w:spacing w:before="200" w:after="0"/>
      <w:outlineLvl w:val="6"/>
    </w:pPr>
    <w:rPr>
      <w:rFonts w:eastAsia="" w:cs="Times New Roman" w:eastAsiaTheme="majorEastAsia"/>
      <w:color w:themeColor="text1" w:val="000000"/>
    </w:rPr>
  </w:style>
  <w:style w:type="paragraph" w:styleId="Heading8">
    <w:name w:val="Heading 8"/>
    <w:basedOn w:val="Normal"/>
    <w:next w:val="BodyText"/>
    <w:uiPriority w:val="9"/>
    <w:unhideWhenUsed/>
    <w:qFormat/>
    <w:rsid w:val="00e4579e"/>
    <w:pPr>
      <w:keepNext w:val="true"/>
      <w:keepLines/>
      <w:spacing w:before="200" w:after="0"/>
      <w:outlineLvl w:val="7"/>
    </w:pPr>
    <w:rPr>
      <w:rFonts w:eastAsia="" w:cs="Times New Roman" w:eastAsiaTheme="majorEastAsia"/>
      <w:color w:themeColor="text1" w:val="000000"/>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rPr>
  </w:style>
  <w:style w:type="character" w:styleId="DefaultParagraphFont" w:default="1">
    <w:name w:val="Default Paragraph Font"/>
    <w:uiPriority w:val="1"/>
    <w:semiHidden/>
    <w:unhideWhenUsed/>
    <w:qFormat/>
    <w:rPr/>
  </w:style>
  <w:style w:type="character" w:styleId="CaptionChar" w:customStyle="1">
    <w:name w:val="Caption Char"/>
    <w:basedOn w:val="DefaultParagraphFont"/>
    <w:link w:val="Caption"/>
    <w:qFormat/>
    <w:rsid w:val="00f94e32"/>
    <w:rPr>
      <w:rFonts w:ascii="Times New Roman" w:hAnsi="Times New Roman" w:cs="Times New Roman"/>
      <w:sz w:val="22"/>
      <w:szCs w:val="22"/>
    </w:rPr>
  </w:style>
  <w:style w:type="character" w:styleId="VerbatimChar" w:customStyle="1">
    <w:name w:val="Verbatim Char"/>
    <w:basedOn w:val="CaptionChar"/>
    <w:link w:val="SourceCode"/>
    <w:qFormat/>
    <w:rPr>
      <w:rFonts w:ascii="Consolas" w:hAnsi="Consolas" w:cs="Times New Roman"/>
      <w:sz w:val="22"/>
      <w:szCs w:val="22"/>
    </w:rPr>
  </w:style>
  <w:style w:type="character" w:styleId="SectionNumber" w:customStyle="1">
    <w:name w:val="Section Number"/>
    <w:basedOn w:val="CaptionChar"/>
    <w:qFormat/>
    <w:rPr>
      <w:rFonts w:ascii="Times New Roman" w:hAnsi="Times New Roman" w:cs="Times New Roman"/>
      <w:sz w:val="22"/>
      <w:szCs w:val="22"/>
    </w:rPr>
  </w:style>
  <w:style w:type="character" w:styleId="FootnoteCharacters">
    <w:name w:val="Footnote Characters"/>
    <w:qFormat/>
    <w:rsid w:val="00e25b66"/>
    <w:rPr>
      <w:rFonts w:ascii="Times New Roman" w:hAnsi="Times New Roman" w:cs="Times New Roman"/>
      <w:sz w:val="24"/>
      <w:szCs w:val="22"/>
      <w:vertAlign w:val="superscript"/>
    </w:rPr>
  </w:style>
  <w:style w:type="character" w:styleId="FootnoteReference">
    <w:name w:val="Footnote Reference"/>
    <w:rPr>
      <w:rFonts w:ascii="Times New Roman" w:hAnsi="Times New Roman" w:cs="Times New Roman"/>
      <w:sz w:val="24"/>
      <w:szCs w:val="22"/>
      <w:vertAlign w:val="superscript"/>
    </w:rPr>
  </w:style>
  <w:style w:type="character" w:styleId="Hyperlink">
    <w:name w:val="Hyperlink"/>
    <w:basedOn w:val="CaptionChar"/>
    <w:rsid w:val="00174dc2"/>
    <w:rPr>
      <w:rFonts w:ascii="Times New Roman" w:hAnsi="Times New Roman" w:cs="Times New Roman"/>
      <w:color w:themeColor="text1" w:val="000000"/>
      <w:sz w:val="22"/>
      <w:szCs w:val="22"/>
    </w:rPr>
  </w:style>
  <w:style w:type="character" w:styleId="KeywordTok" w:customStyle="1">
    <w:name w:val="KeywordTok"/>
    <w:basedOn w:val="VerbatimChar"/>
    <w:qFormat/>
    <w:rPr>
      <w:rFonts w:ascii="Consolas" w:hAnsi="Consolas" w:cs="Times New Roman"/>
      <w:b/>
      <w:color w:val="204A87"/>
      <w:sz w:val="22"/>
      <w:szCs w:val="22"/>
      <w:shd w:fill="F8F8F8" w:val="clear"/>
    </w:rPr>
  </w:style>
  <w:style w:type="character" w:styleId="DataTypeTok" w:customStyle="1">
    <w:name w:val="DataTypeTok"/>
    <w:basedOn w:val="VerbatimChar"/>
    <w:qFormat/>
    <w:rPr>
      <w:rFonts w:ascii="Consolas" w:hAnsi="Consolas" w:cs="Times New Roman"/>
      <w:color w:val="204A87"/>
      <w:sz w:val="22"/>
      <w:szCs w:val="22"/>
      <w:shd w:fill="F8F8F8" w:val="clear"/>
    </w:rPr>
  </w:style>
  <w:style w:type="character" w:styleId="DecValTok" w:customStyle="1">
    <w:name w:val="DecValTok"/>
    <w:basedOn w:val="VerbatimChar"/>
    <w:qFormat/>
    <w:rPr>
      <w:rFonts w:ascii="Consolas" w:hAnsi="Consolas" w:cs="Times New Roman"/>
      <w:color w:val="0000CF"/>
      <w:sz w:val="22"/>
      <w:szCs w:val="22"/>
      <w:shd w:fill="F8F8F8" w:val="clear"/>
    </w:rPr>
  </w:style>
  <w:style w:type="character" w:styleId="BaseNTok" w:customStyle="1">
    <w:name w:val="BaseNTok"/>
    <w:basedOn w:val="VerbatimChar"/>
    <w:qFormat/>
    <w:rPr>
      <w:rFonts w:ascii="Consolas" w:hAnsi="Consolas" w:cs="Times New Roman"/>
      <w:color w:val="0000CF"/>
      <w:sz w:val="22"/>
      <w:szCs w:val="22"/>
      <w:shd w:fill="F8F8F8" w:val="clear"/>
    </w:rPr>
  </w:style>
  <w:style w:type="character" w:styleId="FloatTok" w:customStyle="1">
    <w:name w:val="FloatTok"/>
    <w:basedOn w:val="VerbatimChar"/>
    <w:qFormat/>
    <w:rPr>
      <w:rFonts w:ascii="Consolas" w:hAnsi="Consolas" w:cs="Times New Roman"/>
      <w:color w:val="0000CF"/>
      <w:sz w:val="22"/>
      <w:szCs w:val="22"/>
      <w:shd w:fill="F8F8F8" w:val="clear"/>
    </w:rPr>
  </w:style>
  <w:style w:type="character" w:styleId="ConstantTok" w:customStyle="1">
    <w:name w:val="ConstantTok"/>
    <w:basedOn w:val="VerbatimChar"/>
    <w:qFormat/>
    <w:rPr>
      <w:rFonts w:ascii="Consolas" w:hAnsi="Consolas" w:cs="Times New Roman"/>
      <w:color w:val="000000"/>
      <w:sz w:val="22"/>
      <w:szCs w:val="22"/>
      <w:shd w:fill="F8F8F8" w:val="clear"/>
    </w:rPr>
  </w:style>
  <w:style w:type="character" w:styleId="CharTok" w:customStyle="1">
    <w:name w:val="CharTok"/>
    <w:basedOn w:val="VerbatimChar"/>
    <w:qFormat/>
    <w:rPr>
      <w:rFonts w:ascii="Consolas" w:hAnsi="Consolas" w:cs="Times New Roman"/>
      <w:color w:val="4E9A06"/>
      <w:sz w:val="22"/>
      <w:szCs w:val="22"/>
      <w:shd w:fill="F8F8F8" w:val="clear"/>
    </w:rPr>
  </w:style>
  <w:style w:type="character" w:styleId="SpecialCharTok" w:customStyle="1">
    <w:name w:val="SpecialCharTok"/>
    <w:basedOn w:val="VerbatimChar"/>
    <w:qFormat/>
    <w:rPr>
      <w:rFonts w:ascii="Consolas" w:hAnsi="Consolas" w:cs="Times New Roman"/>
      <w:color w:val="000000"/>
      <w:sz w:val="22"/>
      <w:szCs w:val="22"/>
      <w:shd w:fill="F8F8F8" w:val="clear"/>
    </w:rPr>
  </w:style>
  <w:style w:type="character" w:styleId="StringTok" w:customStyle="1">
    <w:name w:val="StringTok"/>
    <w:basedOn w:val="VerbatimChar"/>
    <w:qFormat/>
    <w:rPr>
      <w:rFonts w:ascii="Consolas" w:hAnsi="Consolas" w:cs="Times New Roman"/>
      <w:color w:val="4E9A06"/>
      <w:sz w:val="22"/>
      <w:szCs w:val="22"/>
      <w:shd w:fill="F8F8F8" w:val="clear"/>
    </w:rPr>
  </w:style>
  <w:style w:type="character" w:styleId="VerbatimStringTok" w:customStyle="1">
    <w:name w:val="VerbatimStringTok"/>
    <w:basedOn w:val="VerbatimChar"/>
    <w:qFormat/>
    <w:rPr>
      <w:rFonts w:ascii="Consolas" w:hAnsi="Consolas" w:cs="Times New Roman"/>
      <w:color w:val="4E9A06"/>
      <w:sz w:val="22"/>
      <w:szCs w:val="22"/>
      <w:shd w:fill="F8F8F8" w:val="clear"/>
    </w:rPr>
  </w:style>
  <w:style w:type="character" w:styleId="SpecialStringTok" w:customStyle="1">
    <w:name w:val="SpecialStringTok"/>
    <w:basedOn w:val="VerbatimChar"/>
    <w:qFormat/>
    <w:rPr>
      <w:rFonts w:ascii="Consolas" w:hAnsi="Consolas" w:cs="Times New Roman"/>
      <w:color w:val="4E9A06"/>
      <w:sz w:val="22"/>
      <w:szCs w:val="22"/>
      <w:shd w:fill="F8F8F8" w:val="clear"/>
    </w:rPr>
  </w:style>
  <w:style w:type="character" w:styleId="ImportTok" w:customStyle="1">
    <w:name w:val="ImportTok"/>
    <w:basedOn w:val="VerbatimChar"/>
    <w:qFormat/>
    <w:rPr>
      <w:rFonts w:ascii="Consolas" w:hAnsi="Consolas" w:cs="Times New Roman"/>
      <w:sz w:val="22"/>
      <w:szCs w:val="22"/>
      <w:shd w:fill="F8F8F8" w:val="clear"/>
    </w:rPr>
  </w:style>
  <w:style w:type="character" w:styleId="CommentTok" w:customStyle="1">
    <w:name w:val="CommentTok"/>
    <w:basedOn w:val="VerbatimChar"/>
    <w:qFormat/>
    <w:rPr>
      <w:rFonts w:ascii="Consolas" w:hAnsi="Consolas" w:cs="Times New Roman"/>
      <w:i/>
      <w:color w:val="8F5902"/>
      <w:sz w:val="22"/>
      <w:szCs w:val="22"/>
      <w:shd w:fill="F8F8F8" w:val="clear"/>
    </w:rPr>
  </w:style>
  <w:style w:type="character" w:styleId="DocumentationTok" w:customStyle="1">
    <w:name w:val="DocumentationTok"/>
    <w:basedOn w:val="VerbatimChar"/>
    <w:qFormat/>
    <w:rPr>
      <w:rFonts w:ascii="Consolas" w:hAnsi="Consolas" w:cs="Times New Roman"/>
      <w:b/>
      <w:i/>
      <w:color w:val="8F5902"/>
      <w:sz w:val="22"/>
      <w:szCs w:val="22"/>
      <w:shd w:fill="F8F8F8" w:val="clear"/>
    </w:rPr>
  </w:style>
  <w:style w:type="character" w:styleId="AnnotationTok" w:customStyle="1">
    <w:name w:val="AnnotationTok"/>
    <w:basedOn w:val="VerbatimChar"/>
    <w:qFormat/>
    <w:rPr>
      <w:rFonts w:ascii="Consolas" w:hAnsi="Consolas" w:cs="Times New Roman"/>
      <w:b/>
      <w:i/>
      <w:color w:val="8F5902"/>
      <w:sz w:val="22"/>
      <w:szCs w:val="22"/>
      <w:shd w:fill="F8F8F8" w:val="clear"/>
    </w:rPr>
  </w:style>
  <w:style w:type="character" w:styleId="CommentVarTok" w:customStyle="1">
    <w:name w:val="CommentVarTok"/>
    <w:basedOn w:val="VerbatimChar"/>
    <w:qFormat/>
    <w:rPr>
      <w:rFonts w:ascii="Consolas" w:hAnsi="Consolas" w:cs="Times New Roman"/>
      <w:b/>
      <w:i/>
      <w:color w:val="8F5902"/>
      <w:sz w:val="22"/>
      <w:szCs w:val="22"/>
      <w:shd w:fill="F8F8F8" w:val="clear"/>
    </w:rPr>
  </w:style>
  <w:style w:type="character" w:styleId="OtherTok" w:customStyle="1">
    <w:name w:val="OtherTok"/>
    <w:basedOn w:val="VerbatimChar"/>
    <w:qFormat/>
    <w:rPr>
      <w:rFonts w:ascii="Consolas" w:hAnsi="Consolas" w:cs="Times New Roman"/>
      <w:color w:val="8F5902"/>
      <w:sz w:val="22"/>
      <w:szCs w:val="22"/>
      <w:shd w:fill="F8F8F8" w:val="clear"/>
    </w:rPr>
  </w:style>
  <w:style w:type="character" w:styleId="FunctionTok" w:customStyle="1">
    <w:name w:val="FunctionTok"/>
    <w:basedOn w:val="VerbatimChar"/>
    <w:qFormat/>
    <w:rPr>
      <w:rFonts w:ascii="Consolas" w:hAnsi="Consolas" w:cs="Times New Roman"/>
      <w:color w:val="000000"/>
      <w:sz w:val="22"/>
      <w:szCs w:val="22"/>
      <w:shd w:fill="F8F8F8" w:val="clear"/>
    </w:rPr>
  </w:style>
  <w:style w:type="character" w:styleId="VariableTok" w:customStyle="1">
    <w:name w:val="VariableTok"/>
    <w:basedOn w:val="VerbatimChar"/>
    <w:qFormat/>
    <w:rPr>
      <w:rFonts w:ascii="Consolas" w:hAnsi="Consolas" w:cs="Times New Roman"/>
      <w:color w:val="000000"/>
      <w:sz w:val="22"/>
      <w:szCs w:val="22"/>
      <w:shd w:fill="F8F8F8" w:val="clear"/>
    </w:rPr>
  </w:style>
  <w:style w:type="character" w:styleId="ControlFlowTok" w:customStyle="1">
    <w:name w:val="ControlFlowTok"/>
    <w:basedOn w:val="VerbatimChar"/>
    <w:qFormat/>
    <w:rPr>
      <w:rFonts w:ascii="Consolas" w:hAnsi="Consolas" w:cs="Times New Roman"/>
      <w:b/>
      <w:color w:val="204A87"/>
      <w:sz w:val="22"/>
      <w:szCs w:val="22"/>
      <w:shd w:fill="F8F8F8" w:val="clear"/>
    </w:rPr>
  </w:style>
  <w:style w:type="character" w:styleId="OperatorTok" w:customStyle="1">
    <w:name w:val="OperatorTok"/>
    <w:basedOn w:val="VerbatimChar"/>
    <w:qFormat/>
    <w:rPr>
      <w:rFonts w:ascii="Consolas" w:hAnsi="Consolas" w:cs="Times New Roman"/>
      <w:b/>
      <w:color w:val="CE5C00"/>
      <w:sz w:val="22"/>
      <w:szCs w:val="22"/>
      <w:shd w:fill="F8F8F8" w:val="clear"/>
    </w:rPr>
  </w:style>
  <w:style w:type="character" w:styleId="BuiltInTok" w:customStyle="1">
    <w:name w:val="BuiltInTok"/>
    <w:basedOn w:val="VerbatimChar"/>
    <w:qFormat/>
    <w:rPr>
      <w:rFonts w:ascii="Consolas" w:hAnsi="Consolas" w:cs="Times New Roman"/>
      <w:sz w:val="22"/>
      <w:szCs w:val="22"/>
      <w:shd w:fill="F8F8F8" w:val="clear"/>
    </w:rPr>
  </w:style>
  <w:style w:type="character" w:styleId="ExtensionTok" w:customStyle="1">
    <w:name w:val="ExtensionTok"/>
    <w:basedOn w:val="VerbatimChar"/>
    <w:qFormat/>
    <w:rPr>
      <w:rFonts w:ascii="Consolas" w:hAnsi="Consolas" w:cs="Times New Roman"/>
      <w:sz w:val="22"/>
      <w:szCs w:val="22"/>
      <w:shd w:fill="F8F8F8" w:val="clear"/>
    </w:rPr>
  </w:style>
  <w:style w:type="character" w:styleId="PreprocessorTok" w:customStyle="1">
    <w:name w:val="PreprocessorTok"/>
    <w:basedOn w:val="VerbatimChar"/>
    <w:qFormat/>
    <w:rPr>
      <w:rFonts w:ascii="Consolas" w:hAnsi="Consolas" w:cs="Times New Roman"/>
      <w:i/>
      <w:color w:val="8F5902"/>
      <w:sz w:val="22"/>
      <w:szCs w:val="22"/>
      <w:shd w:fill="F8F8F8" w:val="clear"/>
    </w:rPr>
  </w:style>
  <w:style w:type="character" w:styleId="AttributeTok" w:customStyle="1">
    <w:name w:val="AttributeTok"/>
    <w:basedOn w:val="VerbatimChar"/>
    <w:qFormat/>
    <w:rPr>
      <w:rFonts w:ascii="Consolas" w:hAnsi="Consolas" w:cs="Times New Roman"/>
      <w:color w:val="C4A000"/>
      <w:sz w:val="22"/>
      <w:szCs w:val="22"/>
      <w:shd w:fill="F8F8F8" w:val="clear"/>
    </w:rPr>
  </w:style>
  <w:style w:type="character" w:styleId="RegionMarkerTok" w:customStyle="1">
    <w:name w:val="RegionMarkerTok"/>
    <w:basedOn w:val="VerbatimChar"/>
    <w:qFormat/>
    <w:rPr>
      <w:rFonts w:ascii="Consolas" w:hAnsi="Consolas" w:cs="Times New Roman"/>
      <w:sz w:val="22"/>
      <w:szCs w:val="22"/>
      <w:shd w:fill="F8F8F8" w:val="clear"/>
    </w:rPr>
  </w:style>
  <w:style w:type="character" w:styleId="InformationTok" w:customStyle="1">
    <w:name w:val="InformationTok"/>
    <w:basedOn w:val="VerbatimChar"/>
    <w:qFormat/>
    <w:rPr>
      <w:rFonts w:ascii="Consolas" w:hAnsi="Consolas" w:cs="Times New Roman"/>
      <w:b/>
      <w:i/>
      <w:color w:val="8F5902"/>
      <w:sz w:val="22"/>
      <w:szCs w:val="22"/>
      <w:shd w:fill="F8F8F8" w:val="clear"/>
    </w:rPr>
  </w:style>
  <w:style w:type="character" w:styleId="WarningTok" w:customStyle="1">
    <w:name w:val="WarningTok"/>
    <w:basedOn w:val="VerbatimChar"/>
    <w:qFormat/>
    <w:rPr>
      <w:rFonts w:ascii="Consolas" w:hAnsi="Consolas" w:cs="Times New Roman"/>
      <w:b/>
      <w:i/>
      <w:color w:val="8F5902"/>
      <w:sz w:val="22"/>
      <w:szCs w:val="22"/>
      <w:shd w:fill="F8F8F8" w:val="clear"/>
    </w:rPr>
  </w:style>
  <w:style w:type="character" w:styleId="AlertTok" w:customStyle="1">
    <w:name w:val="AlertTok"/>
    <w:basedOn w:val="VerbatimChar"/>
    <w:qFormat/>
    <w:rPr>
      <w:rFonts w:ascii="Consolas" w:hAnsi="Consolas" w:cs="Times New Roman"/>
      <w:color w:val="EF2929"/>
      <w:sz w:val="22"/>
      <w:szCs w:val="22"/>
      <w:shd w:fill="F8F8F8" w:val="clear"/>
    </w:rPr>
  </w:style>
  <w:style w:type="character" w:styleId="ErrorTok" w:customStyle="1">
    <w:name w:val="ErrorTok"/>
    <w:basedOn w:val="VerbatimChar"/>
    <w:qFormat/>
    <w:rPr>
      <w:rFonts w:ascii="Consolas" w:hAnsi="Consolas" w:cs="Times New Roman"/>
      <w:b/>
      <w:color w:val="A40000"/>
      <w:sz w:val="22"/>
      <w:szCs w:val="22"/>
      <w:shd w:fill="F8F8F8" w:val="clear"/>
    </w:rPr>
  </w:style>
  <w:style w:type="character" w:styleId="NormalTok" w:customStyle="1">
    <w:name w:val="NormalTok"/>
    <w:basedOn w:val="VerbatimChar"/>
    <w:qFormat/>
    <w:rPr>
      <w:rFonts w:ascii="Consolas" w:hAnsi="Consolas" w:cs="Times New Roman"/>
      <w:sz w:val="22"/>
      <w:szCs w:val="22"/>
      <w:shd w:fill="F8F8F8" w:val="clear"/>
    </w:rPr>
  </w:style>
  <w:style w:type="character" w:styleId="BodyTextChar" w:customStyle="1">
    <w:name w:val="Body Text Char"/>
    <w:basedOn w:val="DefaultParagraphFont"/>
    <w:qFormat/>
    <w:rsid w:val="00cf7947"/>
    <w:rPr>
      <w:rFonts w:ascii="Times New Roman" w:hAnsi="Times New Roman"/>
      <w:sz w:val="22"/>
    </w:rPr>
  </w:style>
  <w:style w:type="character" w:styleId="FooterChar" w:customStyle="1">
    <w:name w:val="Footer Char"/>
    <w:basedOn w:val="DefaultParagraphFont"/>
    <w:link w:val="Footer"/>
    <w:semiHidden/>
    <w:qFormat/>
    <w:rsid w:val="00e25b66"/>
    <w:rPr>
      <w:rFonts w:ascii="Times New Roman" w:hAnsi="Times New Roman"/>
      <w:sz w:val="16"/>
    </w:rPr>
  </w:style>
  <w:style w:type="character" w:styleId="LineNumber">
    <w:name w:val="Line Number"/>
    <w:semiHidden/>
    <w:unhideWhenUsed/>
    <w:qFormat/>
    <w:rsid w:val="00b138ae"/>
    <w:rPr/>
  </w:style>
  <w:style w:type="character" w:styleId="HTMLAcronym">
    <w:name w:val="HTML Acronym"/>
    <w:basedOn w:val="DefaultParagraphFont"/>
    <w:unhideWhenUsed/>
    <w:qFormat/>
    <w:rsid w:val="00b503cc"/>
    <w:rPr/>
  </w:style>
  <w:style w:type="character" w:styleId="BodyTextFirstIndentChar" w:customStyle="1">
    <w:name w:val="Body Text First Indent Char"/>
    <w:basedOn w:val="BodyTextChar"/>
    <w:qFormat/>
    <w:rsid w:val="00a63a6b"/>
    <w:rPr>
      <w:rFonts w:ascii="Times New Roman" w:hAnsi="Times New Roman"/>
      <w:sz w:val="22"/>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link w:val="BodyTextChar"/>
    <w:qFormat/>
    <w:rsid w:val="00cf7947"/>
    <w:pPr>
      <w:spacing w:lineRule="auto" w:line="360" w:before="180" w:after="180"/>
      <w:ind w:firstLine="567"/>
      <w:jc w:val="both"/>
    </w:pPr>
    <w:rPr/>
  </w:style>
  <w:style w:type="paragraph" w:styleId="List">
    <w:name w:val="List"/>
    <w:basedOn w:val="Normal"/>
    <w:unhideWhenUsed/>
    <w:rsid w:val="00ed1205"/>
    <w:pPr>
      <w:spacing w:before="0" w:after="200"/>
      <w:ind w:hanging="283" w:left="283"/>
      <w:contextualSpacing/>
    </w:pPr>
    <w:rPr/>
  </w:style>
  <w:style w:type="paragraph" w:styleId="Caption">
    <w:name w:val="Caption"/>
    <w:basedOn w:val="CaptionedFigure"/>
    <w:link w:val="CaptionChar"/>
    <w:qFormat/>
    <w:rsid w:val="00f94e32"/>
    <w:pPr/>
    <w:rPr/>
  </w:style>
  <w:style w:type="paragraph" w:styleId="Index">
    <w:name w:val="Index"/>
    <w:basedOn w:val="Normal"/>
    <w:qFormat/>
    <w:pPr>
      <w:suppressLineNumbers/>
    </w:pPr>
    <w:rPr>
      <w:rFonts w:cs="Lohit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rsid w:val="001e3fd0"/>
    <w:pPr>
      <w:keepNext w:val="true"/>
      <w:keepLines/>
      <w:spacing w:lineRule="auto" w:line="360" w:before="0" w:after="120"/>
      <w:jc w:val="center"/>
    </w:pPr>
    <w:rPr>
      <w:rFonts w:eastAsia="" w:cs="Angsana New" w:eastAsiaTheme="majorEastAsia"/>
      <w:b/>
      <w:bCs/>
      <w:color w:themeColor="text1" w:val="000000"/>
      <w:sz w:val="32"/>
      <w:szCs w:val="32"/>
    </w:rPr>
  </w:style>
  <w:style w:type="paragraph" w:styleId="Subtitle">
    <w:name w:val="Subtitle"/>
    <w:basedOn w:val="Title"/>
    <w:next w:val="BodyText"/>
    <w:qFormat/>
    <w:pPr>
      <w:spacing w:before="240" w:after="120"/>
    </w:pPr>
    <w:rPr>
      <w:sz w:val="30"/>
      <w:szCs w:val="30"/>
    </w:rPr>
  </w:style>
  <w:style w:type="paragraph" w:styleId="Author" w:customStyle="1">
    <w:name w:val="Author"/>
    <w:next w:val="BodyText"/>
    <w:qFormat/>
    <w:rsid w:val="008e6ddd"/>
    <w:pPr>
      <w:keepNext w:val="true"/>
      <w:keepLines/>
      <w:widowControl/>
      <w:suppressAutoHyphens w:val="true"/>
      <w:bidi w:val="0"/>
      <w:spacing w:lineRule="auto" w:line="360" w:before="0" w:after="0"/>
      <w:jc w:val="center"/>
    </w:pPr>
    <w:rPr>
      <w:rFonts w:ascii="Times New Roman" w:hAnsi="Times New Roman" w:eastAsia="Cambria" w:cs="" w:cstheme="minorBidi" w:eastAsiaTheme="minorHAnsi"/>
      <w:color w:val="auto"/>
      <w:kern w:val="0"/>
      <w:sz w:val="22"/>
      <w:szCs w:val="24"/>
      <w:lang w:val="en-US" w:eastAsia="en-US" w:bidi="ar-SA"/>
    </w:rPr>
  </w:style>
  <w:style w:type="paragraph" w:styleId="Date">
    <w:name w:val="Date"/>
    <w:next w:val="BodyText"/>
    <w:qFormat/>
    <w:pPr>
      <w:keepNext w:val="true"/>
      <w:keepLines/>
      <w:widowControl/>
      <w:suppressAutoHyphens w:val="true"/>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 w:customStyle="1">
    <w:name w:val="Abstract"/>
    <w:basedOn w:val="Normal"/>
    <w:next w:val="BodyText"/>
    <w:qFormat/>
    <w:rsid w:val="00ad55a2"/>
    <w:pPr>
      <w:keepNext w:val="true"/>
      <w:keepLines/>
      <w:spacing w:before="300" w:after="300"/>
      <w:jc w:val="center"/>
    </w:pPr>
    <w:rPr>
      <w:b/>
      <w:bCs/>
      <w:sz w:val="32"/>
      <w:szCs w:val="32"/>
    </w:rPr>
  </w:style>
  <w:style w:type="paragraph" w:styleId="Bibliography">
    <w:name w:val="Bibliography"/>
    <w:basedOn w:val="Normal"/>
    <w:qFormat/>
    <w:rsid w:val="00e25b66"/>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rsid w:val="00a73bf1"/>
    <w:pPr>
      <w:spacing w:before="0" w:after="0"/>
    </w:pPr>
    <w:rPr>
      <w:sz w:val="16"/>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BodyText"/>
    <w:qFormat/>
    <w:rsid w:val="001571ea"/>
    <w:pPr>
      <w:spacing w:lineRule="auto" w:line="240"/>
    </w:pPr>
    <w:rPr/>
  </w:style>
  <w:style w:type="paragraph" w:styleId="ImageCaption" w:customStyle="1">
    <w:name w:val="Image Caption"/>
    <w:basedOn w:val="Caption"/>
    <w:qFormat/>
    <w:rsid w:val="00a416b6"/>
    <w:pPr/>
    <w:rPr/>
  </w:style>
  <w:style w:type="paragraph" w:styleId="Figure" w:customStyle="1">
    <w:name w:val="Figure"/>
    <w:basedOn w:val="Normal"/>
    <w:qFormat/>
    <w:pPr/>
    <w:rPr/>
  </w:style>
  <w:style w:type="paragraph" w:styleId="CaptionedFigure" w:customStyle="1">
    <w:name w:val="Captioned Figure"/>
    <w:basedOn w:val="Normal"/>
    <w:qFormat/>
    <w:rsid w:val="00f94e32"/>
    <w:pPr>
      <w:keepNext w:val="true"/>
      <w:spacing w:lineRule="auto" w:line="240"/>
      <w:jc w:val="left"/>
    </w:pPr>
    <w:rPr>
      <w:rFonts w:cs="Times New Roman"/>
      <w:szCs w:val="22"/>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b w:val="false"/>
      <w:bCs w:val="false"/>
      <w:color w:themeColor="accent1" w:themeShade="bf" w:val="365F91"/>
    </w:rPr>
  </w:style>
  <w:style w:type="paragraph" w:styleId="SourceCode" w:customStyle="1">
    <w:name w:val="Source Code"/>
    <w:basedOn w:val="Normal"/>
    <w:link w:val="VerbatimChar"/>
    <w:qFormat/>
    <w:pPr>
      <w:shd w:val="clear" w:color="auto" w:fill="F8F8F8"/>
    </w:pPr>
    <w:rPr/>
  </w:style>
  <w:style w:type="paragraph" w:styleId="HeaderandFooter">
    <w:name w:val="Header and Footer"/>
    <w:basedOn w:val="Normal"/>
    <w:qFormat/>
    <w:pPr/>
    <w:rPr/>
  </w:style>
  <w:style w:type="paragraph" w:styleId="Footer">
    <w:name w:val="Footer"/>
    <w:basedOn w:val="Normal"/>
    <w:link w:val="FooterChar"/>
    <w:semiHidden/>
    <w:unhideWhenUsed/>
    <w:rsid w:val="00e25b66"/>
    <w:pPr>
      <w:suppressLineNumbers/>
      <w:tabs>
        <w:tab w:val="clear" w:pos="720"/>
        <w:tab w:val="center" w:pos="4513" w:leader="none"/>
        <w:tab w:val="right" w:pos="9026" w:leader="none"/>
      </w:tabs>
      <w:spacing w:before="0" w:after="0"/>
    </w:pPr>
    <w:rPr>
      <w:sz w:val="16"/>
    </w:rPr>
  </w:style>
  <w:style w:type="paragraph" w:styleId="BodyTextIndent">
    <w:name w:val="Body Text Indent"/>
    <w:basedOn w:val="BodyText"/>
    <w:link w:val="BodyTextFirstIndentChar"/>
    <w:unhideWhenUsed/>
    <w:qFormat/>
    <w:rsid w:val="00a63a6b"/>
    <w:pPr>
      <w:spacing w:lineRule="auto" w:line="240" w:before="0" w:after="200"/>
      <w:ind w:firstLine="360"/>
      <w:jc w:val="left"/>
    </w:pPr>
    <w:rPr>
      <w:rFonts w:ascii="Cambria" w:hAnsi="Cambria" w:asciiTheme="minorHAnsi" w:hAnsiTheme="minorHAnsi"/>
      <w:sz w:val="24"/>
    </w:rPr>
  </w:style>
  <w:style w:type="paragraph" w:styleId="Index1">
    <w:name w:val="Index 1"/>
    <w:basedOn w:val="Normal"/>
    <w:next w:val="Normal"/>
    <w:autoRedefine/>
    <w:qFormat/>
    <w:rsid w:val="00a63a6b"/>
    <w:pPr>
      <w:spacing w:before="0" w:after="0"/>
      <w:ind w:hanging="240" w:left="240"/>
    </w:pPr>
    <w:rPr/>
  </w:style>
  <w:style w:type="paragraph" w:styleId="Index2">
    <w:name w:val="Index 2"/>
    <w:basedOn w:val="Normal"/>
    <w:next w:val="Normal"/>
    <w:autoRedefine/>
    <w:unhideWhenUsed/>
    <w:qFormat/>
    <w:rsid w:val="00a63a6b"/>
    <w:pPr>
      <w:spacing w:before="0" w:after="0"/>
      <w:ind w:hanging="240" w:left="480"/>
    </w:pPr>
    <w:rPr/>
  </w:style>
  <w:style w:type="paragraph" w:styleId="Index3">
    <w:name w:val="Index 3"/>
    <w:basedOn w:val="Normal"/>
    <w:next w:val="Normal"/>
    <w:autoRedefine/>
    <w:unhideWhenUsed/>
    <w:qFormat/>
    <w:rsid w:val="00a63a6b"/>
    <w:pPr>
      <w:spacing w:before="0" w:after="0"/>
      <w:ind w:hanging="240" w:left="720"/>
    </w:pPr>
    <w:rPr/>
  </w:style>
  <w:style w:type="paragraph" w:styleId="ListBullet3">
    <w:name w:val="List Bullet 3"/>
    <w:basedOn w:val="Normal"/>
    <w:unhideWhenUsed/>
    <w:qFormat/>
    <w:rsid w:val="00ed1205"/>
    <w:pPr>
      <w:spacing w:before="0" w:after="200"/>
      <w:ind w:hanging="283" w:left="566"/>
      <w:contextualSpacing/>
    </w:pPr>
    <w:rPr/>
  </w:style>
  <w:style w:type="paragraph" w:styleId="ListBullet4">
    <w:name w:val="List Bullet 4"/>
    <w:basedOn w:val="Normal"/>
    <w:unhideWhenUsed/>
    <w:qFormat/>
    <w:rsid w:val="00ea0107"/>
    <w:pPr>
      <w:spacing w:before="0" w:after="200"/>
      <w:ind w:hanging="283" w:left="849"/>
      <w:contextualSpacing/>
    </w:pPr>
    <w:rPr/>
  </w:style>
  <w:style w:type="paragraph" w:styleId="ListNumber">
    <w:name w:val="List Number"/>
    <w:basedOn w:val="Normal"/>
    <w:unhideWhenUsed/>
    <w:qFormat/>
    <w:rsid w:val="00f66c3d"/>
    <w:pPr>
      <w:numPr>
        <w:ilvl w:val="0"/>
        <w:numId w:val="3"/>
      </w:numPr>
      <w:spacing w:before="0" w:after="200"/>
      <w:contextualSpacing/>
    </w:pPr>
    <w:rPr/>
  </w:style>
  <w:style w:type="paragraph" w:styleId="ListNumber2">
    <w:name w:val="List Number 2"/>
    <w:basedOn w:val="Normal"/>
    <w:unhideWhenUsed/>
    <w:qFormat/>
    <w:rsid w:val="00f66c3d"/>
    <w:pPr>
      <w:numPr>
        <w:ilvl w:val="0"/>
        <w:numId w:val="2"/>
      </w:numPr>
      <w:spacing w:before="0" w:after="200"/>
      <w:contextualSpacing/>
    </w:pPr>
    <w:rPr/>
  </w:style>
  <w:style w:type="paragraph" w:styleId="ListNumber3">
    <w:name w:val="List Number 3"/>
    <w:basedOn w:val="Normal"/>
    <w:unhideWhenUsed/>
    <w:qFormat/>
    <w:rsid w:val="00f647ab"/>
    <w:pPr>
      <w:numPr>
        <w:ilvl w:val="0"/>
        <w:numId w:val="1"/>
      </w:numPr>
      <w:spacing w:before="0" w:after="200"/>
      <w:contextualSpacing/>
    </w:pPr>
    <w:rPr/>
  </w:style>
  <w:style w:type="paragraph" w:styleId="ListContinue">
    <w:name w:val="List Continue"/>
    <w:basedOn w:val="Normal"/>
    <w:unhideWhenUsed/>
    <w:qFormat/>
    <w:rsid w:val="00ed1205"/>
    <w:pPr>
      <w:spacing w:before="0" w:after="120"/>
      <w:ind w:hanging="0" w:left="283"/>
      <w:contextualSpacing/>
    </w:pPr>
    <w:rPr/>
  </w:style>
  <w:style w:type="paragraph" w:styleId="ListContinue2">
    <w:name w:val="List Continue 2"/>
    <w:basedOn w:val="Normal"/>
    <w:unhideWhenUsed/>
    <w:qFormat/>
    <w:rsid w:val="00ed1205"/>
    <w:pPr>
      <w:spacing w:before="0" w:after="120"/>
      <w:ind w:hanging="0" w:left="566"/>
      <w:contextualSpacing/>
    </w:pPr>
    <w:rPr/>
  </w:style>
  <w:style w:type="paragraph" w:styleId="ListContinue3">
    <w:name w:val="List Continue 3"/>
    <w:basedOn w:val="Normal"/>
    <w:unhideWhenUsed/>
    <w:qFormat/>
    <w:rsid w:val="000a63c5"/>
    <w:pPr>
      <w:spacing w:before="0" w:after="120"/>
      <w:ind w:hanging="0" w:left="849"/>
      <w:contextualSpacing/>
    </w:pPr>
    <w:rPr/>
  </w:style>
  <w:style w:type="paragraph" w:styleId="ListBullet">
    <w:name w:val="List Bullet"/>
    <w:basedOn w:val="Normal"/>
    <w:semiHidden/>
    <w:unhideWhenUsed/>
    <w:qFormat/>
    <w:rsid w:val="00ed1205"/>
    <w:pPr>
      <w:numPr>
        <w:ilvl w:val="0"/>
        <w:numId w:val="5"/>
      </w:numPr>
      <w:spacing w:before="0" w:after="200"/>
      <w:contextualSpacing/>
    </w:pPr>
    <w:rPr/>
  </w:style>
  <w:style w:type="paragraph" w:styleId="ListBullet2">
    <w:name w:val="List Bullet 2"/>
    <w:basedOn w:val="Normal"/>
    <w:semiHidden/>
    <w:unhideWhenUsed/>
    <w:qFormat/>
    <w:rsid w:val="00ed1205"/>
    <w:pPr>
      <w:numPr>
        <w:ilvl w:val="0"/>
        <w:numId w:val="4"/>
      </w:numPr>
      <w:spacing w:before="0" w:after="20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color="auto" w:sz="0" w:space="0"/>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oi.org/10.1093/biolinnean/blx026" TargetMode="External"/><Relationship Id="rId3" Type="http://schemas.openxmlformats.org/officeDocument/2006/relationships/hyperlink" Target="https://doi.org/10.1016/j.gloplacha.2021.103512" TargetMode="External"/><Relationship Id="rId4" Type="http://schemas.openxmlformats.org/officeDocument/2006/relationships/hyperlink" Target="https://doi.org/10.1073/pnas.0811421106" TargetMode="External"/><Relationship Id="rId5" Type="http://schemas.openxmlformats.org/officeDocument/2006/relationships/hyperlink" Target="https://doi.org/10.1098/rspb.2025.1418" TargetMode="External"/><Relationship Id="rId6" Type="http://schemas.openxmlformats.org/officeDocument/2006/relationships/hyperlink" Target="https://doi.org/10.1671/0272-4634(2001)021%5B0172:DTEOTR%5D2.0.CO;2" TargetMode="External"/><Relationship Id="rId7" Type="http://schemas.openxmlformats.org/officeDocument/2006/relationships/hyperlink" Target="https://doi.org/10.1038/302016a0" TargetMode="External"/><Relationship Id="rId8" Type="http://schemas.openxmlformats.org/officeDocument/2006/relationships/hyperlink" Target="https://doi.org/10.1016/j.palaeo.2009.01.004" TargetMode="External"/><Relationship Id="rId9" Type="http://schemas.openxmlformats.org/officeDocument/2006/relationships/hyperlink" Target="https://doi.org/10.1007/s10914-024-09739-y" TargetMode="External"/><Relationship Id="rId10" Type="http://schemas.openxmlformats.org/officeDocument/2006/relationships/hyperlink" Target="https://doi.org/10.5252/geodiversitas2019v41a4" TargetMode="External"/><Relationship Id="rId11" Type="http://schemas.openxmlformats.org/officeDocument/2006/relationships/hyperlink" Target="https://doi.org/10.1126/science.adu0704" TargetMode="External"/><Relationship Id="rId12" Type="http://schemas.openxmlformats.org/officeDocument/2006/relationships/hyperlink" Target="https://doi.org/10.1016/j.earscirev.2021.103640" TargetMode="External"/><Relationship Id="rId13" Type="http://schemas.openxmlformats.org/officeDocument/2006/relationships/hyperlink" Target="https://doi.org/10.1007/s12542-016-0306-8" TargetMode="External"/><Relationship Id="rId14" Type="http://schemas.openxmlformats.org/officeDocument/2006/relationships/hyperlink" Target="https://doi.org/10.1038/s41598-022-26010-7" TargetMode="External"/><Relationship Id="rId15" Type="http://schemas.openxmlformats.org/officeDocument/2006/relationships/hyperlink" Target="https://doi.org/10.1073/pnas.2419520122" TargetMode="External"/><Relationship Id="rId16" Type="http://schemas.openxmlformats.org/officeDocument/2006/relationships/hyperlink" Target="https://doi.org/10.1101/2025.02.27.640393" TargetMode="External"/><Relationship Id="rId17" Type="http://schemas.openxmlformats.org/officeDocument/2006/relationships/hyperlink" Target="https://doi.org/10.1111/let.12015" TargetMode="External"/><Relationship Id="rId18" Type="http://schemas.openxmlformats.org/officeDocument/2006/relationships/hyperlink" Target="https://doi.org/10.1007/s12542-015-0267-3" TargetMode="External"/><Relationship Id="rId19" Type="http://schemas.openxmlformats.org/officeDocument/2006/relationships/hyperlink" Target="https://doi.org/10.1073/pnas.1606868114" TargetMode="External"/><Relationship Id="rId20" Type="http://schemas.openxmlformats.org/officeDocument/2006/relationships/hyperlink" Target="https://doi.org/10.18814/epiiugs/2025/025001" TargetMode="External"/><Relationship Id="rId21" Type="http://schemas.openxmlformats.org/officeDocument/2006/relationships/hyperlink" Target="https://doi.org/10.1093/sysbio/syy009" TargetMode="External"/><Relationship Id="rId22" Type="http://schemas.openxmlformats.org/officeDocument/2006/relationships/hyperlink" Target="https://doi.org/10.1111/ele.13382" TargetMode="External"/><Relationship Id="rId23" Type="http://schemas.openxmlformats.org/officeDocument/2006/relationships/hyperlink" Target="https://doi.org/10.1073/pnas.2005571117" TargetMode="External"/><Relationship Id="rId24" Type="http://schemas.openxmlformats.org/officeDocument/2006/relationships/hyperlink" Target="https://doi.org/10.1111/2041-210X.70070" TargetMode="External"/><Relationship Id="rId25" Type="http://schemas.openxmlformats.org/officeDocument/2006/relationships/hyperlink" Target="https://doi.org/10.1038/s41467-024-48434-7" TargetMode="External"/><Relationship Id="rId26" Type="http://schemas.openxmlformats.org/officeDocument/2006/relationships/hyperlink" Target="https://doi.org/10.1144/jgs2020-188" TargetMode="External"/><Relationship Id="rId27" Type="http://schemas.openxmlformats.org/officeDocument/2006/relationships/hyperlink" Target="https://doi.org/10.1007/s10914-023-09675-3" TargetMode="External"/><Relationship Id="rId28" Type="http://schemas.openxmlformats.org/officeDocument/2006/relationships/hyperlink" Target="https://doi.org/10.1038/365748a0" TargetMode="External"/><Relationship Id="rId29" Type="http://schemas.openxmlformats.org/officeDocument/2006/relationships/hyperlink" Target="https://doi.org/10.1111/j.1469-185X.2011.00176.x" TargetMode="External"/><Relationship Id="rId30" Type="http://schemas.openxmlformats.org/officeDocument/2006/relationships/hyperlink" Target="https://doi.org/10.1093/sysbio/syw020" TargetMode="External"/><Relationship Id="rId31" Type="http://schemas.openxmlformats.org/officeDocument/2006/relationships/hyperlink" Target="https://doi.org/10.1130/B30660.1" TargetMode="External"/><Relationship Id="rId32" Type="http://schemas.openxmlformats.org/officeDocument/2006/relationships/hyperlink" Target="https://doi.org/10.1098/rspb.2025.2245" TargetMode="External"/><Relationship Id="rId33" Type="http://schemas.openxmlformats.org/officeDocument/2006/relationships/hyperlink" Target="https://doi.org/10.1098/rspb.2011.1439" TargetMode="External"/><Relationship Id="rId34" Type="http://schemas.openxmlformats.org/officeDocument/2006/relationships/hyperlink" Target="https://www.jstor.org/stable/26519218" TargetMode="External"/><Relationship Id="rId35" Type="http://schemas.openxmlformats.org/officeDocument/2006/relationships/hyperlink" Target="https://doi.org/10.5710/PEAPA.01.11.2019.309" TargetMode="External"/><Relationship Id="rId36" Type="http://schemas.openxmlformats.org/officeDocument/2006/relationships/hyperlink" Target="https://doi.org/10.1038/s41467-022-30507-0" TargetMode="External"/><Relationship Id="rId37" Type="http://schemas.openxmlformats.org/officeDocument/2006/relationships/hyperlink" Target="https://doi.org/10.1017/S0094837300015864" TargetMode="External"/><Relationship Id="rId38" Type="http://schemas.openxmlformats.org/officeDocument/2006/relationships/hyperlink" Target="https://doi.org/10.1146/annurev.ecolsys.28.1.129" TargetMode="External"/><Relationship Id="rId39" Type="http://schemas.openxmlformats.org/officeDocument/2006/relationships/hyperlink" Target="https://doi.org/10.1590/1809-4392202103601" TargetMode="External"/><Relationship Id="rId40" Type="http://schemas.openxmlformats.org/officeDocument/2006/relationships/hyperlink" Target="https://doi.org/10.1093/sysbio/syx082" TargetMode="External"/><Relationship Id="rId41" Type="http://schemas.openxmlformats.org/officeDocument/2006/relationships/hyperlink" Target="https://doi.org/10.1126/sciadv.adl2643" TargetMode="External"/><Relationship Id="rId42" Type="http://schemas.openxmlformats.org/officeDocument/2006/relationships/hyperlink" Target="https://doi.org/10.1016/j.jsames.2005.06.007" TargetMode="External"/><Relationship Id="rId43" Type="http://schemas.openxmlformats.org/officeDocument/2006/relationships/hyperlink" Target="https://doi.org/10.1093/botlinnean/boab098" TargetMode="External"/><Relationship Id="rId44" Type="http://schemas.openxmlformats.org/officeDocument/2006/relationships/hyperlink" Target="https://doi.org/10.1130/0091-7613(1995)023%3C0237:ATAACF%3E2.3.CO;2" TargetMode="External"/><Relationship Id="rId45" Type="http://schemas.openxmlformats.org/officeDocument/2006/relationships/hyperlink" Target="https://doi.org/10.1126/science.1194585" TargetMode="External"/><Relationship Id="rId46" Type="http://schemas.openxmlformats.org/officeDocument/2006/relationships/hyperlink" Target="https://doi.org/10.1016/j.palaeo.2025.113076" TargetMode="External"/><Relationship Id="rId47" Type="http://schemas.openxmlformats.org/officeDocument/2006/relationships/hyperlink" Target="https://doi.org/10.1126/sciadv.1601693" TargetMode="External"/><Relationship Id="rId48" Type="http://schemas.openxmlformats.org/officeDocument/2006/relationships/hyperlink" Target="https://doi.org/10.1016/j.palaeo.2012.09.001" TargetMode="External"/><Relationship Id="rId49" Type="http://schemas.openxmlformats.org/officeDocument/2006/relationships/hyperlink" Target="https://doi.org/10.1038/s41598-017-05263-7" TargetMode="External"/><Relationship Id="rId50" Type="http://schemas.openxmlformats.org/officeDocument/2006/relationships/hyperlink" Target="https://doi.org/10.1073/pnas.0709763105" TargetMode="External"/><Relationship Id="rId51" Type="http://schemas.openxmlformats.org/officeDocument/2006/relationships/hyperlink" Target="https://doi.org/10.1093/sysbio/syq052" TargetMode="External"/><Relationship Id="rId52" Type="http://schemas.openxmlformats.org/officeDocument/2006/relationships/hyperlink" Target="https://doi.org/10.1111/j.1365-2699.2005.01314.x" TargetMode="External"/><Relationship Id="rId53" Type="http://schemas.openxmlformats.org/officeDocument/2006/relationships/hyperlink" Target="https://doi.org/10.1146/annurev.ecolsys.31.1.33" TargetMode="External"/><Relationship Id="rId54" Type="http://schemas.openxmlformats.org/officeDocument/2006/relationships/hyperlink" Target="https://doi.org/10.1206/0003-0090-363.1.1" TargetMode="External"/><Relationship Id="rId55" Type="http://schemas.openxmlformats.org/officeDocument/2006/relationships/hyperlink" Target="https://doi.org/10.1098/rspb.2024.2932" TargetMode="External"/><Relationship Id="rId56" Type="http://schemas.openxmlformats.org/officeDocument/2006/relationships/hyperlink" Target="https://doi.org/10.1007/s10914-022-09631-7" TargetMode="External"/><Relationship Id="rId57" Type="http://schemas.openxmlformats.org/officeDocument/2006/relationships/hyperlink" Target="https://doi.org/10.1098/rspb.2019.2806" TargetMode="External"/><Relationship Id="rId58" Type="http://schemas.openxmlformats.org/officeDocument/2006/relationships/hyperlink" Target="https://www.jstor.org/stable/1688046" TargetMode="External"/><Relationship Id="rId59" Type="http://schemas.openxmlformats.org/officeDocument/2006/relationships/hyperlink" Target="https://doi.org/10.1006/qres.1998.1977" TargetMode="External"/><Relationship Id="rId60" Type="http://schemas.openxmlformats.org/officeDocument/2006/relationships/hyperlink" Target="https://doi.org/10.1098/rspb.2007.1056" TargetMode="External"/><Relationship Id="rId61" Type="http://schemas.openxmlformats.org/officeDocument/2006/relationships/hyperlink" Target="https://doi.org/10.1126/sciadv.aaz1346" TargetMode="External"/><Relationship Id="rId62" Type="http://schemas.openxmlformats.org/officeDocument/2006/relationships/hyperlink" Target="https://doi.org/10.1007/BF02988789" TargetMode="External"/><Relationship Id="rId63" Type="http://schemas.openxmlformats.org/officeDocument/2006/relationships/hyperlink" Target="https://doi.org/10.1146/annurev-ecolsys-102722-020508" TargetMode="External"/><Relationship Id="rId64" Type="http://schemas.openxmlformats.org/officeDocument/2006/relationships/hyperlink" Target="https://doi.org/10.5710/AMGH.07.07.2023.3551" TargetMode="External"/><Relationship Id="rId65" Type="http://schemas.openxmlformats.org/officeDocument/2006/relationships/hyperlink" Target="https://doi.org/10.1017/pab.2025.10086" TargetMode="External"/><Relationship Id="rId66" Type="http://schemas.openxmlformats.org/officeDocument/2006/relationships/hyperlink" Target="https://doi.org/10.1016/B978-0-12-824360-2.00005-X" TargetMode="External"/><Relationship Id="rId67" Type="http://schemas.openxmlformats.org/officeDocument/2006/relationships/hyperlink" Target="https://doi.org/10.15366/archaeofauna2012.21.013" TargetMode="External"/><Relationship Id="rId68" Type="http://schemas.openxmlformats.org/officeDocument/2006/relationships/hyperlink" Target="https://discovery.ucl.ac.uk/id/eprint/10220325/" TargetMode="External"/><Relationship Id="rId69" Type="http://schemas.openxmlformats.org/officeDocument/2006/relationships/hyperlink" Target="https://doi.org/10.1038/ncomms2299" TargetMode="External"/><Relationship Id="rId70" Type="http://schemas.openxmlformats.org/officeDocument/2006/relationships/hyperlink" Target="https://press.uchicago.edu/ucp/books/book/chicago/M/bo18553844.html" TargetMode="External"/><Relationship Id="rId71" Type="http://schemas.openxmlformats.org/officeDocument/2006/relationships/hyperlink" Target="https://doi.org/10.1080/02724634.2010.522432" TargetMode="External"/><Relationship Id="rId72" Type="http://schemas.openxmlformats.org/officeDocument/2006/relationships/hyperlink" Target="https://doi.org/10.1080/08912963.2017.1294168" TargetMode="External"/><Relationship Id="rId73" Type="http://schemas.openxmlformats.org/officeDocument/2006/relationships/hyperlink" Target="https://doi.org/10.1111/joa.13430" TargetMode="External"/><Relationship Id="rId74" Type="http://schemas.openxmlformats.org/officeDocument/2006/relationships/hyperlink" Target="https://doi.org/10.1080/08912963.2024.2390518" TargetMode="External"/><Relationship Id="rId75" Type="http://schemas.openxmlformats.org/officeDocument/2006/relationships/hyperlink" Target="https://doi.org/10.1098/rspb.2007.1645" TargetMode="External"/><Relationship Id="rId76" Type="http://schemas.openxmlformats.org/officeDocument/2006/relationships/hyperlink" Target="https://doi.org/10.1093/jmammal/gyz194" TargetMode="External"/><Relationship Id="rId77" Type="http://schemas.openxmlformats.org/officeDocument/2006/relationships/hyperlink" Target="https://doi.org/10.1098/rspb.2014.2490" TargetMode="External"/><Relationship Id="rId78" Type="http://schemas.openxmlformats.org/officeDocument/2006/relationships/hyperlink" Target="https://doi.org/10.1126/science.1089332" TargetMode="External"/><Relationship Id="rId79" Type="http://schemas.openxmlformats.org/officeDocument/2006/relationships/hyperlink" Target="https://doi.org/10.1073/pnas.1502803112" TargetMode="External"/><Relationship Id="rId80" Type="http://schemas.openxmlformats.org/officeDocument/2006/relationships/hyperlink" Target="https://doi.org/10.1017/pab.2019.23" TargetMode="External"/><Relationship Id="rId81" Type="http://schemas.openxmlformats.org/officeDocument/2006/relationships/hyperlink" Target="https://doi.org/10.1111/2041-210X.12263" TargetMode="External"/><Relationship Id="rId82" Type="http://schemas.openxmlformats.org/officeDocument/2006/relationships/hyperlink" Target="https://doi.org/10.1016/j.gr.2024.08.002" TargetMode="External"/><Relationship Id="rId83" Type="http://schemas.openxmlformats.org/officeDocument/2006/relationships/hyperlink" Target="https://doi.org/10.1038/ncomms2508" TargetMode="External"/><Relationship Id="rId84" Type="http://schemas.openxmlformats.org/officeDocument/2006/relationships/hyperlink" Target="https://doi.org/10.1111/geb.70024" TargetMode="External"/><Relationship Id="rId85" Type="http://schemas.openxmlformats.org/officeDocument/2006/relationships/hyperlink" Target="https://doi.org/10.1038/s41598-022-05266-z" TargetMode="External"/><Relationship Id="rId86" Type="http://schemas.openxmlformats.org/officeDocument/2006/relationships/hyperlink" Target="https://doi.org/10.5281/zenodo.18135819" TargetMode="External"/><Relationship Id="rId87" Type="http://schemas.openxmlformats.org/officeDocument/2006/relationships/hyperlink" Target="https://doi.org/10.1038/s41598-023-28497-0" TargetMode="External"/><Relationship Id="rId88" Type="http://schemas.openxmlformats.org/officeDocument/2006/relationships/hyperlink" Target="https://doi.org/10.1111/j.1558-5646.1960.tb03121.x" TargetMode="External"/><Relationship Id="rId89" Type="http://schemas.openxmlformats.org/officeDocument/2006/relationships/hyperlink" Target="https://doi.org/10.1073/pnas.2309945120" TargetMode="External"/><Relationship Id="rId90" Type="http://schemas.openxmlformats.org/officeDocument/2006/relationships/hyperlink" Target="https://doi.org/10.1126/science.aba6853" TargetMode="External"/><Relationship Id="rId91" Type="http://schemas.openxmlformats.org/officeDocument/2006/relationships/hyperlink" Target="https://doi.org/10.1093/molbev/msaa189" TargetMode="External"/><Relationship Id="rId92" Type="http://schemas.openxmlformats.org/officeDocument/2006/relationships/image" Target="media/image1.png"/><Relationship Id="rId93" Type="http://schemas.openxmlformats.org/officeDocument/2006/relationships/image" Target="media/image2.png"/><Relationship Id="rId94" Type="http://schemas.openxmlformats.org/officeDocument/2006/relationships/image" Target="media/image3.png"/><Relationship Id="rId95" Type="http://schemas.openxmlformats.org/officeDocument/2006/relationships/footnotes" Target="footnotes.xml"/><Relationship Id="rId96" Type="http://schemas.openxmlformats.org/officeDocument/2006/relationships/numbering" Target="numbering.xml"/><Relationship Id="rId97" Type="http://schemas.openxmlformats.org/officeDocument/2006/relationships/fontTable" Target="fontTable.xml"/><Relationship Id="rId98" Type="http://schemas.openxmlformats.org/officeDocument/2006/relationships/settings" Target="settings.xml"/><Relationship Id="rId9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42</TotalTime>
  <Application>LibreOffice/24.2.7.2$Linux_X86_64 LibreOffice_project/420$Build-2</Application>
  <AppVersion>15.0000</AppVersion>
  <Pages>24</Pages>
  <Words>8629</Words>
  <Characters>50543</Characters>
  <CharactersWithSpaces>58942</CharactersWithSpaces>
  <Paragraphs>212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2026-02-20T15:58:11Z</dcterms:created>
  <dc:creator>Lucas Buffan¹*, Myriam Boivin²*, Alicia Álvarez², Fabien L. Condamine¹, Laurent Marivaux¹</dc:creator>
  <dc:description/>
  <dc:language>en-GB</dc:language>
  <cp:lastModifiedBy>Lucas Buffan</cp:lastModifiedBy>
  <dcterms:modified xsi:type="dcterms:W3CDTF">2026-02-20T17:00:08Z</dcterms:modified>
  <cp:revision>1</cp:revision>
  <dc:subject/>
  <dc:title>A matter of size: what underpinned the emergence and demise of the largest rodents that ever lived?</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evolution.csl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