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0.png" ContentType="image/png"/>
  <Override PartName="/word/media/rId292.png" ContentType="image/png"/>
  <Override PartName="/word/media/rId304.png" ContentType="image/png"/>
  <Override PartName="/word/media/rId283.png" ContentType="image/png"/>
  <Override PartName="/word/media/rId296.png" ContentType="image/png"/>
  <Override PartName="/word/media/rId2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S2).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S6).</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S3). In parallel, the same database was analysed using the Birth–Death model with Constrained Shifts (BDCS)</w:t>
      </w:r>
      <w:r>
        <w:t xml:space="preserve"> </w:t>
      </w:r>
      <w:r>
        <w:t xml:space="preserve">(Silvestro et al. 2015)</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75db3102b6311903541c0c2dfd3db271caf4b60"/>
    <w:p>
      <w:pPr>
        <w:pStyle w:val="Heading2"/>
      </w:pPr>
      <w:r>
        <w:t xml:space="preserve">The coupled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S9 C) or when excluding singletons from the species-level dataset (Figure S7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S5 A). This result aligns with the output of the MBD model, where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S19).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S15-S16). Also, the coefficients of rate variation across the ten imputation replicates, not differing from expectations under a constant-rate birth–death model (0.25</w:t>
      </w:r>
      <w:r>
        <w:t xml:space="preserve"> </w:t>
      </w:r>
      <w:r>
        <w:rPr>
          <w:i/>
          <w:iCs/>
        </w:rPr>
        <w:t xml:space="preserve">vs</w:t>
      </w:r>
      <w:r>
        <w:t xml:space="preserve">. 0.23, Table S4), suggested an absence of significant speciation rate variation across lineages. It should be noted that the overall speciation rate value was conserved across the three methods, nearing 0.6 event per lineage per million years (</w:t>
      </w:r>
      <w:hyperlink w:anchor="fig-diversification">
        <w:r>
          <w:rPr>
            <w:rStyle w:val="Hyperlink"/>
          </w:rPr>
          <w:t xml:space="preserve">Figure 5</w:t>
        </w:r>
      </w:hyperlink>
      <w:r>
        <w:t xml:space="preserve"> </w:t>
      </w:r>
      <w:r>
        <w:t xml:space="preserve">A, C, E, G).</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S11)</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S9-S10). This shift was also detected by the BDCS, BDNN and the MBD models, but these three models captured an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 except for</w:t>
      </w:r>
      <w:r>
        <w:t xml:space="preserve"> </w:t>
      </w:r>
      <w:r>
        <w:rPr>
          <w:i/>
          <w:iCs/>
        </w:rPr>
        <w:t xml:space="preserve">D. branickii</w:t>
      </w:r>
      <w:r>
        <w:t xml:space="preserve">, for which the difference was way more pronounced, as we tailored our sampling scheme to (Figure S2 and</w:t>
      </w:r>
      <w:r>
        <w:t xml:space="preserve"> </w:t>
      </w:r>
      <w:r>
        <w:rPr>
          <w:i/>
          <w:iCs/>
        </w:rPr>
        <w:t xml:space="preserve">Methods</w:t>
      </w:r>
      <w:r>
        <w:t xml:space="preserve">). Incorporating this sampling scheme instead of assigning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extant taxa had a pronounced effect on diversification rate estimation (Figure S1). In particular, assigning modern-aged occurrences to the seven species lacking fossil evidence yielded to a massive speciation rate increase (going up to 3 events/lineage/Myr) in the early Pleistocene (</w:t>
      </w:r>
      <w:r>
        <w:rPr>
          <w:i/>
          <w:iCs/>
        </w:rPr>
        <w:t xml:space="preserve">ca</w:t>
      </w:r>
      <w:r>
        <w:t xml:space="preserve">. 2.5 Ma, Figure S1 A), which totally disappeared when considering the ages obtained from our sampling scheme (</w:t>
      </w:r>
      <w:hyperlink w:anchor="fig-diversification">
        <w:r>
          <w:rPr>
            <w:rStyle w:val="Hyperlink"/>
          </w:rPr>
          <w:t xml:space="preserve">Figure 5</w:t>
        </w:r>
      </w:hyperlink>
      <w:r>
        <w:t xml:space="preserve"> </w:t>
      </w:r>
      <w:r>
        <w:t xml:space="preserve">A and Figure S1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 xml:space="preserve">Figure 5</w:t>
        </w:r>
      </w:hyperlink>
      <w:r>
        <w:t xml:space="preserve"> </w:t>
      </w:r>
      <w:r>
        <w:t xml:space="preserve">B and Figure S1 C-D).</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were the Andean uplift, body mass and latitude (Table S6). We document a non-linear relationship between extinction rate and the Andean uplift. Lineages from intervals where average Andean elevation was relatively low (900–1400 m) are indeed associated with nearly stable rates. On the contrary, for chinchilloid lineages from intervals of higher average elevation (&gt;1500 m), we report a positive relationship between the Andean elevation and extinction rate (</w:t>
      </w:r>
      <w:hyperlink w:anchor="fig-ExtinctionDrivers">
        <w:r>
          <w:rPr>
            <w:rStyle w:val="Hyperlink"/>
          </w:rPr>
          <w:t xml:space="preserve">Figure 6</w:t>
        </w:r>
      </w:hyperlink>
      <w:r>
        <w:t xml:space="preserve"> </w:t>
      </w:r>
      <w:r>
        <w:t xml:space="preserve">C). Furthermore, we evidenced that larger-bodied species had higher extinction rates than smaller-bodied species, with up to a 1.91-fold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qualitatively corroborated this result, with larger-bodied categories (L, XL and to some extent XXL) indeed associated to larger extinction rates than smaller-bodied categories (S, M, L) (Figure S13 B). These analyses also indicate that the aforementioned Late Miocene increase in chinchilloid extinction rate was mainly driven by large body-size classes (Figure S14). Note that, as highlighted by our binned body mass through time reconstruction, these forms were more abundant at that time (</w:t>
      </w:r>
      <w:hyperlink w:anchor="fig-diversityBM">
        <w:r>
          <w:rPr>
            <w:rStyle w:val="Hyperlink"/>
          </w:rPr>
          <w:t xml:space="preserve">Figure 3</w:t>
        </w:r>
      </w:hyperlink>
      <w:r>
        <w:t xml:space="preserve"> </w:t>
      </w:r>
      <w:r>
        <w:t xml:space="preserve">C). Last, on average, tropical species were found to have 1.52-times lower extinction rates than extra-tropical species (</w:t>
      </w:r>
      <w:hyperlink w:anchor="fig-ExtinctionDrivers">
        <w:r>
          <w:rPr>
            <w:rStyle w:val="Hyperlink"/>
          </w:rPr>
          <w:t xml:space="preserve">Figure 6</w:t>
        </w:r>
      </w:hyperlink>
      <w:r>
        <w:t xml:space="preserve"> </w:t>
      </w:r>
      <w:r>
        <w:t xml:space="preserve">C, Table S8). We might precise that, in our BDNN analyses, time was always ranked as the least important predictor (Table S6), suggesting our environmental and trait variables effectively captured signals of rate variation.</w:t>
      </w:r>
    </w:p>
    <w:p>
      <w:pPr>
        <w:pStyle w:val="BodyText"/>
      </w:pPr>
      <w:r>
        <w:t xml:space="preserve">The outcome of our MBD analysis suggested that the factors that influenced extinction rate variations across time drastically differed from those that influenced variations in extinction rates across lineages. Indeed, Chinchilloid extinction rate through time appeared positively correlated to sea-level changes (</w:t>
      </w:r>
      <w:hyperlink w:anchor="fig-ExtinctionDrivers">
        <w:r>
          <w:rPr>
            <w:rStyle w:val="Hyperlink"/>
          </w:rPr>
          <w:t xml:space="preserve">Figure 6</w:t>
        </w:r>
      </w:hyperlink>
      <w:r>
        <w:t xml:space="preserve"> </w:t>
      </w:r>
      <w:r>
        <w:t xml:space="preserve">D), whereas sea level ranked among the least important predictors for extinction rate variations across lineages by BDNN (Table S6).</w:t>
      </w:r>
    </w:p>
    <w:p>
      <w:pPr>
        <w:pStyle w:val="BodyText"/>
      </w:pPr>
      <w:r>
        <w:t xml:space="preserve">the only factor that was found to significantly correlate with extinction rates is the sea level, ranked very low by the BDNN model (Table S6)</w:t>
      </w:r>
    </w:p>
    <w:p>
      <w:pPr>
        <w:pStyle w:val="BodyText"/>
      </w:pPr>
      <w:r>
        <w:t xml:space="preserve">Last, we found support for a significant age-dependent extinction pattern after the late Miocene extinction rate shift that we evidenced, with extinction rate decreasing with increasing species age (Weibull shape</w:t>
      </w:r>
      <w:r>
        <w:t xml:space="preserve"> </w:t>
      </w:r>
      <m:oMath>
        <m:r>
          <m:t>Φ</m:t>
        </m:r>
        <m:r>
          <m:rPr>
            <m:sty m:val="p"/>
          </m:rPr>
          <m:t>&lt;</m:t>
        </m:r>
        <m:r>
          <m:t>1</m:t>
        </m:r>
      </m:oMath>
      <w:r>
        <w:t xml:space="preserve">, Figure S8).</w:t>
      </w:r>
    </w:p>
    <w:bookmarkEnd w:id="38"/>
    <w:bookmarkEnd w:id="39"/>
    <w:bookmarkStart w:id="49"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(2026)</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hippopotamoids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40"/>
    <w:bookmarkStart w:id="43"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t xml:space="preserve">Hypsodonty appears close to the podium. However, the imbalance in the size of the different crown height classes potentially challenge accurate estimations of diversification rates in the lower crown classes (Figure Supp hypsoclass).</w:t>
      </w:r>
    </w:p>
    <w:p>
      <w:pPr>
        <w:pStyle w:val="BodyText"/>
      </w:pPr>
      <w:r>
        <w:rPr>
          <w:b/>
          <w:bCs/>
        </w:rPr>
        <w:t xml:space="preserve">Cope’s rule: what drives patters of size increase throughout the history of the clades?</w:t>
      </w:r>
    </w:p>
    <w:bookmarkStart w:id="41"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1"/>
    <w:bookmarkStart w:id="42"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2"/>
    <w:bookmarkEnd w:id="43"/>
    <w:bookmarkStart w:id="44" w:name="body-mass"/>
    <w:p>
      <w:pPr>
        <w:pStyle w:val="Heading2"/>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bookmarkEnd w:id="44"/>
    <w:bookmarkStart w:id="45" w:name="Xd2c0d53595e778095dbeec4b0f1d2e20be5af53"/>
    <w:p>
      <w:pPr>
        <w:pStyle w:val="Heading2"/>
      </w:pPr>
      <w:r>
        <w:t xml:space="preserve">A new avenue for combining palaeontological and neontological data</w:t>
      </w:r>
    </w:p>
    <w:p>
      <w:pPr>
        <w:pStyle w:val="FirstParagraph"/>
      </w:pPr>
      <w:r>
        <w:t xml:space="preserve">Our method cannot be validated with simulations and has some part of arbitrary in the sense that the user is expected to define the</w:t>
      </w:r>
      <w:r>
        <w:t xml:space="preserve"> </w:t>
      </w:r>
      <m:oMath>
        <m:r>
          <m:t>α</m:t>
        </m:r>
      </m:oMath>
      <w:r>
        <w:t xml:space="preserve">-threshold</w:t>
      </w:r>
    </w:p>
    <w:bookmarkEnd w:id="45"/>
    <w:bookmarkStart w:id="48" w:name="limitations-and-perspectives"/>
    <w:p>
      <w:pPr>
        <w:pStyle w:val="Heading2"/>
      </w:pPr>
      <w:r>
        <w:t xml:space="preserve">Limitations and perspectives</w:t>
      </w:r>
    </w:p>
    <w:bookmarkStart w:id="46" w:name="taxonomic-uncertainties"/>
    <w:p>
      <w:pPr>
        <w:pStyle w:val="Heading3"/>
      </w:pPr>
      <w:r>
        <w:t xml:space="preserve">Taxonomic uncertainties</w:t>
      </w:r>
    </w:p>
    <w:p>
      <w:pPr>
        <w:pStyle w:val="FirstParagraph"/>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6"/>
    <w:bookmarkStart w:id="47"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7"/>
    <w:bookmarkEnd w:id="48"/>
    <w:bookmarkEnd w:id="49"/>
    <w:bookmarkStart w:id="50" w:name="conclusions"/>
    <w:p>
      <w:pPr>
        <w:pStyle w:val="Heading1"/>
      </w:pPr>
      <w:r>
        <w:t xml:space="preserve">Conclusions</w:t>
      </w:r>
    </w:p>
    <w:bookmarkEnd w:id="50"/>
    <w:bookmarkStart w:id="51"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51"/>
    <w:bookmarkStart w:id="282" w:name="references"/>
    <w:p>
      <w:pPr>
        <w:pStyle w:val="Heading1"/>
      </w:pPr>
      <w:r>
        <w:t xml:space="preserve">References</w:t>
      </w:r>
    </w:p>
    <w:bookmarkStart w:id="281" w:name="refs"/>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25"/>
    <w:p>
      <w:pPr>
        <w:pStyle w:val="Bibliography"/>
      </w:pPr>
      <w:r>
        <w:t xml:space="preserve">Antoine, P.-O., D. Becker, L. Pandolfi, and D. Geraads. 2025.</w:t>
      </w:r>
      <w:r>
        <w:t xml:space="preserve"> </w:t>
      </w:r>
      <w:hyperlink r:id="rId54">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Tracing the impact of the andean uplift on neotropical plant evolution</w:t>
        </w:r>
      </w:hyperlink>
      <w:r>
        <w:t xml:space="preserve">. Proceedings of the National Academy of Sciences 106:9749–9754.</w:t>
      </w:r>
    </w:p>
    <w:bookmarkEnd w:id="59"/>
    <w:bookmarkStart w:id="61" w:name="ref-armella2026"/>
    <w:p>
      <w:pPr>
        <w:pStyle w:val="Bibliography"/>
      </w:pPr>
      <w:r>
        <w:t xml:space="preserve">Armella, M. A., and D. A. Croft. 2026.</w:t>
      </w:r>
      <w:r>
        <w:t xml:space="preserve"> </w:t>
      </w:r>
      <w:hyperlink r:id="rId60">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1"/>
    <w:bookmarkStart w:id="63" w:name="ref-balseiro2025"/>
    <w:p>
      <w:pPr>
        <w:pStyle w:val="Bibliography"/>
      </w:pPr>
      <w:r>
        <w:t xml:space="preserve">Balseiro, D., F. Serra, and A. Bignon. 2025. Extinction drives both expansion and contraction of morphological disparity in trilobites. Proceedings B, doi:</w:t>
      </w:r>
      <w:r>
        <w:t xml:space="preserve"> </w:t>
      </w:r>
      <w:hyperlink r:id="rId62">
        <w:r>
          <w:rPr>
            <w:rStyle w:val="Hyperlink"/>
          </w:rPr>
          <w:t xml:space="preserve">10.1098/rspb.2025.1418</w:t>
        </w:r>
      </w:hyperlink>
      <w:r>
        <w:t xml:space="preserve">.</w:t>
      </w:r>
    </w:p>
    <w:bookmarkEnd w:id="63"/>
    <w:bookmarkStart w:id="65" w:name="ref-barnosky2001"/>
    <w:p>
      <w:pPr>
        <w:pStyle w:val="Bibliography"/>
      </w:pPr>
      <w:r>
        <w:t xml:space="preserve">Barnosky, A. D. 2001.</w:t>
      </w:r>
      <w:r>
        <w:t xml:space="preserve"> </w:t>
      </w:r>
      <w:hyperlink r:id="rId64">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5"/>
    <w:bookmarkStart w:id="67" w:name="ref-benton2009"/>
    <w:p>
      <w:pPr>
        <w:pStyle w:val="Bibliography"/>
      </w:pPr>
      <w:r>
        <w:t xml:space="preserve">Benton, M. J. 2009.</w:t>
      </w:r>
      <w:r>
        <w:t xml:space="preserve"> </w:t>
      </w:r>
      <w:hyperlink r:id="rId66">
        <w:r>
          <w:rPr>
            <w:rStyle w:val="Hyperlink"/>
          </w:rPr>
          <w:t xml:space="preserve">The red queen and the court jester: Species diversity and the role of biotic and abiotic factors through time</w:t>
        </w:r>
      </w:hyperlink>
      <w:r>
        <w:t xml:space="preserve">. Science 323:728–732.</w:t>
      </w:r>
    </w:p>
    <w:bookmarkEnd w:id="67"/>
    <w:bookmarkStart w:id="69"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8">
        <w:r>
          <w:rPr>
            <w:rStyle w:val="Hyperlink"/>
          </w:rPr>
          <w:t xml:space="preserve">A heavyweight early whale pushes the boundaries of vertebrate morphology</w:t>
        </w:r>
      </w:hyperlink>
      <w:r>
        <w:t xml:space="preserve">. Nature 620:824–829.</w:t>
      </w:r>
    </w:p>
    <w:bookmarkEnd w:id="69"/>
    <w:bookmarkStart w:id="70"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0"/>
    <w:bookmarkStart w:id="72" w:name="ref-billaud2020"/>
    <w:p>
      <w:pPr>
        <w:pStyle w:val="Bibliography"/>
      </w:pPr>
      <w:r>
        <w:t xml:space="preserve">Billaud, O., D. S. Moen, T. L. Parsons, and H. Morlon. 2020.</w:t>
      </w:r>
      <w:r>
        <w:t xml:space="preserve"> </w:t>
      </w:r>
      <w:hyperlink r:id="rId71">
        <w:r>
          <w:rPr>
            <w:rStyle w:val="Hyperlink"/>
          </w:rPr>
          <w:t xml:space="preserve">Estimating diversity through time using molecular phylogenies: Old and species-poor frog families are the remnants of a diverse past</w:t>
        </w:r>
      </w:hyperlink>
      <w:r>
        <w:t xml:space="preserve">. Systematic Biology 69:363–383.</w:t>
      </w:r>
    </w:p>
    <w:bookmarkEnd w:id="72"/>
    <w:bookmarkStart w:id="74" w:name="ref-billet2009"/>
    <w:p>
      <w:pPr>
        <w:pStyle w:val="Bibliography"/>
      </w:pPr>
      <w:r>
        <w:t xml:space="preserve">Billet, G., C. Blondel, and C. de Muizon. 2009.</w:t>
      </w:r>
      <w:r>
        <w:t xml:space="preserve"> </w:t>
      </w:r>
      <w:hyperlink r:id="rId73">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4"/>
    <w:bookmarkStart w:id="76" w:name="ref-birskis-barros2026"/>
    <w:p>
      <w:pPr>
        <w:pStyle w:val="Bibliography"/>
      </w:pPr>
      <w:r>
        <w:t xml:space="preserve">Birskis-Barros, I., A. P. A. Assis, H. James, S. L. Kim, and J. D. Yeakel. 2026.</w:t>
      </w:r>
      <w:r>
        <w:t xml:space="preserve"> </w:t>
      </w:r>
      <w:hyperlink r:id="rId75">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The Early Pliocene extinction of the mega-toothed shark Otodus megalodon: a view from the eastern North Pacific</w:t>
        </w:r>
      </w:hyperlink>
      <w:r>
        <w:t xml:space="preserve">. PeerJ 7:e6088.</w:t>
      </w:r>
    </w:p>
    <w:bookmarkEnd w:id="78"/>
    <w:bookmarkStart w:id="80" w:name="ref-boisserie_phylogeny_2005"/>
    <w:p>
      <w:pPr>
        <w:pStyle w:val="Bibliography"/>
      </w:pPr>
      <w:r>
        <w:t xml:space="preserve">Boisserie, J.-R. 2005.</w:t>
      </w:r>
      <w:r>
        <w:t xml:space="preserve"> </w:t>
      </w:r>
      <w:hyperlink r:id="rId79">
        <w:r>
          <w:rPr>
            <w:rStyle w:val="Hyperlink"/>
          </w:rPr>
          <w:t xml:space="preserve">The phylogeny and taxonomy of hippopotamidae (mammalia: Artiodactyla): A review based on morphology and cladistic analysis</w:t>
        </w:r>
      </w:hyperlink>
      <w:r>
        <w:t xml:space="preserve">. Zool J Linn Soc 143:1–26.</w:t>
      </w:r>
    </w:p>
    <w:bookmarkEnd w:id="80"/>
    <w:bookmarkStart w:id="82" w:name="ref-boisserie2005"/>
    <w:p>
      <w:pPr>
        <w:pStyle w:val="Bibliography"/>
      </w:pPr>
      <w:r>
        <w:t xml:space="preserve">Boisserie, J.-R., F. Lihoreau, and M. Brunet. 2005.</w:t>
      </w:r>
      <w:r>
        <w:t xml:space="preserve"> </w:t>
      </w:r>
      <w:hyperlink r:id="rId81">
        <w:r>
          <w:rPr>
            <w:rStyle w:val="Hyperlink"/>
          </w:rPr>
          <w:t xml:space="preserve">The position of hippopotamidae within cetartiodactyla</w:t>
        </w:r>
      </w:hyperlink>
      <w:r>
        <w:t xml:space="preserve">. Proceedings of the National Academy of Sciences 102:1537–1541.</w:t>
      </w:r>
    </w:p>
    <w:bookmarkEnd w:id="82"/>
    <w:bookmarkStart w:id="84" w:name="ref-boivin2024"/>
    <w:p>
      <w:pPr>
        <w:pStyle w:val="Bibliography"/>
      </w:pPr>
      <w:r>
        <w:t xml:space="preserve">Boivin, M., A. Álvarez, M. D. Ercoli, S. R. Moyano, J. S. Salgado-Ahumada, A. M. O. Tejerina, and G. H. Cassini. 2024.</w:t>
      </w:r>
      <w:r>
        <w:t xml:space="preserve"> </w:t>
      </w:r>
      <w:hyperlink r:id="rId8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4"/>
    <w:bookmarkStart w:id="86" w:name="ref-boivin2019"/>
    <w:p>
      <w:pPr>
        <w:pStyle w:val="Bibliography"/>
      </w:pPr>
      <w:r>
        <w:t xml:space="preserve">Boivin, M., L. Marivaux, and P.-O. Antoine. 2019.</w:t>
      </w:r>
      <w:r>
        <w:t xml:space="preserve"> </w:t>
      </w:r>
      <w:hyperlink r:id="rId8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6"/>
    <w:bookmarkStart w:id="88"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7">
        <w:r>
          <w:rPr>
            <w:rStyle w:val="Hyperlink"/>
          </w:rPr>
          <w:t xml:space="preserve">The emergence and demise of giant sloths</w:t>
        </w:r>
      </w:hyperlink>
      <w:r>
        <w:t xml:space="preserve">. Science 388:864–868.</w:t>
      </w:r>
    </w:p>
    <w:bookmarkEnd w:id="88"/>
    <w:bookmarkStart w:id="90" w:name="ref-boschman2021"/>
    <w:p>
      <w:pPr>
        <w:pStyle w:val="Bibliography"/>
      </w:pPr>
      <w:r>
        <w:t xml:space="preserve">Boschman, L. M. 2021.</w:t>
      </w:r>
      <w:r>
        <w:t xml:space="preserve"> </w:t>
      </w:r>
      <w:hyperlink r:id="rId89">
        <w:r>
          <w:rPr>
            <w:rStyle w:val="Hyperlink"/>
          </w:rPr>
          <w:t xml:space="preserve">Andean mountain building since the late cretaceous: A paleoelevation reconstruction</w:t>
        </w:r>
      </w:hyperlink>
      <w:r>
        <w:t xml:space="preserve">. Earth-Science Reviews 220:103640.</w:t>
      </w:r>
    </w:p>
    <w:bookmarkEnd w:id="90"/>
    <w:bookmarkStart w:id="92" w:name="ref-brandoni2016"/>
    <w:p>
      <w:pPr>
        <w:pStyle w:val="Bibliography"/>
      </w:pPr>
      <w:r>
        <w:t xml:space="preserve">Brandoni, D., L. G. Ruiz, M. F. Tejedor, G. Martin, and J. G. Fleagle. 2016.</w:t>
      </w:r>
      <w:r>
        <w:t xml:space="preserve"> </w:t>
      </w:r>
      <w:hyperlink r:id="rId9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2"/>
    <w:bookmarkStart w:id="94" w:name="ref-brée2022"/>
    <w:p>
      <w:pPr>
        <w:pStyle w:val="Bibliography"/>
      </w:pPr>
      <w:r>
        <w:t xml:space="preserve">Brée, B., F. L. Condamine, and G. Guinot. 2022.</w:t>
      </w:r>
      <w:r>
        <w:t xml:space="preserve"> </w:t>
      </w:r>
      <w:hyperlink r:id="rId9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Paläontologische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The ICS 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Testing the role of the red queen and court jester as drivers of the macroevolution of apollo butterflies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The rise of angiosperms pushed conifers to decline during global cooling</w:t>
        </w:r>
      </w:hyperlink>
      <w:r>
        <w:t xml:space="preserve">. Proceedings of the National Academy of Sciences 117:28867–28875.</w:t>
      </w:r>
    </w:p>
    <w:bookmarkEnd w:id="115"/>
    <w:bookmarkStart w:id="117" w:name="ref-cooper2025"/>
    <w:p>
      <w:pPr>
        <w:pStyle w:val="Bibliography"/>
      </w:pPr>
      <w:r>
        <w:t xml:space="preserve">Cooper, R. B., B. J. Allen, and D. Silvestro. 2025.</w:t>
      </w:r>
      <w:r>
        <w:t xml:space="preserve"> </w:t>
      </w:r>
      <w:hyperlink r:id="rId116">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7"/>
    <w:bookmarkStart w:id="119" w:name="ref-cooper2024"/>
    <w:p>
      <w:pPr>
        <w:pStyle w:val="Bibliography"/>
      </w:pPr>
      <w:r>
        <w:t xml:space="preserve">Cooper, R. B., J. T. Flannery-Sutherland, and D. Silvestro. 2024.</w:t>
      </w:r>
      <w:r>
        <w:t xml:space="preserve"> </w:t>
      </w:r>
      <w:hyperlink r:id="rId118">
        <w:r>
          <w:rPr>
            <w:rStyle w:val="Hyperlink"/>
          </w:rPr>
          <w:t xml:space="preserve">DeepDive: estimating global biodiversity patterns through time using deep learning</w:t>
        </w:r>
      </w:hyperlink>
      <w:r>
        <w:t xml:space="preserve">. Nature Communications 15:4199.</w:t>
      </w:r>
    </w:p>
    <w:bookmarkEnd w:id="119"/>
    <w:bookmarkStart w:id="121" w:name="ref-cuitiño2021"/>
    <w:p>
      <w:pPr>
        <w:pStyle w:val="Bibliography"/>
      </w:pPr>
      <w:r>
        <w:t xml:space="preserve">Cuitiño, J. I., M. Sol Raigemborn, M. Susana Bargo, S. F. Vizcaíno, N. A. Muñoz, M. J. Kohn, and R. F. Kay. 2021.</w:t>
      </w:r>
      <w:r>
        <w:t xml:space="preserve"> </w:t>
      </w:r>
      <w:hyperlink r:id="rId120">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1"/>
    <w:bookmarkStart w:id="123" w:name="ref-dacunha2023"/>
    <w:p>
      <w:pPr>
        <w:pStyle w:val="Bibliography"/>
      </w:pPr>
      <w:r>
        <w:t xml:space="preserve">Da Cunha, L., L. W. Viñola-López, R. D. E. MacPhee, L. Kerber, J. Vélez-Juarbe, P.-O. Antoine, M. Boivin, L. Hautier, R. Lebrun, L. Marivaux, and P.-H. Fabre. 2023.</w:t>
      </w:r>
      <w:r>
        <w:t xml:space="preserve"> </w:t>
      </w:r>
      <w:hyperlink r:id="rId122">
        <w:r>
          <w:rPr>
            <w:rStyle w:val="Hyperlink"/>
          </w:rPr>
          <w:t xml:space="preserve">The inner ear of caviomorph rodents: Phylogenetic implications and application to extinct West Indian taxa</w:t>
        </w:r>
      </w:hyperlink>
      <w:r>
        <w:t xml:space="preserve">. Journal of Mammalian Evolution 30:1155–1176.</w:t>
      </w:r>
    </w:p>
    <w:bookmarkEnd w:id="123"/>
    <w:bookmarkStart w:id="125" w:name="ref-damuth1993"/>
    <w:p>
      <w:pPr>
        <w:pStyle w:val="Bibliography"/>
      </w:pPr>
      <w:r>
        <w:t xml:space="preserve">Damuth, J. 1993.</w:t>
      </w:r>
      <w:r>
        <w:t xml:space="preserve"> </w:t>
      </w:r>
      <w:hyperlink r:id="rId124">
        <w:r>
          <w:rPr>
            <w:rStyle w:val="Hyperlink"/>
          </w:rPr>
          <w:t xml:space="preserve">Cope’s rule, the island rule and the scaling of mammalian population density</w:t>
        </w:r>
      </w:hyperlink>
      <w:r>
        <w:t xml:space="preserve">. Nature 365:748–750.</w:t>
      </w:r>
    </w:p>
    <w:bookmarkEnd w:id="125"/>
    <w:bookmarkStart w:id="127" w:name="ref-damuth2011"/>
    <w:p>
      <w:pPr>
        <w:pStyle w:val="Bibliography"/>
      </w:pPr>
      <w:r>
        <w:t xml:space="preserve">Damuth, J., and C. M. Janis. 2011.</w:t>
      </w:r>
      <w:r>
        <w:t xml:space="preserve"> </w:t>
      </w:r>
      <w:hyperlink r:id="rId126">
        <w:r>
          <w:rPr>
            <w:rStyle w:val="Hyperlink"/>
          </w:rPr>
          <w:t xml:space="preserve">On the relationship between hypsodonty and feeding ecology in ungulate mammals, and its utility in palaeoecology</w:t>
        </w:r>
      </w:hyperlink>
      <w:r>
        <w:t xml:space="preserve">. Biological Reviews 86:733–758.</w:t>
      </w:r>
    </w:p>
    <w:bookmarkEnd w:id="127"/>
    <w:bookmarkStart w:id="129" w:name="ref-drury2016"/>
    <w:p>
      <w:pPr>
        <w:pStyle w:val="Bibliography"/>
      </w:pPr>
      <w:r>
        <w:t xml:space="preserve">Drury, J., J. Clavel, M. Manceau, and H. Morlon. 2016.</w:t>
      </w:r>
      <w:r>
        <w:t xml:space="preserve"> </w:t>
      </w:r>
      <w:hyperlink r:id="rId128">
        <w:r>
          <w:rPr>
            <w:rStyle w:val="Hyperlink"/>
          </w:rPr>
          <w:t xml:space="preserve">Estimating the effect of competition on trait evolution using maximum likelihood inference</w:t>
        </w:r>
      </w:hyperlink>
      <w:r>
        <w:t xml:space="preserve">. Systematic Biology 65:700–710.</w:t>
      </w:r>
    </w:p>
    <w:bookmarkEnd w:id="129"/>
    <w:bookmarkStart w:id="131" w:name="ref-dunn2013"/>
    <w:p>
      <w:pPr>
        <w:pStyle w:val="Bibliography"/>
      </w:pPr>
      <w:r>
        <w:t xml:space="preserve">Dunn, R. E., R. H. Madden, M. J. Kohn, M. D. Schmitz, C. A. E. Strömberg, A. A. Carlini, G. H. Ré, and J. Crowley. 2013.</w:t>
      </w:r>
      <w:r>
        <w:t xml:space="preserve"> </w:t>
      </w:r>
      <w:hyperlink r:id="rId130">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1"/>
    <w:bookmarkStart w:id="133" w:name="ref-esteve2025"/>
    <w:p>
      <w:pPr>
        <w:pStyle w:val="Bibliography"/>
      </w:pPr>
      <w:r>
        <w:t xml:space="preserve">Esteve, J. 2025.</w:t>
      </w:r>
      <w:r>
        <w:t xml:space="preserve"> </w:t>
      </w:r>
      <w:hyperlink r:id="rId132">
        <w:r>
          <w:rPr>
            <w:rStyle w:val="Hyperlink"/>
          </w:rPr>
          <w:t xml:space="preserve">When extinction expands morphospace: Lessons from trilobites</w:t>
        </w:r>
      </w:hyperlink>
      <w:r>
        <w:t xml:space="preserve">. Proceedings of the Royal Society B: Biological Sciences 292:20252245.</w:t>
      </w:r>
    </w:p>
    <w:bookmarkEnd w:id="133"/>
    <w:bookmarkStart w:id="135" w:name="ref-etienne2011"/>
    <w:p>
      <w:pPr>
        <w:pStyle w:val="Bibliography"/>
      </w:pPr>
      <w:r>
        <w:t xml:space="preserve">Etienne, R. S., B. Haegeman, T. Stadler, T. Aze, P. N. Pearson, A. Purvis, and A. B. Phillimore. 2011.</w:t>
      </w:r>
      <w:r>
        <w:t xml:space="preserve"> </w:t>
      </w:r>
      <w:hyperlink r:id="rId134">
        <w:r>
          <w:rPr>
            <w:rStyle w:val="Hyperlink"/>
          </w:rPr>
          <w:t xml:space="preserve">Diversity-dependence brings molecular phylogenies closer to agreement with the fossil record</w:t>
        </w:r>
      </w:hyperlink>
      <w:r>
        <w:t xml:space="preserve">. Proceedings of the Royal Society B: Biological Sciences 279:1300–1309.</w:t>
      </w:r>
    </w:p>
    <w:bookmarkEnd w:id="135"/>
    <w:bookmarkStart w:id="137" w:name="ref-faurby2016"/>
    <w:p>
      <w:pPr>
        <w:pStyle w:val="Bibliography"/>
      </w:pPr>
      <w:r>
        <w:t xml:space="preserve">Faurby, S., and J.-C. Svenning. 2016.</w:t>
      </w:r>
      <w:r>
        <w:t xml:space="preserve"> </w:t>
      </w:r>
      <w:hyperlink r:id="rId136">
        <w:r>
          <w:rPr>
            <w:rStyle w:val="Hyperlink"/>
          </w:rPr>
          <w:t xml:space="preserve">Resurrection of the island rule: Human-driven extinctions have obscured a basic evolutionary pattern</w:t>
        </w:r>
      </w:hyperlink>
      <w:r>
        <w:t xml:space="preserve">. The American Naturalist 187:812–820.</w:t>
      </w:r>
    </w:p>
    <w:bookmarkEnd w:id="137"/>
    <w:bookmarkStart w:id="139" w:name="ref-fernicola2019"/>
    <w:p>
      <w:pPr>
        <w:pStyle w:val="Bibliography"/>
      </w:pPr>
      <w:r>
        <w:t xml:space="preserve">Fernicola, J. C., S. F. Vizcaíno, M. S. Bargo, R. F. Kay, and J. I. Cuitiño. 2019.</w:t>
      </w:r>
      <w:r>
        <w:t xml:space="preserve"> </w:t>
      </w:r>
      <w:hyperlink r:id="rId138">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9"/>
    <w:bookmarkStart w:id="141" w:name="ref-flannery-sutherland2022"/>
    <w:p>
      <w:pPr>
        <w:pStyle w:val="Bibliography"/>
      </w:pPr>
      <w:r>
        <w:t xml:space="preserve">Flannery-Sutherland, J. T., D. Silvestro, and M. J. Benton. 2022.</w:t>
      </w:r>
      <w:r>
        <w:t xml:space="preserve"> </w:t>
      </w:r>
      <w:hyperlink r:id="rId140">
        <w:r>
          <w:rPr>
            <w:rStyle w:val="Hyperlink"/>
          </w:rPr>
          <w:t xml:space="preserve">Global diversity dynamics in the fossil record are regionally heterogeneous</w:t>
        </w:r>
      </w:hyperlink>
      <w:r>
        <w:t xml:space="preserve">. Nature Communications 13:2751.</w:t>
      </w:r>
    </w:p>
    <w:bookmarkEnd w:id="141"/>
    <w:bookmarkStart w:id="143" w:name="ref-foote1993"/>
    <w:p>
      <w:pPr>
        <w:pStyle w:val="Bibliography"/>
      </w:pPr>
      <w:r>
        <w:t xml:space="preserve">Foote, M. 1993.</w:t>
      </w:r>
      <w:r>
        <w:t xml:space="preserve"> </w:t>
      </w:r>
      <w:hyperlink r:id="rId142">
        <w:r>
          <w:rPr>
            <w:rStyle w:val="Hyperlink"/>
          </w:rPr>
          <w:t xml:space="preserve">Discordance and concordance between morphological and taxonomic diversity</w:t>
        </w:r>
      </w:hyperlink>
      <w:r>
        <w:t xml:space="preserve">. Paleobiology 19:185–204.</w:t>
      </w:r>
    </w:p>
    <w:bookmarkEnd w:id="143"/>
    <w:bookmarkStart w:id="145" w:name="ref-foote2007"/>
    <w:p>
      <w:pPr>
        <w:pStyle w:val="Bibliography"/>
      </w:pPr>
      <w:r>
        <w:t xml:space="preserve">Foote, M. 2007.</w:t>
      </w:r>
      <w:r>
        <w:t xml:space="preserve"> </w:t>
      </w:r>
      <w:hyperlink r:id="rId144">
        <w:r>
          <w:rPr>
            <w:rStyle w:val="Hyperlink"/>
          </w:rPr>
          <w:t xml:space="preserve">Symmetric waxing and waning of marine invertebrate genera</w:t>
        </w:r>
      </w:hyperlink>
      <w:r>
        <w:t xml:space="preserve">. Paleobiology 33:517–529.</w:t>
      </w:r>
    </w:p>
    <w:bookmarkEnd w:id="145"/>
    <w:bookmarkStart w:id="147" w:name="ref-foote1997"/>
    <w:p>
      <w:pPr>
        <w:pStyle w:val="Bibliography"/>
      </w:pPr>
      <w:r>
        <w:t xml:space="preserve">Foote, M. 1997.</w:t>
      </w:r>
      <w:r>
        <w:t xml:space="preserve"> </w:t>
      </w:r>
      <w:hyperlink r:id="rId146">
        <w:r>
          <w:rPr>
            <w:rStyle w:val="Hyperlink"/>
          </w:rPr>
          <w:t xml:space="preserve">The Evolution of Morphological Diversity</w:t>
        </w:r>
      </w:hyperlink>
      <w:r>
        <w:t xml:space="preserve">. Annual Review of Ecology, Evolution, and Systematics 28:129–152.</w:t>
      </w:r>
    </w:p>
    <w:bookmarkEnd w:id="147"/>
    <w:bookmarkStart w:id="149" w:name="ref-guayasamin2024"/>
    <w:p>
      <w:pPr>
        <w:pStyle w:val="Bibliography"/>
      </w:pPr>
      <w:r>
        <w:t xml:space="preserve">Guayasamin, J. M., C. C. Ribas, A. C. Carnaval, J. D. Carrillo, C. Hoorn, L. G. Lohmann, D. Riff, C. Ulloa Ulloa, and J. S. Albert. 2024.</w:t>
      </w:r>
      <w:r>
        <w:t xml:space="preserve"> </w:t>
      </w:r>
      <w:hyperlink r:id="rId148">
        <w:r>
          <w:rPr>
            <w:rStyle w:val="Hyperlink"/>
          </w:rPr>
          <w:t xml:space="preserve">Evolution of Amazonian biodiversity: A review</w:t>
        </w:r>
      </w:hyperlink>
      <w:r>
        <w:t xml:space="preserve">. Acta Amazonica 54:e54bc21360.</w:t>
      </w:r>
    </w:p>
    <w:bookmarkEnd w:id="149"/>
    <w:bookmarkStart w:id="151" w:name="ref-hagen2018"/>
    <w:p>
      <w:pPr>
        <w:pStyle w:val="Bibliography"/>
      </w:pPr>
      <w:r>
        <w:t xml:space="preserve">Hagen, O., T. Andermann, T. B. Quental, A. Antonelli, and D. Silvestro. 2018.</w:t>
      </w:r>
      <w:r>
        <w:t xml:space="preserve"> </w:t>
      </w:r>
      <w:hyperlink r:id="rId150">
        <w:r>
          <w:rPr>
            <w:rStyle w:val="Hyperlink"/>
          </w:rPr>
          <w:t xml:space="preserve">Estimating age-dependent extinction: Contrasting evidence from fossils and phylogenies</w:t>
        </w:r>
      </w:hyperlink>
      <w:r>
        <w:t xml:space="preserve">. Systematic Biology 67:458–474.</w:t>
      </w:r>
    </w:p>
    <w:bookmarkEnd w:id="151"/>
    <w:bookmarkStart w:id="153" w:name="ref-hauffe2024"/>
    <w:p>
      <w:pPr>
        <w:pStyle w:val="Bibliography"/>
      </w:pPr>
      <w:r>
        <w:t xml:space="preserve">Hauffe, T., J. L. Cantalapiedra, and D. Silvestro. 2024.</w:t>
      </w:r>
      <w:r>
        <w:t xml:space="preserve"> </w:t>
      </w:r>
      <w:hyperlink r:id="rId152">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3"/>
    <w:bookmarkStart w:id="155" w:name="ref-hernández2005"/>
    <w:p>
      <w:pPr>
        <w:pStyle w:val="Bibliography"/>
      </w:pPr>
      <w:r>
        <w:t xml:space="preserve">Hernández, R. M., T. E. Jordan, A. Dalenz Farjat, L. Echavarría, B. D. Idleman, and J. H. Reynolds. 2005.</w:t>
      </w:r>
      <w:r>
        <w:t xml:space="preserve"> </w:t>
      </w:r>
      <w:hyperlink r:id="rId154">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5"/>
    <w:bookmarkStart w:id="157" w:name="ref-hohmann2019"/>
    <w:p>
      <w:pPr>
        <w:pStyle w:val="Bibliography"/>
      </w:pPr>
      <w:r>
        <w:t xml:space="preserve">Hohmann, N., and E. Jarochowska. 2019.</w:t>
      </w:r>
      <w:r>
        <w:t xml:space="preserve"> </w:t>
      </w:r>
      <w:hyperlink r:id="rId156">
        <w:r>
          <w:rPr>
            <w:rStyle w:val="Hyperlink"/>
          </w:rPr>
          <w:t xml:space="preserve">Enforced symmetry: the necessity of symmetric waxing and waning</w:t>
        </w:r>
      </w:hyperlink>
      <w:r>
        <w:t xml:space="preserve">. PeerJ 7:e8011.</w:t>
      </w:r>
    </w:p>
    <w:bookmarkEnd w:id="157"/>
    <w:bookmarkStart w:id="158" w:name="ref-homerocamacho1967"/>
    <w:p>
      <w:pPr>
        <w:pStyle w:val="Bibliography"/>
      </w:pPr>
      <w:r>
        <w:t xml:space="preserve">Homero Camacho, H. 1967. Las transgresiones del cretácico superior y terciario de la argentina. Revista de la Asociación Geológica Argentina 22:253–280.</w:t>
      </w:r>
    </w:p>
    <w:bookmarkEnd w:id="158"/>
    <w:bookmarkStart w:id="160" w:name="ref-hoorn2022"/>
    <w:p>
      <w:pPr>
        <w:pStyle w:val="Bibliography"/>
      </w:pPr>
      <w:r>
        <w:t xml:space="preserve">Hoorn, C., L. M. Boschman, T. Kukla, M. Sciumbata, and P. Val. 2022.</w:t>
      </w:r>
      <w:r>
        <w:t xml:space="preserve"> </w:t>
      </w:r>
      <w:hyperlink r:id="rId159">
        <w:r>
          <w:rPr>
            <w:rStyle w:val="Hyperlink"/>
          </w:rPr>
          <w:t xml:space="preserve">The miocene wetland of western amazonia and its role in neotropical biogeography</w:t>
        </w:r>
      </w:hyperlink>
      <w:r>
        <w:t xml:space="preserve">. Botanical Journal of the Linnean Society 199:25–35.</w:t>
      </w:r>
    </w:p>
    <w:bookmarkEnd w:id="160"/>
    <w:bookmarkStart w:id="162" w:name="ref-hoorn1995"/>
    <w:p>
      <w:pPr>
        <w:pStyle w:val="Bibliography"/>
      </w:pPr>
      <w:r>
        <w:t xml:space="preserve">Hoorn, C., J. Guerrero, G. A. Sarmiento, and M. A. Lorente. 1995.</w:t>
      </w:r>
      <w:r>
        <w:t xml:space="preserve"> </w:t>
      </w:r>
      <w:hyperlink r:id="rId161">
        <w:r>
          <w:rPr>
            <w:rStyle w:val="Hyperlink"/>
          </w:rPr>
          <w:t xml:space="preserve">Andean tectonics as a cause for changing drainage patterns in Miocene northern South America</w:t>
        </w:r>
      </w:hyperlink>
      <w:r>
        <w:t xml:space="preserve">. Geology 23:237.</w:t>
      </w:r>
    </w:p>
    <w:bookmarkEnd w:id="162"/>
    <w:bookmarkStart w:id="16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3">
        <w:r>
          <w:rPr>
            <w:rStyle w:val="Hyperlink"/>
          </w:rPr>
          <w:t xml:space="preserve">Amazonia through time: Andean uplift, climate change, landscape evolution, and biodiversity</w:t>
        </w:r>
      </w:hyperlink>
      <w:r>
        <w:t xml:space="preserve">. Science 330:927–931.</w:t>
      </w:r>
    </w:p>
    <w:bookmarkEnd w:id="164"/>
    <w:bookmarkStart w:id="166" w:name="ref-hullot2025"/>
    <w:p>
      <w:pPr>
        <w:pStyle w:val="Bibliography"/>
      </w:pPr>
      <w:r>
        <w:t xml:space="preserve">Hullot, M., C. Robinet, Q. Vautrin, R. Tabuce, P.-O. Antoine, G. Merceron, and F. Lihoreau. 2025.</w:t>
      </w:r>
      <w:r>
        <w:t xml:space="preserve"> </w:t>
      </w:r>
      <w:hyperlink r:id="rId165">
        <w:r>
          <w:rPr>
            <w:rStyle w:val="Hyperlink"/>
          </w:rPr>
          <w:t xml:space="preserve">Evolution of dietary preferences of the lophiodontidae (mammalia, perissodactyla) from southern france</w:t>
        </w:r>
      </w:hyperlink>
      <w:r>
        <w:t xml:space="preserve">. Palaeogeography, Palaeoclimatology, Palaeoecology 675:113076.</w:t>
      </w:r>
    </w:p>
    <w:bookmarkEnd w:id="166"/>
    <w:bookmarkStart w:id="168" w:name="ref-jablonski2017"/>
    <w:p>
      <w:pPr>
        <w:pStyle w:val="Bibliography"/>
      </w:pPr>
      <w:r>
        <w:t xml:space="preserve">Jablonski, D. 2017.</w:t>
      </w:r>
      <w:r>
        <w:t xml:space="preserve"> </w:t>
      </w:r>
      <w:hyperlink r:id="rId167">
        <w:r>
          <w:rPr>
            <w:rStyle w:val="Hyperlink"/>
          </w:rPr>
          <w:t xml:space="preserve">Approaches to Macroevolution: 2. Sorting of Variation, Some Overarching Issues, and General Conclusions</w:t>
        </w:r>
      </w:hyperlink>
      <w:r>
        <w:t xml:space="preserve">. Evolutionary Biology 44:451–475.</w:t>
      </w:r>
    </w:p>
    <w:bookmarkEnd w:id="168"/>
    <w:bookmarkStart w:id="169"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9"/>
    <w:bookmarkStart w:id="171"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0">
        <w:r>
          <w:rPr>
            <w:rStyle w:val="Hyperlink"/>
          </w:rPr>
          <w:t xml:space="preserve">Miocene flooding events of western amazonia</w:t>
        </w:r>
      </w:hyperlink>
      <w:r>
        <w:t xml:space="preserve">. Science Advances 3:e1601693.</w:t>
      </w:r>
    </w:p>
    <w:bookmarkEnd w:id="171"/>
    <w:bookmarkStart w:id="173" w:name="ref-jardine2012"/>
    <w:p>
      <w:pPr>
        <w:pStyle w:val="Bibliography"/>
      </w:pPr>
      <w:r>
        <w:t xml:space="preserve">Jardine, P. E., C. M. Janis, S. Sahney, and M. J. Benton. 2012.</w:t>
      </w:r>
      <w:r>
        <w:t xml:space="preserve"> </w:t>
      </w:r>
      <w:hyperlink r:id="rId17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3"/>
    <w:bookmarkStart w:id="175" w:name="ref-jouault_ants_2024"/>
    <w:p>
      <w:pPr>
        <w:pStyle w:val="Bibliography"/>
      </w:pPr>
      <w:r>
        <w:t xml:space="preserve">Jouault, C., F. L. Condamine, F. Legendre, and V. Perrichot. 2024.</w:t>
      </w:r>
      <w:r>
        <w:t xml:space="preserve"> </w:t>
      </w:r>
      <w:hyperlink r:id="rId174">
        <w:r>
          <w:rPr>
            <w:rStyle w:val="Hyperlink"/>
          </w:rPr>
          <w:t xml:space="preserve">The angiosperm terrestrial revolution buffered ants against extinction</w:t>
        </w:r>
      </w:hyperlink>
      <w:r>
        <w:t xml:space="preserve">. Proc. Nat. Acad. Sc. U.S.A 121:e2317795121. Proceedings of the National Academy of Sciences.</w:t>
      </w:r>
    </w:p>
    <w:bookmarkEnd w:id="175"/>
    <w:bookmarkStart w:id="177" w:name="ref-kass1995"/>
    <w:p>
      <w:pPr>
        <w:pStyle w:val="Bibliography"/>
      </w:pPr>
      <w:r>
        <w:t xml:space="preserve">Kass, R. E., and A. E. Raftery. 1995.</w:t>
      </w:r>
      <w:r>
        <w:t xml:space="preserve"> </w:t>
      </w:r>
      <w:hyperlink r:id="rId176">
        <w:r>
          <w:rPr>
            <w:rStyle w:val="Hyperlink"/>
          </w:rPr>
          <w:t xml:space="preserve">Bayes factors</w:t>
        </w:r>
      </w:hyperlink>
      <w:r>
        <w:t xml:space="preserve">. Journal of the American Statistical Association 90:773–795.</w:t>
      </w:r>
    </w:p>
    <w:bookmarkEnd w:id="177"/>
    <w:bookmarkStart w:id="179" w:name="ref-lehtonen2017"/>
    <w:p>
      <w:pPr>
        <w:pStyle w:val="Bibliography"/>
      </w:pPr>
      <w:r>
        <w:t xml:space="preserve">Lehtonen, S., D. Silvestro, D. N. Karger, C. Scotese, H. Tuomisto, M. Kessler, C. Peña, N. Wahlberg, and A. Antonelli. 2017.</w:t>
      </w:r>
      <w:r>
        <w:t xml:space="preserve"> </w:t>
      </w:r>
      <w:hyperlink r:id="rId178">
        <w:r>
          <w:rPr>
            <w:rStyle w:val="Hyperlink"/>
          </w:rPr>
          <w:t xml:space="preserve">Environmentally driven extinction and opportunistic origination explain fern diversification patterns</w:t>
        </w:r>
      </w:hyperlink>
      <w:r>
        <w:t xml:space="preserve">. Scientific Reports 7:4831.</w:t>
      </w:r>
    </w:p>
    <w:bookmarkEnd w:id="179"/>
    <w:bookmarkStart w:id="181" w:name="ref-liow2008"/>
    <w:p>
      <w:pPr>
        <w:pStyle w:val="Bibliography"/>
      </w:pPr>
      <w:r>
        <w:t xml:space="preserve">Liow, L. H., M. Fortelius, E. Bingham, K. Lintulaakso, H. Mannila, L. Flynn, and N. Chr. Stenseth. 2008.</w:t>
      </w:r>
      <w:r>
        <w:t xml:space="preserve"> </w:t>
      </w:r>
      <w:hyperlink r:id="rId180">
        <w:r>
          <w:rPr>
            <w:rStyle w:val="Hyperlink"/>
          </w:rPr>
          <w:t xml:space="preserve">Higher origination and extinction rates in larger mammals</w:t>
        </w:r>
      </w:hyperlink>
      <w:r>
        <w:t xml:space="preserve">. Proceedings of the National Academy of Sciences 105:6097–6102.</w:t>
      </w:r>
    </w:p>
    <w:bookmarkEnd w:id="181"/>
    <w:bookmarkStart w:id="183" w:name="ref-liow2010"/>
    <w:p>
      <w:pPr>
        <w:pStyle w:val="Bibliography"/>
      </w:pPr>
      <w:r>
        <w:t xml:space="preserve">Liow, L. H., T. B. Quental, and C. R. Marshall. 2010.</w:t>
      </w:r>
      <w:r>
        <w:t xml:space="preserve"> </w:t>
      </w:r>
      <w:hyperlink r:id="rId182">
        <w:r>
          <w:rPr>
            <w:rStyle w:val="Hyperlink"/>
          </w:rPr>
          <w:t xml:space="preserve">When can decreasing diversification rates be detected with molecular phylogenies and the fossil record?</w:t>
        </w:r>
      </w:hyperlink>
      <w:r>
        <w:t xml:space="preserve"> Systematic Biology 59:646–659.</w:t>
      </w:r>
    </w:p>
    <w:bookmarkEnd w:id="183"/>
    <w:bookmarkStart w:id="185" w:name="ref-lomolino2005"/>
    <w:p>
      <w:pPr>
        <w:pStyle w:val="Bibliography"/>
      </w:pPr>
      <w:r>
        <w:t xml:space="preserve">Lomolino, M. V. 2005.</w:t>
      </w:r>
      <w:r>
        <w:t xml:space="preserve"> </w:t>
      </w:r>
      <w:hyperlink r:id="rId184">
        <w:r>
          <w:rPr>
            <w:rStyle w:val="Hyperlink"/>
          </w:rPr>
          <w:t xml:space="preserve">Body size evolution in insular vertebrates: Generality of the island rule</w:t>
        </w:r>
      </w:hyperlink>
      <w:r>
        <w:t xml:space="preserve">. Journal of Biogeography 32:1683–1699.</w:t>
      </w:r>
    </w:p>
    <w:bookmarkEnd w:id="185"/>
    <w:bookmarkStart w:id="187" w:name="ref-macfadden2000"/>
    <w:p>
      <w:pPr>
        <w:pStyle w:val="Bibliography"/>
      </w:pPr>
      <w:r>
        <w:t xml:space="preserve">MacFadden, B. J. 2000.</w:t>
      </w:r>
      <w:r>
        <w:t xml:space="preserve"> </w:t>
      </w:r>
      <w:hyperlink r:id="rId186">
        <w:r>
          <w:rPr>
            <w:rStyle w:val="Hyperlink"/>
          </w:rPr>
          <w:t xml:space="preserve">Cenozoic mammalian herbivores from the americas: Reconstructing ancient diets and terrestrial communities</w:t>
        </w:r>
      </w:hyperlink>
      <w:r>
        <w:t xml:space="preserve">. Annual Review of Ecology and Systematics 31:33–59.</w:t>
      </w:r>
    </w:p>
    <w:bookmarkEnd w:id="187"/>
    <w:bookmarkStart w:id="189" w:name="ref-macphee2011"/>
    <w:p>
      <w:pPr>
        <w:pStyle w:val="Bibliography"/>
      </w:pPr>
      <w:r>
        <w:t xml:space="preserve">MacPhee, R. D. E. 2011.</w:t>
      </w:r>
      <w:r>
        <w:t xml:space="preserve"> </w:t>
      </w:r>
      <w:hyperlink r:id="rId18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9"/>
    <w:bookmarkStart w:id="191" w:name="ref-marion_bioluminescence_2025"/>
    <w:p>
      <w:pPr>
        <w:pStyle w:val="Bibliography"/>
      </w:pPr>
      <w:r>
        <w:t xml:space="preserve">Marion, A. F. P., F. L. Condamine, and G. Guinot. 2025.</w:t>
      </w:r>
      <w:r>
        <w:t xml:space="preserve"> </w:t>
      </w:r>
      <w:hyperlink r:id="rId190">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1"/>
    <w:bookmarkStart w:id="193" w:name="ref-marivaux2022"/>
    <w:p>
      <w:pPr>
        <w:pStyle w:val="Bibliography"/>
      </w:pPr>
      <w:r>
        <w:t xml:space="preserve">Marivaux, L., L. W. V. López, M. Boivin, L. Da Cunha, P.-H. Fabre, R. Joannes-Boyau, G. Maincent, P. Münch, N. S. Stutz, J. Vélez-Juarbe, and P.-O. Antoine. 2022.</w:t>
      </w:r>
      <w:r>
        <w:t xml:space="preserve"> </w:t>
      </w:r>
      <w:hyperlink r:id="rId192">
        <w:r>
          <w:rPr>
            <w:rStyle w:val="Hyperlink"/>
          </w:rPr>
          <w:t xml:space="preserve">Incisor enamel microstructure of West Indian caviomorph hystricognathous rodents (Octodontoidea and Chinchilloidea)</w:t>
        </w:r>
      </w:hyperlink>
      <w:r>
        <w:t xml:space="preserve">. Journal of Mammalian Evolution 29:969–995.</w:t>
      </w:r>
    </w:p>
    <w:bookmarkEnd w:id="193"/>
    <w:bookmarkStart w:id="195"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4">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5"/>
    <w:bookmarkStart w:id="197" w:name="ref-marshall1982"/>
    <w:p>
      <w:pPr>
        <w:pStyle w:val="Bibliography"/>
      </w:pPr>
      <w:r>
        <w:t xml:space="preserve">Marshall, L. G., S. D. Webb, J. J. Sepkoski, and D. M. Raup. 1982.</w:t>
      </w:r>
      <w:r>
        <w:t xml:space="preserve"> </w:t>
      </w:r>
      <w:hyperlink r:id="rId196">
        <w:r>
          <w:rPr>
            <w:rStyle w:val="Hyperlink"/>
          </w:rPr>
          <w:t xml:space="preserve">Mammalian evolution and the great american interchange</w:t>
        </w:r>
      </w:hyperlink>
      <w:r>
        <w:t xml:space="preserve">. Science 215:1351–1357.</w:t>
      </w:r>
    </w:p>
    <w:bookmarkEnd w:id="197"/>
    <w:bookmarkStart w:id="199" w:name="ref-mcfarlane1998"/>
    <w:p>
      <w:pPr>
        <w:pStyle w:val="Bibliography"/>
      </w:pPr>
      <w:r>
        <w:t xml:space="preserve">McFarlane, D. A., R. D. E. MacPhee, and D. C. Ford. 1998.</w:t>
      </w:r>
      <w:r>
        <w:t xml:space="preserve"> </w:t>
      </w:r>
      <w:hyperlink r:id="rId198">
        <w:r>
          <w:rPr>
            <w:rStyle w:val="Hyperlink"/>
          </w:rPr>
          <w:t xml:space="preserve">Body Size Variability and a Sangamonian Extinction Model for Amblyrhiza,a West Indian Megafaunal Rodent</w:t>
        </w:r>
      </w:hyperlink>
      <w:r>
        <w:t xml:space="preserve">. Quaternary Research 50:80–89.</w:t>
      </w:r>
    </w:p>
    <w:bookmarkEnd w:id="199"/>
    <w:bookmarkStart w:id="201" w:name="ref-meiri2007"/>
    <w:p>
      <w:pPr>
        <w:pStyle w:val="Bibliography"/>
      </w:pPr>
      <w:r>
        <w:t xml:space="preserve">Meiri, S., N. Cooper, and A. Purvis. 2007.</w:t>
      </w:r>
      <w:r>
        <w:t xml:space="preserve"> </w:t>
      </w:r>
      <w:hyperlink r:id="rId200">
        <w:r>
          <w:rPr>
            <w:rStyle w:val="Hyperlink"/>
          </w:rPr>
          <w:t xml:space="preserve">The island rule: Made to be broken?</w:t>
        </w:r>
      </w:hyperlink>
      <w:r>
        <w:t xml:space="preserve"> Proceedings of the Royal Society B: Biological Sciences 275:141–148.</w:t>
      </w:r>
    </w:p>
    <w:bookmarkEnd w:id="201"/>
    <w:bookmarkStart w:id="203" w:name="ref-miller2020"/>
    <w:p>
      <w:pPr>
        <w:pStyle w:val="Bibliography"/>
      </w:pPr>
      <w:r>
        <w:t xml:space="preserve">Miller, K. G., J. V. Browning, W. J. Schmelz, R. E. Kopp, G. S. Mountain, and J. D. Wright. 2020.</w:t>
      </w:r>
      <w:r>
        <w:t xml:space="preserve"> </w:t>
      </w:r>
      <w:hyperlink r:id="rId202">
        <w:r>
          <w:rPr>
            <w:rStyle w:val="Hyperlink"/>
          </w:rPr>
          <w:t xml:space="preserve">Cenozoic sea-level and cryospheric evolution from deep-sea geochemical and continental margin records</w:t>
        </w:r>
      </w:hyperlink>
      <w:r>
        <w:t xml:space="preserve">. Science Advances 6:eaaz1346.</w:t>
      </w:r>
    </w:p>
    <w:bookmarkEnd w:id="203"/>
    <w:bookmarkStart w:id="205" w:name="ref-mones1982"/>
    <w:p>
      <w:pPr>
        <w:pStyle w:val="Bibliography"/>
      </w:pPr>
      <w:r>
        <w:t xml:space="preserve">Mones, A. 1982.</w:t>
      </w:r>
      <w:r>
        <w:t xml:space="preserve"> </w:t>
      </w:r>
      <w:hyperlink r:id="rId204">
        <w:r>
          <w:rPr>
            <w:rStyle w:val="Hyperlink"/>
          </w:rPr>
          <w:t xml:space="preserve">An equivocal nomenclature: What means hypsodonty?</w:t>
        </w:r>
      </w:hyperlink>
      <w:r>
        <w:t xml:space="preserve"> Paläontologische Zeitschrift 56:107–111.</w:t>
      </w:r>
    </w:p>
    <w:bookmarkEnd w:id="205"/>
    <w:bookmarkStart w:id="207"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6">
        <w:r>
          <w:rPr>
            <w:rStyle w:val="Hyperlink"/>
          </w:rPr>
          <w:t xml:space="preserve">10.1146/annurev-ecolsys-102722-020508</w:t>
        </w:r>
      </w:hyperlink>
      <w:r>
        <w:t xml:space="preserve">.</w:t>
      </w:r>
    </w:p>
    <w:bookmarkEnd w:id="207"/>
    <w:bookmarkStart w:id="209" w:name="ref-muñoz2023"/>
    <w:p>
      <w:pPr>
        <w:pStyle w:val="Bibliography"/>
      </w:pPr>
      <w:r>
        <w:t xml:space="preserve">Muñoz, C. O. R., R. Bonini, S. Hemming, M. Cenizo, U. F. J. Pardiñas, and F. J. Prevosti. 2023.</w:t>
      </w:r>
      <w:r>
        <w:t xml:space="preserve"> </w:t>
      </w:r>
      <w:hyperlink r:id="rId208">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9"/>
    <w:bookmarkStart w:id="210"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0"/>
    <w:bookmarkStart w:id="212" w:name="ref-neige2026"/>
    <w:p>
      <w:pPr>
        <w:pStyle w:val="Bibliography"/>
      </w:pPr>
      <w:r>
        <w:t xml:space="preserve">Neige, P., and T. van Tiel. 2026.</w:t>
      </w:r>
      <w:r>
        <w:t xml:space="preserve"> </w:t>
      </w:r>
      <w:hyperlink r:id="rId211">
        <w:r>
          <w:rPr>
            <w:rStyle w:val="Hyperlink"/>
          </w:rPr>
          <w:t xml:space="preserve">Background extinction due to species specialization? Insights from a high-resolution Jurassic ammonoid case study (Dactylioceratidae)</w:t>
        </w:r>
      </w:hyperlink>
      <w:r>
        <w:t xml:space="preserve">. Paleobiology 1–17.</w:t>
      </w:r>
    </w:p>
    <w:bookmarkEnd w:id="212"/>
    <w:bookmarkStart w:id="214" w:name="ref-ogg2020"/>
    <w:p>
      <w:pPr>
        <w:pStyle w:val="Bibliography"/>
      </w:pPr>
      <w:r>
        <w:t xml:space="preserve">Ogg, J. G. 2020.</w:t>
      </w:r>
      <w:r>
        <w:t xml:space="preserve"> </w:t>
      </w:r>
      <w:hyperlink r:id="rId213">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4"/>
    <w:bookmarkStart w:id="216" w:name="ref-paiva2026"/>
    <w:p>
      <w:pPr>
        <w:pStyle w:val="Bibliography"/>
      </w:pPr>
      <w:r>
        <w:t xml:space="preserve">Paiva, A. L., P. Godoy, D. dos Santos, M. Langer, and P. Mannion. 2026.</w:t>
      </w:r>
      <w:r>
        <w:t xml:space="preserve"> </w:t>
      </w:r>
      <w:hyperlink r:id="rId215">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6"/>
    <w:bookmarkStart w:id="218" w:name="ref-palazzesi2012"/>
    <w:p>
      <w:pPr>
        <w:pStyle w:val="Bibliography"/>
      </w:pPr>
      <w:r>
        <w:t xml:space="preserve">Palazzesi, L., and V. Barreda. 2012.</w:t>
      </w:r>
      <w:r>
        <w:t xml:space="preserve"> </w:t>
      </w:r>
      <w:hyperlink r:id="rId217">
        <w:r>
          <w:rPr>
            <w:rStyle w:val="Hyperlink"/>
          </w:rPr>
          <w:t xml:space="preserve">Fossil pollen records reveal a late rise of open-habitat ecosystems in Patagonia</w:t>
        </w:r>
      </w:hyperlink>
      <w:r>
        <w:t xml:space="preserve">. Nature Communications 3:1294.</w:t>
      </w:r>
    </w:p>
    <w:bookmarkEnd w:id="218"/>
    <w:bookmarkStart w:id="219"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19"/>
    <w:bookmarkStart w:id="221" w:name="ref-patton2015"/>
    <w:p>
      <w:pPr>
        <w:pStyle w:val="Bibliography"/>
      </w:pPr>
      <w:r>
        <w:t xml:space="preserve">Patton, J. L., U. F. J. Pardiñas, and G. D’Elía. 2015.</w:t>
      </w:r>
      <w:r>
        <w:t xml:space="preserve"> </w:t>
      </w:r>
      <w:hyperlink r:id="rId220">
        <w:r>
          <w:rPr>
            <w:rStyle w:val="Hyperlink"/>
          </w:rPr>
          <w:t xml:space="preserve">Mammals of South America, Volume 2: Rodents</w:t>
        </w:r>
      </w:hyperlink>
      <w:r>
        <w:t xml:space="preserve">. University of Chicago Press, Chicago, IL.</w:t>
      </w:r>
    </w:p>
    <w:bookmarkEnd w:id="221"/>
    <w:bookmarkStart w:id="223" w:name="ref-pérez_new_2010"/>
    <w:p>
      <w:pPr>
        <w:pStyle w:val="Bibliography"/>
      </w:pPr>
      <w:r>
        <w:t xml:space="preserve">Pérez, M. E. 2010.</w:t>
      </w:r>
      <w:r>
        <w:t xml:space="preserve"> </w:t>
      </w:r>
      <w:hyperlink r:id="rId222">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3"/>
    <w:bookmarkStart w:id="225" w:name="ref-pimiento2019"/>
    <w:p>
      <w:pPr>
        <w:pStyle w:val="Bibliography"/>
      </w:pPr>
      <w:r>
        <w:t xml:space="preserve">Pimiento, C., J. L. Cantalapiedra, K. Shimada, D. J. Field, and J. B. Smaers. 2019.</w:t>
      </w:r>
      <w:r>
        <w:t xml:space="preserve"> </w:t>
      </w:r>
      <w:hyperlink r:id="rId224">
        <w:r>
          <w:rPr>
            <w:rStyle w:val="Hyperlink"/>
          </w:rPr>
          <w:t xml:space="preserve">Evolutionary pathways toward gigantism in sharks and rays</w:t>
        </w:r>
      </w:hyperlink>
      <w:r>
        <w:t xml:space="preserve">. Evolution 73:588–599.</w:t>
      </w:r>
    </w:p>
    <w:bookmarkEnd w:id="225"/>
    <w:bookmarkStart w:id="227" w:name="ref-quintero_loss_2025"/>
    <w:p>
      <w:pPr>
        <w:pStyle w:val="Bibliography"/>
      </w:pPr>
      <w:r>
        <w:t xml:space="preserve">Quintero, I., J. Andréoletti, D. Silvestro, and H. Morlon. 2025.</w:t>
      </w:r>
      <w:r>
        <w:t xml:space="preserve"> </w:t>
      </w:r>
      <w:hyperlink r:id="rId226">
        <w:r>
          <w:rPr>
            <w:rStyle w:val="Hyperlink"/>
          </w:rPr>
          <w:t xml:space="preserve">Loss of macroevolutionary species fitness explains the rise and fall of clades</w:t>
        </w:r>
      </w:hyperlink>
      <w:r>
        <w:t xml:space="preserve">. Nat Ecol Evol 1–12. Nature Publishing Group.</w:t>
      </w:r>
    </w:p>
    <w:bookmarkEnd w:id="227"/>
    <w:bookmarkStart w:id="228" w:name="ref-rasia2026"/>
    <w:p>
      <w:pPr>
        <w:pStyle w:val="Bibliography"/>
      </w:pPr>
      <w:r>
        <w:t xml:space="preserve">Rasia, L. L. 2026. Reassessing the hyperdiverse dinomyid (rodentia, caviomorpha) assemblage from the late miocene ituzaingó formation (entre ríos province, argentina). Ameghiniana.</w:t>
      </w:r>
    </w:p>
    <w:bookmarkEnd w:id="228"/>
    <w:bookmarkStart w:id="230" w:name="ref-rasia_reappraisal_2018"/>
    <w:p>
      <w:pPr>
        <w:pStyle w:val="Bibliography"/>
      </w:pPr>
      <w:r>
        <w:t xml:space="preserve">Rasia, L. L., and A. M. Candela. 2018.</w:t>
      </w:r>
      <w:r>
        <w:t xml:space="preserve"> </w:t>
      </w:r>
      <w:hyperlink r:id="rId229">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30"/>
    <w:bookmarkStart w:id="232" w:name="ref-rasia_comprehensive_2021"/>
    <w:p>
      <w:pPr>
        <w:pStyle w:val="Bibliography"/>
      </w:pPr>
      <w:r>
        <w:t xml:space="preserve">Rasia, L. L., A. M. Candela, and C. Cañón. 2021.</w:t>
      </w:r>
      <w:r>
        <w:t xml:space="preserve"> </w:t>
      </w:r>
      <w:hyperlink r:id="rId231">
        <w:r>
          <w:rPr>
            <w:rStyle w:val="Hyperlink"/>
          </w:rPr>
          <w:t xml:space="preserve">Comprehensive total evidence phylogeny of chinchillids (rodentia, caviomorpha): Cheek teeth anatomy and evolution</w:t>
        </w:r>
      </w:hyperlink>
      <w:r>
        <w:t xml:space="preserve">. Journal of Anatomy 239:405–423.</w:t>
      </w:r>
    </w:p>
    <w:bookmarkEnd w:id="232"/>
    <w:bookmarkStart w:id="234" w:name="ref-rasia2024"/>
    <w:p>
      <w:pPr>
        <w:pStyle w:val="Bibliography"/>
      </w:pPr>
      <w:r>
        <w:t xml:space="preserve">Rasia, L. L., C. I. Montalvo, R. Sostillo, L. Kerber, and R. L. Tomassini. 2024.</w:t>
      </w:r>
      <w:r>
        <w:t xml:space="preserve"> </w:t>
      </w:r>
      <w:hyperlink r:id="rId233">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4"/>
    <w:bookmarkStart w:id="236" w:name="ref-raup1986"/>
    <w:p>
      <w:pPr>
        <w:pStyle w:val="Bibliography"/>
      </w:pPr>
      <w:r>
        <w:t xml:space="preserve">Raup, D. M. 1986.</w:t>
      </w:r>
      <w:r>
        <w:t xml:space="preserve"> </w:t>
      </w:r>
      <w:hyperlink r:id="rId235">
        <w:r>
          <w:rPr>
            <w:rStyle w:val="Hyperlink"/>
          </w:rPr>
          <w:t xml:space="preserve">Biological extinction in earth history</w:t>
        </w:r>
      </w:hyperlink>
      <w:r>
        <w:t xml:space="preserve">. Science 231:1528–1533.</w:t>
      </w:r>
    </w:p>
    <w:bookmarkEnd w:id="236"/>
    <w:bookmarkStart w:id="238" w:name="ref-rinderknecht2008"/>
    <w:p>
      <w:pPr>
        <w:pStyle w:val="Bibliography"/>
      </w:pPr>
      <w:r>
        <w:t xml:space="preserve">Rinderknecht, A., and R. E. Blanco. 2008.</w:t>
      </w:r>
      <w:r>
        <w:t xml:space="preserve"> </w:t>
      </w:r>
      <w:hyperlink r:id="rId237">
        <w:r>
          <w:rPr>
            <w:rStyle w:val="Hyperlink"/>
          </w:rPr>
          <w:t xml:space="preserve">The largest fossil rodent</w:t>
        </w:r>
      </w:hyperlink>
      <w:r>
        <w:t xml:space="preserve">. Proceedings of the Royal Society B: Biological Sciences 275:923–928.</w:t>
      </w:r>
    </w:p>
    <w:bookmarkEnd w:id="238"/>
    <w:bookmarkStart w:id="240" w:name="ref-robinet2020"/>
    <w:p>
      <w:pPr>
        <w:pStyle w:val="Bibliography"/>
      </w:pPr>
      <w:r>
        <w:t xml:space="preserve">Robinet, C., G. Merceron, A. M. Candela, and L. Marivaux. 2020.</w:t>
      </w:r>
      <w:r>
        <w:t xml:space="preserve"> </w:t>
      </w:r>
      <w:hyperlink r:id="rId239">
        <w:r>
          <w:rPr>
            <w:rStyle w:val="Hyperlink"/>
          </w:rPr>
          <w:t xml:space="preserve">Dental microwear texture analysis and diet in caviomorphs (rodentia) from the serra do mar atlantic forest (brazil)</w:t>
        </w:r>
      </w:hyperlink>
      <w:r>
        <w:t xml:space="preserve">. Journal of Mammalogy 101:386–402.</w:t>
      </w:r>
    </w:p>
    <w:bookmarkEnd w:id="240"/>
    <w:bookmarkStart w:id="242" w:name="ref-salas-gismondi2015"/>
    <w:p>
      <w:pPr>
        <w:pStyle w:val="Bibliography"/>
      </w:pPr>
      <w:r>
        <w:t xml:space="preserve">Salas-Gismondi, R., J. J. Flynn, P. Baby, J. V. Tejada-Lara, F. P. Wesselingh, and P.-O. Antoine. 2015.</w:t>
      </w:r>
      <w:r>
        <w:t xml:space="preserve"> </w:t>
      </w:r>
      <w:hyperlink r:id="rId24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42"/>
    <w:bookmarkStart w:id="244" w:name="ref-sánchez-villagra2003"/>
    <w:p>
      <w:pPr>
        <w:pStyle w:val="Bibliography"/>
      </w:pPr>
      <w:r>
        <w:t xml:space="preserve">Sánchez-Villagra, M. R., O. Aguilera, and I. Horovitz. 2003.</w:t>
      </w:r>
      <w:r>
        <w:t xml:space="preserve"> </w:t>
      </w:r>
      <w:hyperlink r:id="rId243">
        <w:r>
          <w:rPr>
            <w:rStyle w:val="Hyperlink"/>
          </w:rPr>
          <w:t xml:space="preserve">The anatomy of the world’s largest extinct rodent</w:t>
        </w:r>
      </w:hyperlink>
      <w:r>
        <w:t xml:space="preserve">. Science 301:1708–1710.</w:t>
      </w:r>
    </w:p>
    <w:bookmarkEnd w:id="244"/>
    <w:bookmarkStart w:id="246"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5">
        <w:r>
          <w:rPr>
            <w:rStyle w:val="Hyperlink"/>
          </w:rPr>
          <w:t xml:space="preserve">Biology of the sauropod dinosaurs: the evolution of gigantism</w:t>
        </w:r>
      </w:hyperlink>
      <w:r>
        <w:t xml:space="preserve">. Biological Reviews 86:117–155.</w:t>
      </w:r>
    </w:p>
    <w:bookmarkEnd w:id="246"/>
    <w:bookmarkStart w:id="248" w:name="ref-silvestro_angiosperm_2015"/>
    <w:p>
      <w:pPr>
        <w:pStyle w:val="Bibliography"/>
      </w:pPr>
      <w:r>
        <w:t xml:space="preserve">Silvestro, D., B. Cascales-Miñana, C. D. Bacon, and A. Antonelli. 2015.</w:t>
      </w:r>
      <w:r>
        <w:t xml:space="preserve"> </w:t>
      </w:r>
      <w:hyperlink r:id="rId247">
        <w:r>
          <w:rPr>
            <w:rStyle w:val="Hyperlink"/>
          </w:rPr>
          <w:t xml:space="preserve">Revisiting the origin and diversification of vascular plants through a comprehensive bayesian analysis of the fossil record</w:t>
        </w:r>
      </w:hyperlink>
      <w:r>
        <w:t xml:space="preserve">. New Phytologist 207:425–436.</w:t>
      </w:r>
    </w:p>
    <w:bookmarkEnd w:id="248"/>
    <w:bookmarkStart w:id="250" w:name="ref-silvestro2019"/>
    <w:p>
      <w:pPr>
        <w:pStyle w:val="Bibliography"/>
      </w:pPr>
      <w:r>
        <w:t xml:space="preserve">Silvestro, D., N. Salamin, A. Antonelli, and X. Meyer. 2019.</w:t>
      </w:r>
      <w:r>
        <w:t xml:space="preserve"> </w:t>
      </w:r>
      <w:hyperlink r:id="rId249">
        <w:r>
          <w:rPr>
            <w:rStyle w:val="Hyperlink"/>
          </w:rPr>
          <w:t xml:space="preserve">Improved estimation of macroevolutionary rates from fossil data using a Bayesian framework</w:t>
        </w:r>
      </w:hyperlink>
      <w:r>
        <w:t xml:space="preserve">. Paleobiology 45:546–570.</w:t>
      </w:r>
    </w:p>
    <w:bookmarkEnd w:id="250"/>
    <w:bookmarkStart w:id="252" w:name="ref-silvestro2014"/>
    <w:p>
      <w:pPr>
        <w:pStyle w:val="Bibliography"/>
      </w:pPr>
      <w:r>
        <w:t xml:space="preserve">Silvestro, D., N. Salamin, and J. Schnitzler. 2014.</w:t>
      </w:r>
      <w:r>
        <w:t xml:space="preserve"> </w:t>
      </w:r>
      <w:hyperlink r:id="rId251">
        <w:r>
          <w:rPr>
            <w:rStyle w:val="Hyperlink"/>
          </w:rPr>
          <w:t xml:space="preserve">PyRate: a new program to estimate speciation and extinction rates from incomplete fossil data</w:t>
        </w:r>
      </w:hyperlink>
      <w:r>
        <w:t xml:space="preserve">. Methods in Ecology and Evolution 5:1126–1131.</w:t>
      </w:r>
    </w:p>
    <w:bookmarkEnd w:id="252"/>
    <w:bookmarkStart w:id="253" w:name="ref-simpson1980"/>
    <w:p>
      <w:pPr>
        <w:pStyle w:val="Bibliography"/>
      </w:pPr>
      <w:r>
        <w:t xml:space="preserve">Simpson, G. G. 1980. Splendid isolation : The curious history of south american mammals. Yale University Press, New Haven.</w:t>
      </w:r>
    </w:p>
    <w:bookmarkEnd w:id="253"/>
    <w:bookmarkStart w:id="255" w:name="ref-solórzano2024"/>
    <w:p>
      <w:pPr>
        <w:pStyle w:val="Bibliography"/>
      </w:pPr>
      <w:r>
        <w:t xml:space="preserve">Solórzano, A., M. Núñez-Flores, and E. Rodríguez-Serrano. 2024.</w:t>
      </w:r>
      <w:r>
        <w:t xml:space="preserve"> </w:t>
      </w:r>
      <w:hyperlink r:id="rId254">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55"/>
    <w:bookmarkStart w:id="256"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w:t>
      </w:r>
      <w:r>
        <w:t xml:space="preserve">Flowering plants: Evolution above the species level. Cambridge, Mass.</w:t>
      </w:r>
    </w:p>
    <w:bookmarkEnd w:id="256"/>
    <w:bookmarkStart w:id="258" w:name="ref-strömberg2013"/>
    <w:p>
      <w:pPr>
        <w:pStyle w:val="Bibliography"/>
      </w:pPr>
      <w:r>
        <w:t xml:space="preserve">Strömberg, C. A. E., R. E. Dunn, R. H. Madden, M. J. Kohn, and A. A. Carlini. 2013.</w:t>
      </w:r>
      <w:r>
        <w:t xml:space="preserve"> </w:t>
      </w:r>
      <w:hyperlink r:id="rId257">
        <w:r>
          <w:rPr>
            <w:rStyle w:val="Hyperlink"/>
          </w:rPr>
          <w:t xml:space="preserve">Decoupling the spread of grasslands from the evolution of grazer-type herbivores in South America</w:t>
        </w:r>
      </w:hyperlink>
      <w:r>
        <w:t xml:space="preserve">. Nature Communications 4:1478.</w:t>
      </w:r>
    </w:p>
    <w:bookmarkEnd w:id="258"/>
    <w:bookmarkStart w:id="260" w:name="ref-tardif2025"/>
    <w:p>
      <w:pPr>
        <w:pStyle w:val="Bibliography"/>
      </w:pPr>
      <w:r>
        <w:t xml:space="preserve">Tardif, D., F. L. Condamine, S. J. R. Streiff, P. Sepulchre, and T. L. P. Couvreur. 2025.</w:t>
      </w:r>
      <w:r>
        <w:t xml:space="preserve"> </w:t>
      </w:r>
      <w:hyperlink r:id="rId259">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60"/>
    <w:bookmarkStart w:id="262" w:name="ref-tarquini2022"/>
    <w:p>
      <w:pPr>
        <w:pStyle w:val="Bibliography"/>
      </w:pPr>
      <w:r>
        <w:t xml:space="preserve">Tarquini, S. D., S. Ladevèze, and F. J. Prevosti. 2022.</w:t>
      </w:r>
      <w:r>
        <w:t xml:space="preserve"> </w:t>
      </w:r>
      <w:hyperlink r:id="rId261">
        <w:r>
          <w:rPr>
            <w:rStyle w:val="Hyperlink"/>
          </w:rPr>
          <w:t xml:space="preserve">The multicausal twilight of South American native mammalian predators (Metatheria, Sparassodonta)</w:t>
        </w:r>
      </w:hyperlink>
      <w:r>
        <w:t xml:space="preserve">. Scientific Reports 12:1224.</w:t>
      </w:r>
    </w:p>
    <w:bookmarkEnd w:id="262"/>
    <w:bookmarkStart w:id="264" w:name="ref-upham2019"/>
    <w:p>
      <w:pPr>
        <w:pStyle w:val="Bibliography"/>
      </w:pPr>
      <w:r>
        <w:t xml:space="preserve">Upham, N. S., J. A. Esselstyn, and W. Jetz. 2019.</w:t>
      </w:r>
      <w:r>
        <w:t xml:space="preserve"> </w:t>
      </w:r>
      <w:hyperlink r:id="rId263">
        <w:r>
          <w:rPr>
            <w:rStyle w:val="Hyperlink"/>
          </w:rPr>
          <w:t xml:space="preserve">Inferring the mammal tree: Species-level sets of phylogenies for questions in ecology, evolution, and conservation</w:t>
        </w:r>
      </w:hyperlink>
      <w:r>
        <w:t xml:space="preserve">. PLOS Biology 17:e3000494.</w:t>
      </w:r>
    </w:p>
    <w:bookmarkEnd w:id="264"/>
    <w:bookmarkStart w:id="266" w:name="ref-upham2026"/>
    <w:p>
      <w:pPr>
        <w:pStyle w:val="Bibliography"/>
      </w:pPr>
      <w:r>
        <w:t xml:space="preserve">Upham, N., C. Burgin, J. Widness, S. Liphardt, C. Parker, M. Becker, I. Rochon, D. Huckaby, and J. Zijlstra. 2026.</w:t>
      </w:r>
      <w:r>
        <w:t xml:space="preserve"> </w:t>
      </w:r>
      <w:hyperlink r:id="rId265">
        <w:r>
          <w:rPr>
            <w:rStyle w:val="Hyperlink"/>
          </w:rPr>
          <w:t xml:space="preserve">Mammal Diversity Database v2.4</w:t>
        </w:r>
      </w:hyperlink>
      <w:r>
        <w:t xml:space="preserve">.</w:t>
      </w:r>
    </w:p>
    <w:bookmarkEnd w:id="266"/>
    <w:bookmarkStart w:id="268"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7">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8"/>
    <w:bookmarkStart w:id="270" w:name="ref-vanvalen1960"/>
    <w:p>
      <w:pPr>
        <w:pStyle w:val="Bibliography"/>
      </w:pPr>
      <w:r>
        <w:t xml:space="preserve">Van Valen, L. 1960.</w:t>
      </w:r>
      <w:r>
        <w:t xml:space="preserve"> </w:t>
      </w:r>
      <w:hyperlink r:id="rId269">
        <w:r>
          <w:rPr>
            <w:rStyle w:val="Hyperlink"/>
          </w:rPr>
          <w:t xml:space="preserve">A functional index of hypsodonty</w:t>
        </w:r>
      </w:hyperlink>
      <w:r>
        <w:t xml:space="preserve">. Evolution 14:531–532.</w:t>
      </w:r>
    </w:p>
    <w:bookmarkEnd w:id="270"/>
    <w:bookmarkStart w:id="271" w:name="ref-vanvalen1973"/>
    <w:p>
      <w:pPr>
        <w:pStyle w:val="Bibliography"/>
      </w:pPr>
      <w:r>
        <w:t xml:space="preserve">Van Valen, L. 1973a. A new evolutionary law. Evolutionary Theory 1–30.</w:t>
      </w:r>
    </w:p>
    <w:bookmarkEnd w:id="271"/>
    <w:bookmarkStart w:id="272" w:name="ref-van_valen_pattern_1973"/>
    <w:p>
      <w:pPr>
        <w:pStyle w:val="Bibliography"/>
      </w:pPr>
      <w:r>
        <w:t xml:space="preserve">Van Valen, L. 1973b. Pattern and the balance of nature. Evol. Theory 1:31–49.</w:t>
      </w:r>
    </w:p>
    <w:bookmarkEnd w:id="272"/>
    <w:bookmarkStart w:id="273"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73"/>
    <w:bookmarkStart w:id="274"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74"/>
    <w:bookmarkStart w:id="276" w:name="ref-weppe2023"/>
    <w:p>
      <w:pPr>
        <w:pStyle w:val="Bibliography"/>
      </w:pPr>
      <w:r>
        <w:t xml:space="preserve">Weppe, R., F. L. Condamine, G. Guinot, J. Maugoust, and M. J. Orliac. 2023.</w:t>
      </w:r>
      <w:r>
        <w:t xml:space="preserve"> </w:t>
      </w:r>
      <w:hyperlink r:id="rId275">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6"/>
    <w:bookmarkStart w:id="278"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7">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8"/>
    <w:bookmarkStart w:id="280" w:name="ref-woods2021"/>
    <w:p>
      <w:pPr>
        <w:pStyle w:val="Bibliography"/>
      </w:pPr>
      <w:r>
        <w:t xml:space="preserve">Woods, R., I. Barnes, S. Brace, and S. T. Turvey. 2021.</w:t>
      </w:r>
      <w:r>
        <w:t xml:space="preserve"> </w:t>
      </w:r>
      <w:hyperlink r:id="rId279">
        <w:r>
          <w:rPr>
            <w:rStyle w:val="Hyperlink"/>
          </w:rPr>
          <w:t xml:space="preserve">Ancient DNA suggests single colonization and within-archipelago diversification of caribbean caviomorph rodents</w:t>
        </w:r>
      </w:hyperlink>
      <w:r>
        <w:t xml:space="preserve">. Molecular Biology and Evolution 38:84–95.</w:t>
      </w:r>
    </w:p>
    <w:bookmarkEnd w:id="280"/>
    <w:bookmarkEnd w:id="281"/>
    <w:p>
      <w:r>
        <w:br w:type="page"/>
      </w:r>
    </w:p>
    <w:bookmarkEnd w:id="282"/>
    <w:bookmarkStart w:id="30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6" w:name="fig-context"/>
          <w:p>
            <w:pPr>
              <w:pStyle w:val="Compact"/>
              <w:jc w:val="center"/>
            </w:pPr>
            <w:r>
              <w:drawing>
                <wp:inline>
                  <wp:extent cx="4679999" cy="5399999"/>
                  <wp:effectExtent b="0" l="0" r="0" t="0"/>
                  <wp:docPr descr="" title="" id="284" name="Picture"/>
                  <a:graphic>
                    <a:graphicData uri="http://schemas.openxmlformats.org/drawingml/2006/picture">
                      <pic:pic>
                        <pic:nvPicPr>
                          <pic:cNvPr descr="../Figures/Main/Figure_set_the_scene/Figure_context.png" id="285" name="Picture"/>
                          <pic:cNvPicPr>
                            <a:picLocks noChangeArrowheads="1" noChangeAspect="1"/>
                          </pic:cNvPicPr>
                        </pic:nvPicPr>
                        <pic:blipFill>
                          <a:blip r:embed="rId283"/>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6"/>
        </w:tc>
      </w:tr>
    </w:tbl>
    <w:tbl>
      <w:tblPr>
        <w:tblStyle w:val="Table"/>
        <w:tblW w:type="pct" w:w="5000"/>
        <w:tblLayout w:type="fixed"/>
        <w:tblLook w:firstRow="0" w:lastRow="0" w:firstColumn="0" w:lastColumn="0" w:noHBand="0" w:noVBand="0" w:val="0000"/>
      </w:tblPr>
      <w:tblGrid>
        <w:gridCol w:w="7920"/>
      </w:tblGrid>
      <w:tr>
        <w:tc>
          <w:tcPr/>
          <w:bookmarkStart w:id="291" w:name="fig-ExtSampl"/>
          <w:p>
            <w:pPr>
              <w:pStyle w:val="Compact"/>
              <w:jc w:val="center"/>
            </w:pPr>
            <w:r>
              <w:drawing>
                <wp:inline>
                  <wp:extent cx="5399999" cy="1486246"/>
                  <wp:effectExtent b="0" l="0" r="0" t="0"/>
                  <wp:docPr descr="" title="" id="288" name="Picture"/>
                  <a:graphic>
                    <a:graphicData uri="http://schemas.openxmlformats.org/drawingml/2006/picture">
                      <pic:pic>
                        <pic:nvPicPr>
                          <pic:cNvPr descr="../Figures/Main/extant_sampling/extant_sampling.png" id="289" name="Picture"/>
                          <pic:cNvPicPr>
                            <a:picLocks noChangeArrowheads="1" noChangeAspect="1"/>
                          </pic:cNvPicPr>
                        </pic:nvPicPr>
                        <pic:blipFill>
                          <a:blip r:embed="rId287"/>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90">
              <w:r>
                <w:rPr>
                  <w:rStyle w:val="Hyperlink"/>
                </w:rPr>
                <w:t xml:space="preserve">Phylopic</w:t>
              </w:r>
            </w:hyperlink>
            <w:r>
              <w:t xml:space="preserve">, see Tab. S3 for additional information.</w:t>
            </w:r>
          </w:p>
          <w:bookmarkEnd w:id="291"/>
        </w:tc>
      </w:tr>
    </w:tbl>
    <w:tbl>
      <w:tblPr>
        <w:tblStyle w:val="Table"/>
        <w:tblW w:type="pct" w:w="5000"/>
        <w:tblLayout w:type="fixed"/>
        <w:tblLook w:firstRow="0" w:lastRow="0" w:firstColumn="0" w:lastColumn="0" w:noHBand="0" w:noVBand="0" w:val="0000"/>
      </w:tblPr>
      <w:tblGrid>
        <w:gridCol w:w="7920"/>
      </w:tblGrid>
      <w:tr>
        <w:tc>
          <w:tcPr/>
          <w:bookmarkStart w:id="295" w:name="fig-diversityBM"/>
          <w:p>
            <w:pPr>
              <w:pStyle w:val="Compact"/>
              <w:jc w:val="center"/>
            </w:pPr>
            <w:r>
              <w:drawing>
                <wp:inline>
                  <wp:extent cx="1889999" cy="5399999"/>
                  <wp:effectExtent b="0" l="0" r="0" t="0"/>
                  <wp:docPr descr="" title="" id="293" name="Picture"/>
                  <a:graphic>
                    <a:graphicData uri="http://schemas.openxmlformats.org/drawingml/2006/picture">
                      <pic:pic>
                        <pic:nvPicPr>
                          <pic:cNvPr descr="../Figures/Main/Diversity_and_BM_through_time.png" id="294" name="Picture"/>
                          <pic:cNvPicPr>
                            <a:picLocks noChangeArrowheads="1" noChangeAspect="1"/>
                          </pic:cNvPicPr>
                        </pic:nvPicPr>
                        <pic:blipFill>
                          <a:blip r:embed="rId292"/>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5"/>
        </w:tc>
      </w:tr>
    </w:tbl>
    <w:tbl>
      <w:tblPr>
        <w:tblStyle w:val="Table"/>
        <w:tblW w:type="pct" w:w="5000"/>
        <w:tblLayout w:type="fixed"/>
        <w:tblLook w:firstRow="0" w:lastRow="0" w:firstColumn="0" w:lastColumn="0" w:noHBand="0" w:noVBand="0" w:val="0000"/>
      </w:tblPr>
      <w:tblGrid>
        <w:gridCol w:w="7920"/>
      </w:tblGrid>
      <w:tr>
        <w:tc>
          <w:tcPr/>
          <w:bookmarkStart w:id="299" w:name="fig-lifespans"/>
          <w:p>
            <w:pPr>
              <w:pStyle w:val="Compact"/>
              <w:jc w:val="center"/>
            </w:pPr>
            <w:r>
              <w:drawing>
                <wp:inline>
                  <wp:extent cx="5399999" cy="6839999"/>
                  <wp:effectExtent b="0" l="0" r="0" t="0"/>
                  <wp:docPr descr="" title="" id="297" name="Picture"/>
                  <a:graphic>
                    <a:graphicData uri="http://schemas.openxmlformats.org/drawingml/2006/picture">
                      <pic:pic>
                        <pic:nvPicPr>
                          <pic:cNvPr descr="../Figures/Main/Lifespans/lifespans_distribs.png" id="298" name="Picture"/>
                          <pic:cNvPicPr>
                            <a:picLocks noChangeArrowheads="1" noChangeAspect="1"/>
                          </pic:cNvPicPr>
                        </pic:nvPicPr>
                        <pic:blipFill>
                          <a:blip r:embed="rId296"/>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9"/>
        </w:tc>
      </w:tr>
    </w:tbl>
    <w:tbl>
      <w:tblPr>
        <w:tblStyle w:val="Table"/>
        <w:tblW w:type="pct" w:w="5000"/>
        <w:tblLayout w:type="fixed"/>
        <w:tblLook w:firstRow="0" w:lastRow="0" w:firstColumn="0" w:lastColumn="0" w:noHBand="0" w:noVBand="0" w:val="0000"/>
      </w:tblPr>
      <w:tblGrid>
        <w:gridCol w:w="7920"/>
      </w:tblGrid>
      <w:tr>
        <w:tc>
          <w:tcPr/>
          <w:bookmarkStart w:id="303" w:name="fig-diversification"/>
          <w:p>
            <w:pPr>
              <w:pStyle w:val="Compact"/>
              <w:jc w:val="center"/>
            </w:pPr>
            <w:r>
              <w:drawing>
                <wp:inline>
                  <wp:extent cx="5399999" cy="2591634"/>
                  <wp:effectExtent b="0" l="0" r="0" t="0"/>
                  <wp:docPr descr="" title="" id="301" name="Picture"/>
                  <a:graphic>
                    <a:graphicData uri="http://schemas.openxmlformats.org/drawingml/2006/picture">
                      <pic:pic>
                        <pic:nvPicPr>
                          <pic:cNvPr descr="../Figures/Main/Diversification_rates.png" id="302" name="Picture"/>
                          <pic:cNvPicPr>
                            <a:picLocks noChangeArrowheads="1" noChangeAspect="1"/>
                          </pic:cNvPicPr>
                        </pic:nvPicPr>
                        <pic:blipFill>
                          <a:blip r:embed="rId300"/>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S5).</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S15–S13). Last,</w:t>
            </w:r>
            <w:r>
              <w:t xml:space="preserve"> </w:t>
            </w:r>
            <w:r>
              <w:rPr>
                <w:b/>
                <w:bCs/>
              </w:rPr>
              <w:t xml:space="preserve">(G–H)</w:t>
            </w:r>
            <w:r>
              <w:t xml:space="preserve"> </w:t>
            </w:r>
            <w:r>
              <w:t xml:space="preserve">show the rates through time estimated by the MBD model as linear combinations of environmental variables.</w:t>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ExtinctionDrivers"/>
          <w:p>
            <w:pPr>
              <w:pStyle w:val="Compact"/>
              <w:jc w:val="center"/>
            </w:pPr>
            <w:r>
              <w:drawing>
                <wp:inline>
                  <wp:extent cx="5305454" cy="5039999"/>
                  <wp:effectExtent b="0" l="0" r="0" t="0"/>
                  <wp:docPr descr="" title="" id="305" name="Picture"/>
                  <a:graphic>
                    <a:graphicData uri="http://schemas.openxmlformats.org/drawingml/2006/picture">
                      <pic:pic>
                        <pic:nvPicPr>
                          <pic:cNvPr descr="../Figures/Main/Drivers/Combined_driver_figure.png" id="306" name="Picture"/>
                          <pic:cNvPicPr>
                            <a:picLocks noChangeArrowheads="1" noChangeAspect="1"/>
                          </pic:cNvPicPr>
                        </pic:nvPicPr>
                        <pic:blipFill>
                          <a:blip r:embed="rId304"/>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07"/>
        </w:tc>
      </w:tr>
    </w:tbl>
    <w:bookmarkEnd w:id="30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0" Target="media/rId300.png" /><Relationship Type="http://schemas.openxmlformats.org/officeDocument/2006/relationships/image" Id="rId292" Target="media/rId292.png" /><Relationship Type="http://schemas.openxmlformats.org/officeDocument/2006/relationships/image" Id="rId304" Target="media/rId304.png" /><Relationship Type="http://schemas.openxmlformats.org/officeDocument/2006/relationships/image" Id="rId283" Target="media/rId283.png" /><Relationship Type="http://schemas.openxmlformats.org/officeDocument/2006/relationships/image" Id="rId296" Target="media/rId296.png" /><Relationship Type="http://schemas.openxmlformats.org/officeDocument/2006/relationships/image" Id="rId287" Target="media/rId287.png" /><Relationship Type="http://schemas.openxmlformats.org/officeDocument/2006/relationships/hyperlink" Id="rId215" Target="https://discovery.ucl.ac.uk/id/eprint/10220325/" TargetMode="External" /><Relationship Type="http://schemas.openxmlformats.org/officeDocument/2006/relationships/hyperlink" Id="rId198"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04" Target="https://doi.org/10.1007/BF02988789" TargetMode="External" /><Relationship Type="http://schemas.openxmlformats.org/officeDocument/2006/relationships/hyperlink" Id="rId192"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13"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4"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9" Target="https://doi.org/10.1017/pab.2019.23" TargetMode="External" /><Relationship Type="http://schemas.openxmlformats.org/officeDocument/2006/relationships/hyperlink" Id="rId211"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7" Target="https://doi.org/10.1038/ncomms2299" TargetMode="External" /><Relationship Type="http://schemas.openxmlformats.org/officeDocument/2006/relationships/hyperlink" Id="rId257"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6"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61"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67"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5"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222" Target="https://doi.org/10.1080/02724634.2010.522432" TargetMode="External" /><Relationship Type="http://schemas.openxmlformats.org/officeDocument/2006/relationships/hyperlink" Id="rId229" Target="https://doi.org/10.1080/08912963.2017.1294168" TargetMode="External" /><Relationship Type="http://schemas.openxmlformats.org/officeDocument/2006/relationships/hyperlink" Id="rId23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9" Target="https://doi.org/10.1093/jmammal/gyz194" TargetMode="External" /><Relationship Type="http://schemas.openxmlformats.org/officeDocument/2006/relationships/hyperlink" Id="rId279"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0" Target="https://doi.org/10.1098/rspb.2007.1056" TargetMode="External" /><Relationship Type="http://schemas.openxmlformats.org/officeDocument/2006/relationships/hyperlink" Id="rId237"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41"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51"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4" Target="https://doi.org/10.1111/evo.13680" TargetMode="External" /><Relationship Type="http://schemas.openxmlformats.org/officeDocument/2006/relationships/hyperlink" Id="rId259"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84" Target="https://doi.org/10.1111/j.1365-2699.2005.01314.x" TargetMode="External" /><Relationship Type="http://schemas.openxmlformats.org/officeDocument/2006/relationships/hyperlink" Id="rId245"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9" Target="https://doi.org/10.1111/j.1558-5646.1960.tb03121.x" TargetMode="External" /><Relationship Type="http://schemas.openxmlformats.org/officeDocument/2006/relationships/hyperlink" Id="rId23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47" Target="https://doi.org/10.1111/nph.13247" TargetMode="External" /><Relationship Type="http://schemas.openxmlformats.org/officeDocument/2006/relationships/hyperlink" Id="rId170" Target="https://doi.org/10.1126/sciadv.1601693" TargetMode="External" /><Relationship Type="http://schemas.openxmlformats.org/officeDocument/2006/relationships/hyperlink" Id="rId202"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3" Target="https://doi.org/10.1126/science.1089332" TargetMode="External" /><Relationship Type="http://schemas.openxmlformats.org/officeDocument/2006/relationships/hyperlink" Id="rId23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7"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6"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6" Target="https://doi.org/10.1146/annurev.ecolsys.31.1.33" TargetMode="External" /><Relationship Type="http://schemas.openxmlformats.org/officeDocument/2006/relationships/hyperlink" Id="rId188" Target="https://doi.org/10.1206/0003-0090-363.1.1" TargetMode="External" /><Relationship Type="http://schemas.openxmlformats.org/officeDocument/2006/relationships/hyperlink" Id="rId263"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65" Target="https://doi.org/10.5281/zenodo.18135819" TargetMode="External" /><Relationship Type="http://schemas.openxmlformats.org/officeDocument/2006/relationships/hyperlink" Id="rId208"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20"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90"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5" Target="https://discovery.ucl.ac.uk/id/eprint/10220325/" TargetMode="External" /><Relationship Type="http://schemas.openxmlformats.org/officeDocument/2006/relationships/hyperlink" Id="rId198"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04" Target="https://doi.org/10.1007/BF02988789" TargetMode="External" /><Relationship Type="http://schemas.openxmlformats.org/officeDocument/2006/relationships/hyperlink" Id="rId192"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13"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4"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9" Target="https://doi.org/10.1017/pab.2019.23" TargetMode="External" /><Relationship Type="http://schemas.openxmlformats.org/officeDocument/2006/relationships/hyperlink" Id="rId211"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7" Target="https://doi.org/10.1038/ncomms2299" TargetMode="External" /><Relationship Type="http://schemas.openxmlformats.org/officeDocument/2006/relationships/hyperlink" Id="rId257"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6"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61"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67"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5"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222" Target="https://doi.org/10.1080/02724634.2010.522432" TargetMode="External" /><Relationship Type="http://schemas.openxmlformats.org/officeDocument/2006/relationships/hyperlink" Id="rId229" Target="https://doi.org/10.1080/08912963.2017.1294168" TargetMode="External" /><Relationship Type="http://schemas.openxmlformats.org/officeDocument/2006/relationships/hyperlink" Id="rId23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9" Target="https://doi.org/10.1093/jmammal/gyz194" TargetMode="External" /><Relationship Type="http://schemas.openxmlformats.org/officeDocument/2006/relationships/hyperlink" Id="rId279"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0" Target="https://doi.org/10.1098/rspb.2007.1056" TargetMode="External" /><Relationship Type="http://schemas.openxmlformats.org/officeDocument/2006/relationships/hyperlink" Id="rId237"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41"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51"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4" Target="https://doi.org/10.1111/evo.13680" TargetMode="External" /><Relationship Type="http://schemas.openxmlformats.org/officeDocument/2006/relationships/hyperlink" Id="rId259"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84" Target="https://doi.org/10.1111/j.1365-2699.2005.01314.x" TargetMode="External" /><Relationship Type="http://schemas.openxmlformats.org/officeDocument/2006/relationships/hyperlink" Id="rId245"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9" Target="https://doi.org/10.1111/j.1558-5646.1960.tb03121.x" TargetMode="External" /><Relationship Type="http://schemas.openxmlformats.org/officeDocument/2006/relationships/hyperlink" Id="rId23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47" Target="https://doi.org/10.1111/nph.13247" TargetMode="External" /><Relationship Type="http://schemas.openxmlformats.org/officeDocument/2006/relationships/hyperlink" Id="rId170" Target="https://doi.org/10.1126/sciadv.1601693" TargetMode="External" /><Relationship Type="http://schemas.openxmlformats.org/officeDocument/2006/relationships/hyperlink" Id="rId202"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3" Target="https://doi.org/10.1126/science.1089332" TargetMode="External" /><Relationship Type="http://schemas.openxmlformats.org/officeDocument/2006/relationships/hyperlink" Id="rId23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7"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6"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6" Target="https://doi.org/10.1146/annurev.ecolsys.31.1.33" TargetMode="External" /><Relationship Type="http://schemas.openxmlformats.org/officeDocument/2006/relationships/hyperlink" Id="rId188" Target="https://doi.org/10.1206/0003-0090-363.1.1" TargetMode="External" /><Relationship Type="http://schemas.openxmlformats.org/officeDocument/2006/relationships/hyperlink" Id="rId263"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65" Target="https://doi.org/10.5281/zenodo.18135819" TargetMode="External" /><Relationship Type="http://schemas.openxmlformats.org/officeDocument/2006/relationships/hyperlink" Id="rId208"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20"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90"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2026-05-27T16:42:24Z</dcterms:created>
  <dcterms:modified xsi:type="dcterms:W3CDTF">2026-05-27T16:42:24Z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