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2.png" ContentType="image/png"/>
  <Override PartName="/word/media/rId288.png" ContentType="image/png"/>
  <Override PartName="/word/media/rId284.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evolutionary biologists</w:t>
      </w:r>
      <w:r>
        <w:t xml:space="preserve"> </w:t>
      </w:r>
      <w:r>
        <w:t xml:space="preserve">(Simpson 1944)</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(Pimiento et al. 2019; Boessenecker et al. 2019; Chiarenza et al. 2020; Boscaini et al. 2025)</w:t>
      </w:r>
      <w:r>
        <w:t xml:space="preserve">. Two classes of factors are usually invoked to explain the long-term dynamics of biological diversity. On one side,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such as inter-clade competition</w:t>
      </w:r>
      <w:r>
        <w:t xml:space="preserve"> </w:t>
      </w:r>
      <w:r>
        <w:t xml:space="preserve">(</w:t>
      </w:r>
      <w:r>
        <w:rPr>
          <w:i/>
          <w:iCs/>
        </w:rPr>
        <w:t xml:space="preserve">e</w:t>
      </w:r>
      <w:r>
        <w:t xml:space="preserve">.</w:t>
      </w:r>
      <w:r>
        <w:rPr>
          <w:i/>
          <w:iCs/>
        </w:rPr>
        <w:t xml:space="preserve">g</w:t>
      </w:r>
      <w:r>
        <w:t xml:space="preserve">., Silvestro et al. 2015; Drury et al. 2016)</w:t>
      </w:r>
      <w:r>
        <w:t xml:space="preserve">.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 the emphasis on abiotic factors as a primary driver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 Deciphering how these factors shape speciation and extinction dynamics as well as the evolution of phenotypes is a central aim of macroevolutionary research</w:t>
      </w:r>
      <w:r>
        <w:t xml:space="preserve"> </w:t>
      </w:r>
      <w:r>
        <w:t xml:space="preserve">(</w:t>
      </w:r>
      <w:r>
        <w:rPr>
          <w:i/>
          <w:iCs/>
        </w:rPr>
        <w:t xml:space="preserve">e</w:t>
      </w:r>
      <w:r>
        <w:t xml:space="preserve">.</w:t>
      </w:r>
      <w:r>
        <w:rPr>
          <w:i/>
          <w:iCs/>
        </w:rPr>
        <w:t xml:space="preserve">g</w:t>
      </w:r>
      <w:r>
        <w:t xml:space="preserve">., Benton 2009; Quental and Marshall 2013; Condamine et al. 2018)</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Moreover,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medium-to-large-sized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Several hypotheses have been advocated to explain chinchilloid’s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evolutionary collapse, remains parcellar. Previous studies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methods that flourished over the last decade</w:t>
      </w:r>
      <w:r>
        <w:t xml:space="preserve"> </w:t>
      </w:r>
      <w:r>
        <w:t xml:space="preserve">(</w:t>
      </w:r>
      <w:r>
        <w:rPr>
          <w:i/>
          <w:iCs/>
        </w:rPr>
        <w:t xml:space="preserve">e</w:t>
      </w:r>
      <w:r>
        <w:t xml:space="preserve">.</w:t>
      </w:r>
      <w:r>
        <w:rPr>
          <w:i/>
          <w:iCs/>
        </w:rPr>
        <w:t xml:space="preserve">g</w:t>
      </w:r>
      <w:r>
        <w:t xml:space="preserve">.,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1</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1</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S2).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(Figure SX-Y and Table S1).</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2019a,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using,the pymc 5.9.2 python library.</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Predictors (</w:t>
      </w:r>
      <w:r>
        <w:rPr>
          <w:i/>
          <w:iCs/>
        </w:rPr>
        <w:t xml:space="preserve">i</w:t>
      </w:r>
      <w:r>
        <w:t xml:space="preserve">.</w:t>
      </w:r>
      <w:r>
        <w:rPr>
          <w:i/>
          <w:iCs/>
        </w:rPr>
        <w:t xml:space="preserve">e</w:t>
      </w:r>
      <w:r>
        <w:t xml:space="preserve">., environmental covariates and categorical traits) were scaled prior to their incorporation in the model. As recommended by</w:t>
      </w:r>
      <w:r>
        <w:t xml:space="preserve"> </w:t>
      </w:r>
      <w:r>
        <w:t xml:space="preserve">Hauffe et al. (2024)</w:t>
      </w:r>
      <w:r>
        <w:t xml:space="preserve">, we tested several network architectures (2 layers with 16 and 8 nodes; 3 layers with 32, 16, 8 nodes). These two alternative architectures did not differ in their outcome (</w:t>
      </w:r>
      <w:r>
        <w:rPr>
          <w:b/>
          <w:bCs/>
        </w:rPr>
        <w:t xml:space="preserve">Fig. SX</w:t>
      </w:r>
      <w:r>
        <w:t xml:space="preserve">,</w:t>
      </w:r>
      <w:r>
        <w:t xml:space="preserve"> </w:t>
      </w:r>
      <w:r>
        <w:rPr>
          <w:b/>
          <w:bCs/>
        </w:rPr>
        <w:t xml:space="preserve">Tab. SX</w:t>
      </w:r>
      <w:r>
        <w:t xml:space="preserve">); all the BDNN results presented thereafter were obtained with the default network architecture (2 layers with 16 and 8 nodes). As BDNN cannot handle missing data, we excluded species for which we could either not reconstruct body mass or hypsodonty index from this set of analysis, altogether representing 11 species</w:t>
      </w:r>
      <w:r>
        <w:rPr>
          <w:rStyle w:val="FootnoteReference"/>
        </w:rPr>
        <w:footnoteReference w:id="30"/>
      </w:r>
      <w:r>
        <w:t xml:space="preserve"> </w:t>
      </w:r>
      <w:r>
        <w:t xml:space="preserve">and 79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our macroevolutionary modelling of the fossil record evidenced a Late Miocene increase in chinchilloid diversity followed by a sharp decline from</w:t>
      </w:r>
      <w:r>
        <w:t xml:space="preserve"> </w:t>
      </w:r>
      <w:r>
        <w:rPr>
          <w:i/>
          <w:iCs/>
        </w:rPr>
        <w:t xml:space="preserve">ca</w:t>
      </w:r>
      <w:r>
        <w:t xml:space="preserve">. 6.5 Ma</w:t>
      </w:r>
      <w:r>
        <w:t xml:space="preserve"> </w:t>
      </w:r>
      <w:hyperlink w:anchor="fig-diversityBM">
        <w:r>
          <w:rPr>
            <w:rStyle w:val="Hyperlink"/>
          </w:rPr>
          <w:t xml:space="preserve">Figure 3</w:t>
        </w:r>
      </w:hyperlink>
      <w:r>
        <w:t xml:space="preserve">. At their maximum, median sampled and corrected diversity exhibit a 3-fold difference, respectively peaking at 22 and 62. Four additional – though more attenuated – peaks may be reported from the sampled diversity curve : one in the late Oligocene (Deseadan SALMA), two in the Early Miocene (Colhuehuapian and Santacrucian SALMAs) and one in the late Middle Miocene (Laventan SALMA)</w:t>
      </w:r>
      <w:r>
        <w:t xml:space="preserve"> </w:t>
      </w:r>
      <w:hyperlink w:anchor="fig-diversityBM">
        <w:r>
          <w:rPr>
            <w:rStyle w:val="Hyperlink"/>
          </w:rPr>
          <w:t xml:space="preserve">Figure 3</w:t>
        </w:r>
      </w:hyperlink>
      <w:r>
        <w:t xml:space="preserve">. These peaks are barely recovered from the corrected diversity curve, potentially excepted for the Colhuehuapian and Santacrucian ones</w:t>
      </w:r>
      <w:r>
        <w:t xml:space="preserve"> </w:t>
      </w:r>
      <w:hyperlink w:anchor="fig-diversityBM">
        <w:r>
          <w:rPr>
            <w:rStyle w:val="Hyperlink"/>
          </w:rPr>
          <w:t xml:space="preserve">Figure 3</w:t>
        </w:r>
      </w:hyperlink>
      <w:r>
        <w:t xml:space="preserve">.</w:t>
      </w:r>
    </w:p>
    <w:p>
      <w:pPr>
        <w:pStyle w:val="BodyText"/>
      </w:pPr>
      <w:r>
        <w:t xml:space="preserve">The reconstructed broad diversity pattern elegantly matches with the dynamics of body size evolution across the history of the clade</w:t>
      </w:r>
      <w:r>
        <w:t xml:space="preserve"> </w:t>
      </w:r>
      <w:hyperlink w:anchor="fig-diversityBM">
        <w:r>
          <w:rPr>
            <w:rStyle w:val="Hyperlink"/>
          </w:rPr>
          <w:t xml:space="preserve">Figure 3</w:t>
        </w:r>
      </w:hyperlink>
      <w:r>
        <w:t xml:space="preserve">. According to our estimates,</w:t>
      </w:r>
    </w:p>
    <w:p>
      <w:pPr>
        <w:pStyle w:val="BodyText"/>
      </w:pPr>
      <w:r>
        <w:t xml:space="preserve">Positive net diversification rate until</w:t>
      </w:r>
      <w:r>
        <w:t xml:space="preserve"> </w:t>
      </w:r>
      <w:r>
        <w:rPr>
          <w:i/>
          <w:iCs/>
        </w:rPr>
        <w:t xml:space="preserve">ca</w:t>
      </w:r>
      <w:r>
        <w:t xml:space="preserve">. 6 Ma, decline and increase in extinction rate (cite figures accordingly).</w:t>
      </w:r>
    </w:p>
    <w:p>
      <w:pPr>
        <w:pStyle w:val="BodyText"/>
      </w:pPr>
      <w:r>
        <w:t xml:space="preserve">All DD architectures performed similarly, as long as they comprised at least one dense layer connecting the output of the LSTM layers to the output layer (</w:t>
      </w:r>
      <w:r>
        <w:rPr>
          <w:b/>
          <w:bCs/>
        </w:rPr>
        <w:t xml:space="preserve">Supp. Tab. 8</w:t>
      </w:r>
      <w:r>
        <w:t xml:space="preserve">).</w:t>
      </w:r>
    </w:p>
    <w:p>
      <w:pPr>
        <w:pStyle w:val="BodyText"/>
      </w:pPr>
      <w:r>
        <w:t xml:space="preserve">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bookmarkEnd w:id="35"/>
    <w:bookmarkStart w:id="36" w:name="Xeff14126d71e9a6fc25ff8995a8259fc4cdba78"/>
    <w:p>
      <w:pPr>
        <w:pStyle w:val="Heading2"/>
      </w:pPr>
      <w:r>
        <w:t xml:space="preserve">A body-mass selective XXX XXX evolutionary decline</w:t>
      </w:r>
    </w:p>
    <w:p>
      <w:pPr>
        <w:pStyle w:val="FirstParagraph"/>
      </w:pPr>
      <w:r>
        <w:t xml:space="preserve">Evidence for Cope’s rule</w:t>
      </w:r>
    </w:p>
    <w:p>
      <w:pPr>
        <w:pStyle w:val="BodyText"/>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 =&gt;</w:t>
      </w:r>
      <w:r>
        <w:t xml:space="preserve"> </w:t>
      </w:r>
      <w:r>
        <w:rPr>
          <w:b/>
          <w:bCs/>
        </w:rPr>
        <w:t xml:space="preserve">indicate on the violin plot</w:t>
      </w:r>
      <w:r>
        <w:t xml:space="preserve">).</w:t>
      </w:r>
    </w:p>
    <w:p>
      <w:pPr>
        <w:pStyle w:val="BodyText"/>
      </w:pPr>
      <w:r>
        <w:t xml:space="preserve">In our BDNN analyses, time is always ranked as the least important predictor, suggesting our environmental and trait variable effectively capture signal of rate variation.</w:t>
      </w:r>
    </w:p>
    <w:bookmarkEnd w:id="36"/>
    <w:bookmarkStart w:id="37" w:name="side-notes"/>
    <w:p>
      <w:pPr>
        <w:pStyle w:val="Heading2"/>
      </w:pPr>
      <w:r>
        <w:t xml:space="preserve">Side notes</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7"/>
    <w:bookmarkEnd w:id="38"/>
    <w:bookmarkStart w:id="47" w:name="discussion"/>
    <w:p>
      <w:pPr>
        <w:pStyle w:val="Heading1"/>
      </w:pPr>
      <w:r>
        <w:t xml:space="preserve">Discussion</w:t>
      </w:r>
    </w:p>
    <w:p>
      <w:pPr>
        <w:pStyle w:val="FirstParagraph"/>
      </w:pPr>
      <w:r>
        <w:t xml:space="preserve">ucetich2015 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41"/>
    <w:bookmarkEnd w:id="42"/>
    <w:bookmarkStart w:id="43"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 SX</w:t>
      </w:r>
      <w:r>
        <w:t xml:space="preserve">)</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78" w:name="references"/>
    <w:p>
      <w:pPr>
        <w:pStyle w:val="Heading1"/>
      </w:pPr>
      <w:r>
        <w:t xml:space="preserve">References</w:t>
      </w:r>
    </w:p>
    <w:bookmarkStart w:id="277"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aud2020"/>
    <w:p>
      <w:pPr>
        <w:pStyle w:val="Bibliography"/>
      </w:pPr>
      <w:r>
        <w:t xml:space="preserve">Billaud, O., D. S. Moen, T. L. Parsons, and H. Morlon. 2020.</w:t>
      </w:r>
      <w:r>
        <w:t xml:space="preserve"> </w:t>
      </w:r>
      <w:hyperlink r:id="rId69">
        <w:r>
          <w:rPr>
            <w:rStyle w:val="Hyperlink"/>
          </w:rPr>
          <w:t xml:space="preserve">Estimating diversity through time using molecular phylogenies: Old and species-poor frog families are the remnants of a diverse past</w:t>
        </w:r>
      </w:hyperlink>
      <w:r>
        <w:t xml:space="preserve">. Systematic Biology 69:363–383.</w:t>
      </w:r>
    </w:p>
    <w:bookmarkEnd w:id="70"/>
    <w:bookmarkStart w:id="72" w:name="ref-billet2009"/>
    <w:p>
      <w:pPr>
        <w:pStyle w:val="Bibliography"/>
      </w:pPr>
      <w:r>
        <w:t xml:space="preserve">Billet, G., C. Blondel, and C. de Muizon. 2009.</w:t>
      </w:r>
      <w:r>
        <w:t xml:space="preserve"> </w:t>
      </w:r>
      <w:hyperlink r:id="rId7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2"/>
    <w:bookmarkStart w:id="74" w:name="ref-boessenecker2019"/>
    <w:p>
      <w:pPr>
        <w:pStyle w:val="Bibliography"/>
      </w:pPr>
      <w:r>
        <w:t xml:space="preserve">Boessenecker, R. W., D. J. Ehret, D. J. Long, M. Churchill, E. Martin, and S. J. Boessenecker. 2019.</w:t>
      </w:r>
      <w:r>
        <w:t xml:space="preserve"> </w:t>
      </w:r>
      <w:hyperlink r:id="rId73">
        <w:r>
          <w:rPr>
            <w:rStyle w:val="Hyperlink"/>
          </w:rPr>
          <w:t xml:space="preserve">The Early Pliocene extinction of the mega-toothed shark Otodus megalodon: a view from the eastern North Pacific</w:t>
        </w:r>
      </w:hyperlink>
      <w:r>
        <w:t xml:space="preserve">. PeerJ 7:e6088.</w:t>
      </w:r>
    </w:p>
    <w:bookmarkEnd w:id="74"/>
    <w:bookmarkStart w:id="76" w:name="ref-boisserie_phylogeny_2005"/>
    <w:p>
      <w:pPr>
        <w:pStyle w:val="Bibliography"/>
      </w:pPr>
      <w:r>
        <w:t xml:space="preserve">Boisserie, J.-R. 2005.</w:t>
      </w:r>
      <w:r>
        <w:t xml:space="preserve"> </w:t>
      </w:r>
      <w:hyperlink r:id="rId75">
        <w:r>
          <w:rPr>
            <w:rStyle w:val="Hyperlink"/>
          </w:rPr>
          <w:t xml:space="preserve">The phylogeny and taxonomy of hippopotamidae (mammalia: Artiodactyla): A review based on morphology and cladistic analysis</w:t>
        </w:r>
      </w:hyperlink>
      <w:r>
        <w:t xml:space="preserve">. Zool J Linn Soc 143:1–26.</w:t>
      </w:r>
    </w:p>
    <w:bookmarkEnd w:id="76"/>
    <w:bookmarkStart w:id="78" w:name="ref-boisserie2005"/>
    <w:p>
      <w:pPr>
        <w:pStyle w:val="Bibliography"/>
      </w:pPr>
      <w:r>
        <w:t xml:space="preserve">Boisserie, J.-R., F. Lihoreau, and M. Brunet. 2005.</w:t>
      </w:r>
      <w:r>
        <w:t xml:space="preserve"> </w:t>
      </w:r>
      <w:hyperlink r:id="rId77">
        <w:r>
          <w:rPr>
            <w:rStyle w:val="Hyperlink"/>
          </w:rPr>
          <w:t xml:space="preserve">The position of hippopotamidae within cetartiodactyla</w:t>
        </w:r>
      </w:hyperlink>
      <w:r>
        <w:t xml:space="preserve">. Proceedings of the National Academy of Sciences 102:1537–1541.</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Andean mountain building since the late cretaceous: A paleoelevation reconstruction</w:t>
        </w:r>
      </w:hyperlink>
      <w:r>
        <w:t xml:space="preserve">. Earth-Science Reviews 220:103640.</w:t>
      </w:r>
    </w:p>
    <w:bookmarkEnd w:id="86"/>
    <w:bookmarkStart w:id="88" w:name="ref-brandoni2016"/>
    <w:p>
      <w:pPr>
        <w:pStyle w:val="Bibliography"/>
      </w:pPr>
      <w:r>
        <w:t xml:space="preserve">Brandoni, D., L. G. Ruiz, M. F. Tejedor, G. Martin, and J. G. Fleagle. 2016.</w:t>
      </w:r>
      <w:r>
        <w:t xml:space="preserve"> </w:t>
      </w:r>
      <w:hyperlink r:id="rId87">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88"/>
    <w:bookmarkStart w:id="90" w:name="ref-brée2022"/>
    <w:p>
      <w:pPr>
        <w:pStyle w:val="Bibliography"/>
      </w:pPr>
      <w:r>
        <w:t xml:space="preserve">Brée, B., F. L. Condamine, and G. Guinot. 2022.</w:t>
      </w:r>
      <w:r>
        <w:t xml:space="preserve"> </w:t>
      </w:r>
      <w:hyperlink r:id="rId89">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0"/>
    <w:bookmarkStart w:id="92" w:name="ref-buffan2025"/>
    <w:p>
      <w:pPr>
        <w:pStyle w:val="Bibliography"/>
      </w:pPr>
      <w:r>
        <w:t xml:space="preserve">Buffan, L., F. L. Condamine, N. S. Stutz, F. Pujos, P.-O. Antoine, and L. Marivaux. 2025.</w:t>
      </w:r>
      <w:r>
        <w:t xml:space="preserve"> </w:t>
      </w:r>
      <w:hyperlink r:id="rId91">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92"/>
    <w:bookmarkStart w:id="94"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93">
        <w:r>
          <w:rPr>
            <w:rStyle w:val="Hyperlink"/>
          </w:rPr>
          <w:t xml:space="preserve">10.1101/2025.02.27.640393</w:t>
        </w:r>
      </w:hyperlink>
      <w:r>
        <w:t xml:space="preserve">. bioRxiv.</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21"/>
    <w:p>
      <w:pPr>
        <w:pStyle w:val="Bibliography"/>
      </w:pPr>
      <w:r>
        <w:t xml:space="preserve">Cantalapiedra, J. L., Ó. Sanisidro, H. Zhang, M. T. Alberdi, J. L. Prado, F. Blanco, and J. Saarinen. 2021.</w:t>
      </w:r>
      <w:r>
        <w:t xml:space="preserve"> </w:t>
      </w:r>
      <w:hyperlink r:id="rId98">
        <w:r>
          <w:rPr>
            <w:rStyle w:val="Hyperlink"/>
          </w:rPr>
          <w:t xml:space="preserve">The rise and fall of proboscidean ecological diversity</w:t>
        </w:r>
      </w:hyperlink>
      <w:r>
        <w:t xml:space="preserve">. Nature Ecology &amp; Evolution 5:1266–1272.</w:t>
      </w:r>
    </w:p>
    <w:bookmarkEnd w:id="99"/>
    <w:bookmarkStart w:id="101" w:name="ref-carrillo_giant_2015"/>
    <w:p>
      <w:pPr>
        <w:pStyle w:val="Bibliography"/>
      </w:pPr>
      <w:r>
        <w:t xml:space="preserve">Carrillo, J. D., and M. R. Sánchez-Villagra. 2015.</w:t>
      </w:r>
      <w:r>
        <w:t xml:space="preserve"> </w:t>
      </w:r>
      <w:hyperlink r:id="rId100">
        <w:r>
          <w:rPr>
            <w:rStyle w:val="Hyperlink"/>
          </w:rPr>
          <w:t xml:space="preserve">Giant rodents from the neotropics: Diversity and dental variation of late miocene neoepiblemid remains from urumaco, venezuela</w:t>
        </w:r>
      </w:hyperlink>
      <w:r>
        <w:t xml:space="preserve">. Paläontol Z 89:1057–1071.</w:t>
      </w:r>
    </w:p>
    <w:bookmarkEnd w:id="101"/>
    <w:bookmarkStart w:id="102"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102"/>
    <w:bookmarkStart w:id="104" w:name="ref-chiarenza2020"/>
    <w:p>
      <w:pPr>
        <w:pStyle w:val="Bibliography"/>
      </w:pPr>
      <w:r>
        <w:t xml:space="preserve">Chiarenza, A. A., A. Farnsworth, P. D. Mannion, D. J. Lunt, P. J. Valdes, J. V. Morgan, and P. A. Allison. 2020.</w:t>
      </w:r>
      <w:r>
        <w:t xml:space="preserve"> </w:t>
      </w:r>
      <w:hyperlink r:id="rId103">
        <w:r>
          <w:rPr>
            <w:rStyle w:val="Hyperlink"/>
          </w:rPr>
          <w:t xml:space="preserve">Asteroid impact, not volcanism, caused the end-cretaceous dinosaur extinction</w:t>
        </w:r>
      </w:hyperlink>
      <w:r>
        <w:t xml:space="preserve">. Proceedings of the National Academy of Sciences 117:17084–17093.</w:t>
      </w:r>
    </w:p>
    <w:bookmarkEnd w:id="104"/>
    <w:bookmarkStart w:id="106" w:name="ref-cohen2025"/>
    <w:p>
      <w:pPr>
        <w:pStyle w:val="Bibliography"/>
      </w:pPr>
      <w:r>
        <w:t xml:space="preserve">Cohen, K., D. Harper, P. Gibbard, and N. Car. 2025.</w:t>
      </w:r>
      <w:r>
        <w:t xml:space="preserve"> </w:t>
      </w:r>
      <w:hyperlink r:id="rId105">
        <w:r>
          <w:rPr>
            <w:rStyle w:val="Hyperlink"/>
          </w:rPr>
          <w:t xml:space="preserve">The ICS international chronostratigraphic chart this decade</w:t>
        </w:r>
      </w:hyperlink>
      <w:r>
        <w:t xml:space="preserve">. Episodes Journal of International Geoscience 48:105–115.</w:t>
      </w:r>
    </w:p>
    <w:bookmarkEnd w:id="106"/>
    <w:bookmarkStart w:id="108" w:name="ref-condamine2018"/>
    <w:p>
      <w:pPr>
        <w:pStyle w:val="Bibliography"/>
      </w:pPr>
      <w:r>
        <w:t xml:space="preserve">Condamine, F. L., J. Rolland, S. Höhna, F. A. H. Sperling, and I. Sanmartín. 2018.</w:t>
      </w:r>
      <w:r>
        <w:t xml:space="preserve"> </w:t>
      </w:r>
      <w:hyperlink r:id="rId107">
        <w:r>
          <w:rPr>
            <w:rStyle w:val="Hyperlink"/>
          </w:rPr>
          <w:t xml:space="preserve">Testing the role of the red queen and court jester as drivers of the macroevolution of apollo butterflies</w:t>
        </w:r>
      </w:hyperlink>
      <w:r>
        <w:t xml:space="preserve">. Systematic Biology 67:940–964.</w:t>
      </w:r>
    </w:p>
    <w:bookmarkEnd w:id="108"/>
    <w:bookmarkStart w:id="110" w:name="ref-condamine2019"/>
    <w:p>
      <w:pPr>
        <w:pStyle w:val="Bibliography"/>
      </w:pPr>
      <w:r>
        <w:t xml:space="preserve">Condamine, F. L., J. Rolland, and H. Morlon. 2019a.</w:t>
      </w:r>
      <w:r>
        <w:t xml:space="preserve"> </w:t>
      </w:r>
      <w:hyperlink r:id="rId109">
        <w:r>
          <w:rPr>
            <w:rStyle w:val="Hyperlink"/>
          </w:rPr>
          <w:t xml:space="preserve">Assessing the causes of diversification slowdowns: temperature-dependent and diversity-dependent models receive equivalent support</w:t>
        </w:r>
      </w:hyperlink>
      <w:r>
        <w:t xml:space="preserve">. Ecology Letters 22:1900–1912.</w:t>
      </w:r>
    </w:p>
    <w:bookmarkEnd w:id="110"/>
    <w:bookmarkStart w:id="112" w:name="ref-condamine_climate_2019"/>
    <w:p>
      <w:pPr>
        <w:pStyle w:val="Bibliography"/>
      </w:pPr>
      <w:r>
        <w:t xml:space="preserve">Condamine, F. L., J. Romieu, and G. Guinot. 2019b.</w:t>
      </w:r>
      <w:r>
        <w:t xml:space="preserve"> </w:t>
      </w:r>
      <w:hyperlink r:id="rId111">
        <w:r>
          <w:rPr>
            <w:rStyle w:val="Hyperlink"/>
          </w:rPr>
          <w:t xml:space="preserve">Climate cooling and clade competition likely drove the decline of lamniform sharks</w:t>
        </w:r>
      </w:hyperlink>
      <w:r>
        <w:t xml:space="preserve">. Proc. Nat. Acad. Sc. U.S.A 116. Proceedings of the National Academy of Sciences.</w:t>
      </w:r>
    </w:p>
    <w:bookmarkEnd w:id="112"/>
    <w:bookmarkStart w:id="114" w:name="ref-condamine2020"/>
    <w:p>
      <w:pPr>
        <w:pStyle w:val="Bibliography"/>
      </w:pPr>
      <w:r>
        <w:t xml:space="preserve">Condamine, F. L., D. Silvestro, E. B. Koppelhus, and A. Antonelli. 2020.</w:t>
      </w:r>
      <w:r>
        <w:t xml:space="preserve"> </w:t>
      </w:r>
      <w:hyperlink r:id="rId113">
        <w:r>
          <w:rPr>
            <w:rStyle w:val="Hyperlink"/>
          </w:rPr>
          <w:t xml:space="preserve">The rise of angiosperms pushed conifers to decline during global cooling</w:t>
        </w:r>
      </w:hyperlink>
      <w:r>
        <w:t xml:space="preserve">. Proceedings of the National Academy of Sciences 117:28867–28875.</w:t>
      </w:r>
    </w:p>
    <w:bookmarkEnd w:id="114"/>
    <w:bookmarkStart w:id="116" w:name="ref-cooper2025"/>
    <w:p>
      <w:pPr>
        <w:pStyle w:val="Bibliography"/>
      </w:pPr>
      <w:r>
        <w:t xml:space="preserve">Cooper, R. B., B. J. Allen, and D. Silvestro. 2025.</w:t>
      </w:r>
      <w:r>
        <w:t xml:space="preserve"> </w:t>
      </w:r>
      <w:hyperlink r:id="rId115">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6"/>
    <w:bookmarkStart w:id="118" w:name="ref-cooper2024"/>
    <w:p>
      <w:pPr>
        <w:pStyle w:val="Bibliography"/>
      </w:pPr>
      <w:r>
        <w:t xml:space="preserve">Cooper, R. B., J. T. Flannery-Sutherland, and D. Silvestro. 2024.</w:t>
      </w:r>
      <w:r>
        <w:t xml:space="preserve"> </w:t>
      </w:r>
      <w:hyperlink r:id="rId117">
        <w:r>
          <w:rPr>
            <w:rStyle w:val="Hyperlink"/>
          </w:rPr>
          <w:t xml:space="preserve">DeepDive: estimating global biodiversity patterns through time using deep learning</w:t>
        </w:r>
      </w:hyperlink>
      <w:r>
        <w:t xml:space="preserve">. Nature Communications 15:4199.</w:t>
      </w:r>
    </w:p>
    <w:bookmarkEnd w:id="118"/>
    <w:bookmarkStart w:id="120" w:name="ref-cuitiño2021"/>
    <w:p>
      <w:pPr>
        <w:pStyle w:val="Bibliography"/>
      </w:pPr>
      <w:r>
        <w:t xml:space="preserve">Cuitiño, J. I., M. Sol Raigemborn, M. Susana Bargo, S. F. Vizcaíno, N. A. Muñoz, M. J. Kohn, and R. F. Kay. 2021.</w:t>
      </w:r>
      <w:r>
        <w:t xml:space="preserve"> </w:t>
      </w:r>
      <w:hyperlink r:id="rId119">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0"/>
    <w:bookmarkStart w:id="122" w:name="ref-dacunha2023"/>
    <w:p>
      <w:pPr>
        <w:pStyle w:val="Bibliography"/>
      </w:pPr>
      <w:r>
        <w:t xml:space="preserve">Da Cunha, L., L. W. Viñola-López, R. D. E. MacPhee, L. Kerber, J. Vélez-Juarbe, P.-O. Antoine, M. Boivin, L. Hautier, R. Lebrun, L. Marivaux, and P.-H. Fabre. 2023.</w:t>
      </w:r>
      <w:r>
        <w:t xml:space="preserve"> </w:t>
      </w:r>
      <w:hyperlink r:id="rId121">
        <w:r>
          <w:rPr>
            <w:rStyle w:val="Hyperlink"/>
          </w:rPr>
          <w:t xml:space="preserve">The inner ear of caviomorph rodents: Phylogenetic implications and application to extinct West Indian taxa</w:t>
        </w:r>
      </w:hyperlink>
      <w:r>
        <w:t xml:space="preserve">. Journal of Mammalian Evolution 30:1155–1176.</w:t>
      </w:r>
    </w:p>
    <w:bookmarkEnd w:id="122"/>
    <w:bookmarkStart w:id="124" w:name="ref-damuth1993"/>
    <w:p>
      <w:pPr>
        <w:pStyle w:val="Bibliography"/>
      </w:pPr>
      <w:r>
        <w:t xml:space="preserve">Damuth, J. 1993.</w:t>
      </w:r>
      <w:r>
        <w:t xml:space="preserve"> </w:t>
      </w:r>
      <w:hyperlink r:id="rId123">
        <w:r>
          <w:rPr>
            <w:rStyle w:val="Hyperlink"/>
          </w:rPr>
          <w:t xml:space="preserve">Cope’s rule, the island rule and the scaling of mammalian population density</w:t>
        </w:r>
      </w:hyperlink>
      <w:r>
        <w:t xml:space="preserve">. Nature 365:748–750.</w:t>
      </w:r>
    </w:p>
    <w:bookmarkEnd w:id="124"/>
    <w:bookmarkStart w:id="126" w:name="ref-damuth2011"/>
    <w:p>
      <w:pPr>
        <w:pStyle w:val="Bibliography"/>
      </w:pPr>
      <w:r>
        <w:t xml:space="preserve">Damuth, J., and C. M. Janis. 2011.</w:t>
      </w:r>
      <w:r>
        <w:t xml:space="preserve"> </w:t>
      </w:r>
      <w:hyperlink r:id="rId125">
        <w:r>
          <w:rPr>
            <w:rStyle w:val="Hyperlink"/>
          </w:rPr>
          <w:t xml:space="preserve">On the relationship between hypsodonty and feeding ecology in ungulate mammals, and its utility in palaeoecology</w:t>
        </w:r>
      </w:hyperlink>
      <w:r>
        <w:t xml:space="preserve">. Biological Reviews 86:733–758.</w:t>
      </w:r>
    </w:p>
    <w:bookmarkEnd w:id="126"/>
    <w:bookmarkStart w:id="128" w:name="ref-drury2016"/>
    <w:p>
      <w:pPr>
        <w:pStyle w:val="Bibliography"/>
      </w:pPr>
      <w:r>
        <w:t xml:space="preserve">Drury, J., J. Clavel, M. Manceau, and H. Morlon. 2016.</w:t>
      </w:r>
      <w:r>
        <w:t xml:space="preserve"> </w:t>
      </w:r>
      <w:hyperlink r:id="rId127">
        <w:r>
          <w:rPr>
            <w:rStyle w:val="Hyperlink"/>
          </w:rPr>
          <w:t xml:space="preserve">Estimating the effect of competition on trait evolution using maximum likelihood inference</w:t>
        </w:r>
      </w:hyperlink>
      <w:r>
        <w:t xml:space="preserve">. Systematic Biology 65:700–710.</w:t>
      </w:r>
    </w:p>
    <w:bookmarkEnd w:id="128"/>
    <w:bookmarkStart w:id="130" w:name="ref-dunn2013"/>
    <w:p>
      <w:pPr>
        <w:pStyle w:val="Bibliography"/>
      </w:pPr>
      <w:r>
        <w:t xml:space="preserve">Dunn, R. E., R. H. Madden, M. J. Kohn, M. D. Schmitz, C. A. E. Strömberg, A. A. Carlini, G. H. Ré, and J. Crowley. 2013.</w:t>
      </w:r>
      <w:r>
        <w:t xml:space="preserve"> </w:t>
      </w:r>
      <w:hyperlink r:id="rId129">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0"/>
    <w:bookmarkStart w:id="132" w:name="ref-esteve2025"/>
    <w:p>
      <w:pPr>
        <w:pStyle w:val="Bibliography"/>
      </w:pPr>
      <w:r>
        <w:t xml:space="preserve">Esteve, J. 2025.</w:t>
      </w:r>
      <w:r>
        <w:t xml:space="preserve"> </w:t>
      </w:r>
      <w:hyperlink r:id="rId131">
        <w:r>
          <w:rPr>
            <w:rStyle w:val="Hyperlink"/>
          </w:rPr>
          <w:t xml:space="preserve">When extinction expands morphospace: Lessons from trilobites</w:t>
        </w:r>
      </w:hyperlink>
      <w:r>
        <w:t xml:space="preserve">. Proceedings of the Royal Society B: Biological Sciences 292:20252245.</w:t>
      </w:r>
    </w:p>
    <w:bookmarkEnd w:id="132"/>
    <w:bookmarkStart w:id="134" w:name="ref-etienne2011"/>
    <w:p>
      <w:pPr>
        <w:pStyle w:val="Bibliography"/>
      </w:pPr>
      <w:r>
        <w:t xml:space="preserve">Etienne, R. S., B. Haegeman, T. Stadler, T. Aze, P. N. Pearson, A. Purvis, and A. B. Phillimore. 2011.</w:t>
      </w:r>
      <w:r>
        <w:t xml:space="preserve"> </w:t>
      </w:r>
      <w:hyperlink r:id="rId133">
        <w:r>
          <w:rPr>
            <w:rStyle w:val="Hyperlink"/>
          </w:rPr>
          <w:t xml:space="preserve">Diversity-dependence brings molecular phylogenies closer to agreement with the fossil record</w:t>
        </w:r>
      </w:hyperlink>
      <w:r>
        <w:t xml:space="preserve">. Proceedings of the Royal Society B: Biological Sciences 279:1300–1309.</w:t>
      </w:r>
    </w:p>
    <w:bookmarkEnd w:id="134"/>
    <w:bookmarkStart w:id="136" w:name="ref-faurby2016"/>
    <w:p>
      <w:pPr>
        <w:pStyle w:val="Bibliography"/>
      </w:pPr>
      <w:r>
        <w:t xml:space="preserve">Faurby, S., and J.-C. Svenning. 2016.</w:t>
      </w:r>
      <w:r>
        <w:t xml:space="preserve"> </w:t>
      </w:r>
      <w:hyperlink r:id="rId135">
        <w:r>
          <w:rPr>
            <w:rStyle w:val="Hyperlink"/>
          </w:rPr>
          <w:t xml:space="preserve">Resurrection of the island rule: Human-driven extinctions have obscured a basic evolutionary pattern</w:t>
        </w:r>
      </w:hyperlink>
      <w:r>
        <w:t xml:space="preserve">. The American Naturalist 187:812–820.</w:t>
      </w:r>
    </w:p>
    <w:bookmarkEnd w:id="136"/>
    <w:bookmarkStart w:id="138" w:name="ref-fernicola2019"/>
    <w:p>
      <w:pPr>
        <w:pStyle w:val="Bibliography"/>
      </w:pPr>
      <w:r>
        <w:t xml:space="preserve">Fernicola, J. C., S. F. Vizcaíno, M. S. Bargo, R. F. Kay, and J. I. Cuitiño. 2019.</w:t>
      </w:r>
      <w:r>
        <w:t xml:space="preserve"> </w:t>
      </w:r>
      <w:hyperlink r:id="rId137">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8"/>
    <w:bookmarkStart w:id="140" w:name="ref-flannery-sutherland2022"/>
    <w:p>
      <w:pPr>
        <w:pStyle w:val="Bibliography"/>
      </w:pPr>
      <w:r>
        <w:t xml:space="preserve">Flannery-Sutherland, J. T., D. Silvestro, and M. J. Benton. 2022.</w:t>
      </w:r>
      <w:r>
        <w:t xml:space="preserve"> </w:t>
      </w:r>
      <w:hyperlink r:id="rId139">
        <w:r>
          <w:rPr>
            <w:rStyle w:val="Hyperlink"/>
          </w:rPr>
          <w:t xml:space="preserve">Global diversity dynamics in the fossil record are regionally heterogeneous</w:t>
        </w:r>
      </w:hyperlink>
      <w:r>
        <w:t xml:space="preserve">. Nature Communications 13:2751.</w:t>
      </w:r>
    </w:p>
    <w:bookmarkEnd w:id="140"/>
    <w:bookmarkStart w:id="142" w:name="ref-foote1993"/>
    <w:p>
      <w:pPr>
        <w:pStyle w:val="Bibliography"/>
      </w:pPr>
      <w:r>
        <w:t xml:space="preserve">Foote, M. 1993.</w:t>
      </w:r>
      <w:r>
        <w:t xml:space="preserve"> </w:t>
      </w:r>
      <w:hyperlink r:id="rId141">
        <w:r>
          <w:rPr>
            <w:rStyle w:val="Hyperlink"/>
          </w:rPr>
          <w:t xml:space="preserve">Discordance and concordance between morphological and taxonomic diversity</w:t>
        </w:r>
      </w:hyperlink>
      <w:r>
        <w:t xml:space="preserve">. Paleobiology 19:185–204.</w:t>
      </w:r>
    </w:p>
    <w:bookmarkEnd w:id="142"/>
    <w:bookmarkStart w:id="144" w:name="ref-foote2007"/>
    <w:p>
      <w:pPr>
        <w:pStyle w:val="Bibliography"/>
      </w:pPr>
      <w:r>
        <w:t xml:space="preserve">Foote, M. 2007.</w:t>
      </w:r>
      <w:r>
        <w:t xml:space="preserve"> </w:t>
      </w:r>
      <w:hyperlink r:id="rId143">
        <w:r>
          <w:rPr>
            <w:rStyle w:val="Hyperlink"/>
          </w:rPr>
          <w:t xml:space="preserve">Symmetric waxing and waning of marine invertebrate genera</w:t>
        </w:r>
      </w:hyperlink>
      <w:r>
        <w:t xml:space="preserve">. Paleobiology 33:517–529.</w:t>
      </w:r>
    </w:p>
    <w:bookmarkEnd w:id="144"/>
    <w:bookmarkStart w:id="146" w:name="ref-foote1997"/>
    <w:p>
      <w:pPr>
        <w:pStyle w:val="Bibliography"/>
      </w:pPr>
      <w:r>
        <w:t xml:space="preserve">Foote, M. 1997.</w:t>
      </w:r>
      <w:r>
        <w:t xml:space="preserve"> </w:t>
      </w:r>
      <w:hyperlink r:id="rId145">
        <w:r>
          <w:rPr>
            <w:rStyle w:val="Hyperlink"/>
          </w:rPr>
          <w:t xml:space="preserve">The Evolution of Morphological Diversity</w:t>
        </w:r>
      </w:hyperlink>
      <w:r>
        <w:t xml:space="preserve">. Annual Review of Ecology, Evolution, and Systematics 28:129–152.</w:t>
      </w:r>
    </w:p>
    <w:bookmarkEnd w:id="146"/>
    <w:bookmarkStart w:id="148" w:name="ref-guayasamin2024"/>
    <w:p>
      <w:pPr>
        <w:pStyle w:val="Bibliography"/>
      </w:pPr>
      <w:r>
        <w:t xml:space="preserve">Guayasamin, J. M., C. C. Ribas, A. C. Carnaval, J. D. Carrillo, C. Hoorn, L. G. Lohmann, D. Riff, C. Ulloa Ulloa, and J. S. Albert. 2024.</w:t>
      </w:r>
      <w:r>
        <w:t xml:space="preserve"> </w:t>
      </w:r>
      <w:hyperlink r:id="rId147">
        <w:r>
          <w:rPr>
            <w:rStyle w:val="Hyperlink"/>
          </w:rPr>
          <w:t xml:space="preserve">Evolution of Amazonian biodiversity: A review</w:t>
        </w:r>
      </w:hyperlink>
      <w:r>
        <w:t xml:space="preserve">. Acta Amazonica 54:e54bc21360.</w:t>
      </w:r>
    </w:p>
    <w:bookmarkEnd w:id="148"/>
    <w:bookmarkStart w:id="150" w:name="ref-hagen2018"/>
    <w:p>
      <w:pPr>
        <w:pStyle w:val="Bibliography"/>
      </w:pPr>
      <w:r>
        <w:t xml:space="preserve">Hagen, O., T. Andermann, T. B. Quental, A. Antonelli, and D. Silvestro. 2018.</w:t>
      </w:r>
      <w:r>
        <w:t xml:space="preserve"> </w:t>
      </w:r>
      <w:hyperlink r:id="rId149">
        <w:r>
          <w:rPr>
            <w:rStyle w:val="Hyperlink"/>
          </w:rPr>
          <w:t xml:space="preserve">Estimating age-dependent extinction: Contrasting evidence from fossils and phylogenies</w:t>
        </w:r>
      </w:hyperlink>
      <w:r>
        <w:t xml:space="preserve">. Systematic Biology 67:458–474.</w:t>
      </w:r>
    </w:p>
    <w:bookmarkEnd w:id="150"/>
    <w:bookmarkStart w:id="152" w:name="ref-hauffe2024"/>
    <w:p>
      <w:pPr>
        <w:pStyle w:val="Bibliography"/>
      </w:pPr>
      <w:r>
        <w:t xml:space="preserve">Hauffe, T., J. L. Cantalapiedra, and D. Silvestro. 2024.</w:t>
      </w:r>
      <w:r>
        <w:t xml:space="preserve"> </w:t>
      </w:r>
      <w:hyperlink r:id="rId151">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2"/>
    <w:bookmarkStart w:id="154" w:name="ref-hernández2005"/>
    <w:p>
      <w:pPr>
        <w:pStyle w:val="Bibliography"/>
      </w:pPr>
      <w:r>
        <w:t xml:space="preserve">Hernández, R. M., T. E. Jordan, A. Dalenz Farjat, L. Echavarría, B. D. Idleman, and J. H. Reynolds. 2005.</w:t>
      </w:r>
      <w:r>
        <w:t xml:space="preserve"> </w:t>
      </w:r>
      <w:hyperlink r:id="rId153">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4"/>
    <w:bookmarkStart w:id="156" w:name="ref-hohmann2019"/>
    <w:p>
      <w:pPr>
        <w:pStyle w:val="Bibliography"/>
      </w:pPr>
      <w:r>
        <w:t xml:space="preserve">Hohmann, N., and E. Jarochowska. 2019.</w:t>
      </w:r>
      <w:r>
        <w:t xml:space="preserve"> </w:t>
      </w:r>
      <w:hyperlink r:id="rId155">
        <w:r>
          <w:rPr>
            <w:rStyle w:val="Hyperlink"/>
          </w:rPr>
          <w:t xml:space="preserve">Enforced symmetry: the necessity of symmetric waxing and waning</w:t>
        </w:r>
      </w:hyperlink>
      <w:r>
        <w:t xml:space="preserve">. PeerJ 7:e8011.</w:t>
      </w:r>
    </w:p>
    <w:bookmarkEnd w:id="156"/>
    <w:bookmarkStart w:id="157" w:name="ref-homerocamacho1967"/>
    <w:p>
      <w:pPr>
        <w:pStyle w:val="Bibliography"/>
      </w:pPr>
      <w:r>
        <w:t xml:space="preserve">Homero Camacho, H. 1967. Las transgresiones del cretácico superior y terciario de la argentina. Revista de la Asociación Geológica Argentina 22:253–280.</w:t>
      </w:r>
    </w:p>
    <w:bookmarkEnd w:id="157"/>
    <w:bookmarkStart w:id="159" w:name="ref-hoorn2022"/>
    <w:p>
      <w:pPr>
        <w:pStyle w:val="Bibliography"/>
      </w:pPr>
      <w:r>
        <w:t xml:space="preserve">Hoorn, C., L. M. Boschman, T. Kukla, M. Sciumbata, and P. Val. 2022.</w:t>
      </w:r>
      <w:r>
        <w:t xml:space="preserve"> </w:t>
      </w:r>
      <w:hyperlink r:id="rId158">
        <w:r>
          <w:rPr>
            <w:rStyle w:val="Hyperlink"/>
          </w:rPr>
          <w:t xml:space="preserve">The miocene wetland of western amazonia and its role in neotropical biogeography</w:t>
        </w:r>
      </w:hyperlink>
      <w:r>
        <w:t xml:space="preserve">. Botanical Journal of the Linnean Society 199:25–35.</w:t>
      </w:r>
    </w:p>
    <w:bookmarkEnd w:id="159"/>
    <w:bookmarkStart w:id="161" w:name="ref-hoorn1995"/>
    <w:p>
      <w:pPr>
        <w:pStyle w:val="Bibliography"/>
      </w:pPr>
      <w:r>
        <w:t xml:space="preserve">Hoorn, C., J. Guerrero, G. A. Sarmiento, and M. A. Lorente. 1995.</w:t>
      </w:r>
      <w:r>
        <w:t xml:space="preserve"> </w:t>
      </w:r>
      <w:hyperlink r:id="rId160">
        <w:r>
          <w:rPr>
            <w:rStyle w:val="Hyperlink"/>
          </w:rPr>
          <w:t xml:space="preserve">Andean tectonics as a cause for changing drainage patterns in Miocene northern South America</w:t>
        </w:r>
      </w:hyperlink>
      <w:r>
        <w:t xml:space="preserve">. Geology 23:237.</w:t>
      </w:r>
    </w:p>
    <w:bookmarkEnd w:id="161"/>
    <w:bookmarkStart w:id="163"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2">
        <w:r>
          <w:rPr>
            <w:rStyle w:val="Hyperlink"/>
          </w:rPr>
          <w:t xml:space="preserve">Amazonia through time: Andean uplift, climate change, landscape evolution, and biodiversity</w:t>
        </w:r>
      </w:hyperlink>
      <w:r>
        <w:t xml:space="preserve">. Science 330:927–931.</w:t>
      </w:r>
    </w:p>
    <w:bookmarkEnd w:id="163"/>
    <w:bookmarkStart w:id="165" w:name="ref-hullot2025"/>
    <w:p>
      <w:pPr>
        <w:pStyle w:val="Bibliography"/>
      </w:pPr>
      <w:r>
        <w:t xml:space="preserve">Hullot, M., C. Robinet, Q. Vautrin, R. Tabuce, P.-O. Antoine, G. Merceron, and F. Lihoreau. 2025.</w:t>
      </w:r>
      <w:r>
        <w:t xml:space="preserve"> </w:t>
      </w:r>
      <w:hyperlink r:id="rId164">
        <w:r>
          <w:rPr>
            <w:rStyle w:val="Hyperlink"/>
          </w:rPr>
          <w:t xml:space="preserve">Evolution of dietary preferences of the lophiodontidae (mammalia, perissodactyla) from southern france</w:t>
        </w:r>
      </w:hyperlink>
      <w:r>
        <w:t xml:space="preserve">. Palaeogeography, Palaeoclimatology, Palaeoecology 675:113076.</w:t>
      </w:r>
    </w:p>
    <w:bookmarkEnd w:id="165"/>
    <w:bookmarkStart w:id="166"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6"/>
    <w:bookmarkStart w:id="168"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7">
        <w:r>
          <w:rPr>
            <w:rStyle w:val="Hyperlink"/>
          </w:rPr>
          <w:t xml:space="preserve">Miocene flooding events of western amazonia</w:t>
        </w:r>
      </w:hyperlink>
      <w:r>
        <w:t xml:space="preserve">. Science Advances 3:e1601693.</w:t>
      </w:r>
    </w:p>
    <w:bookmarkEnd w:id="168"/>
    <w:bookmarkStart w:id="170" w:name="ref-jardine2012"/>
    <w:p>
      <w:pPr>
        <w:pStyle w:val="Bibliography"/>
      </w:pPr>
      <w:r>
        <w:t xml:space="preserve">Jardine, P. E., C. M. Janis, S. Sahney, and M. J. Benton. 2012.</w:t>
      </w:r>
      <w:r>
        <w:t xml:space="preserve"> </w:t>
      </w:r>
      <w:hyperlink r:id="rId169">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0"/>
    <w:bookmarkStart w:id="172" w:name="ref-kass1995"/>
    <w:p>
      <w:pPr>
        <w:pStyle w:val="Bibliography"/>
      </w:pPr>
      <w:r>
        <w:t xml:space="preserve">Kass, R. E., and A. E. Raftery. 1995.</w:t>
      </w:r>
      <w:r>
        <w:t xml:space="preserve"> </w:t>
      </w:r>
      <w:hyperlink r:id="rId171">
        <w:r>
          <w:rPr>
            <w:rStyle w:val="Hyperlink"/>
          </w:rPr>
          <w:t xml:space="preserve">Bayes factors</w:t>
        </w:r>
      </w:hyperlink>
      <w:r>
        <w:t xml:space="preserve">. Journal of the American Statistical Association 90:773–795.</w:t>
      </w:r>
    </w:p>
    <w:bookmarkEnd w:id="172"/>
    <w:bookmarkStart w:id="174" w:name="ref-lehtonen2017"/>
    <w:p>
      <w:pPr>
        <w:pStyle w:val="Bibliography"/>
      </w:pPr>
      <w:r>
        <w:t xml:space="preserve">Lehtonen, S., D. Silvestro, D. N. Karger, C. Scotese, H. Tuomisto, M. Kessler, C. Peña, N. Wahlberg, and A. Antonelli. 2017.</w:t>
      </w:r>
      <w:r>
        <w:t xml:space="preserve"> </w:t>
      </w:r>
      <w:hyperlink r:id="rId173">
        <w:r>
          <w:rPr>
            <w:rStyle w:val="Hyperlink"/>
          </w:rPr>
          <w:t xml:space="preserve">Environmentally driven extinction and opportunistic origination explain fern diversification patterns</w:t>
        </w:r>
      </w:hyperlink>
      <w:r>
        <w:t xml:space="preserve">. Scientific Reports 7:4831.</w:t>
      </w:r>
    </w:p>
    <w:bookmarkEnd w:id="174"/>
    <w:bookmarkStart w:id="176" w:name="ref-liow2008"/>
    <w:p>
      <w:pPr>
        <w:pStyle w:val="Bibliography"/>
      </w:pPr>
      <w:r>
        <w:t xml:space="preserve">Liow, L. H., M. Fortelius, E. Bingham, K. Lintulaakso, H. Mannila, L. Flynn, and N. Chr. Stenseth. 2008.</w:t>
      </w:r>
      <w:r>
        <w:t xml:space="preserve"> </w:t>
      </w:r>
      <w:hyperlink r:id="rId175">
        <w:r>
          <w:rPr>
            <w:rStyle w:val="Hyperlink"/>
          </w:rPr>
          <w:t xml:space="preserve">Higher origination and extinction rates in larger mammals</w:t>
        </w:r>
      </w:hyperlink>
      <w:r>
        <w:t xml:space="preserve">. Proceedings of the National Academy of Sciences 105:6097–6102.</w:t>
      </w:r>
    </w:p>
    <w:bookmarkEnd w:id="176"/>
    <w:bookmarkStart w:id="178" w:name="ref-liow2010"/>
    <w:p>
      <w:pPr>
        <w:pStyle w:val="Bibliography"/>
      </w:pPr>
      <w:r>
        <w:t xml:space="preserve">Liow, L. H., T. B. Quental, and C. R. Marshall. 2010.</w:t>
      </w:r>
      <w:r>
        <w:t xml:space="preserve"> </w:t>
      </w:r>
      <w:hyperlink r:id="rId177">
        <w:r>
          <w:rPr>
            <w:rStyle w:val="Hyperlink"/>
          </w:rPr>
          <w:t xml:space="preserve">When can decreasing diversification rates be detected with molecular phylogenies and the fossil record?</w:t>
        </w:r>
      </w:hyperlink>
      <w:r>
        <w:t xml:space="preserve"> Systematic Biology 59:646–659.</w:t>
      </w:r>
    </w:p>
    <w:bookmarkEnd w:id="178"/>
    <w:bookmarkStart w:id="180" w:name="ref-lomolino2005"/>
    <w:p>
      <w:pPr>
        <w:pStyle w:val="Bibliography"/>
      </w:pPr>
      <w:r>
        <w:t xml:space="preserve">Lomolino, M. V. 2005.</w:t>
      </w:r>
      <w:r>
        <w:t xml:space="preserve"> </w:t>
      </w:r>
      <w:hyperlink r:id="rId179">
        <w:r>
          <w:rPr>
            <w:rStyle w:val="Hyperlink"/>
          </w:rPr>
          <w:t xml:space="preserve">Body size evolution in insular vertebrates: Generality of the island rule</w:t>
        </w:r>
      </w:hyperlink>
      <w:r>
        <w:t xml:space="preserve">. Journal of Biogeography 32:1683–1699.</w:t>
      </w:r>
    </w:p>
    <w:bookmarkEnd w:id="180"/>
    <w:bookmarkStart w:id="182" w:name="ref-macfadden2000"/>
    <w:p>
      <w:pPr>
        <w:pStyle w:val="Bibliography"/>
      </w:pPr>
      <w:r>
        <w:t xml:space="preserve">MacFadden, B. J. 2000.</w:t>
      </w:r>
      <w:r>
        <w:t xml:space="preserve"> </w:t>
      </w:r>
      <w:hyperlink r:id="rId181">
        <w:r>
          <w:rPr>
            <w:rStyle w:val="Hyperlink"/>
          </w:rPr>
          <w:t xml:space="preserve">Cenozoic mammalian herbivores from the americas: Reconstructing ancient diets and terrestrial communities</w:t>
        </w:r>
      </w:hyperlink>
      <w:r>
        <w:t xml:space="preserve">. Annual Review of Ecology and Systematics 31:33–59.</w:t>
      </w:r>
    </w:p>
    <w:bookmarkEnd w:id="182"/>
    <w:bookmarkStart w:id="184" w:name="ref-macphee2011"/>
    <w:p>
      <w:pPr>
        <w:pStyle w:val="Bibliography"/>
      </w:pPr>
      <w:r>
        <w:t xml:space="preserve">MacPhee, R. D. E. 2011.</w:t>
      </w:r>
      <w:r>
        <w:t xml:space="preserve"> </w:t>
      </w:r>
      <w:hyperlink r:id="rId183">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4"/>
    <w:bookmarkStart w:id="186" w:name="ref-marion_bioluminescence_2025"/>
    <w:p>
      <w:pPr>
        <w:pStyle w:val="Bibliography"/>
      </w:pPr>
      <w:r>
        <w:t xml:space="preserve">Marion, A. F. P., F. L. Condamine, and G. Guinot. 2025.</w:t>
      </w:r>
      <w:r>
        <w:t xml:space="preserve"> </w:t>
      </w:r>
      <w:hyperlink r:id="rId185">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6"/>
    <w:bookmarkStart w:id="188" w:name="ref-marivaux2022"/>
    <w:p>
      <w:pPr>
        <w:pStyle w:val="Bibliography"/>
      </w:pPr>
      <w:r>
        <w:t xml:space="preserve">Marivaux, L., L. W. V. López, M. Boivin, L. Da Cunha, P.-H. Fabre, R. Joannes-Boyau, G. Maincent, P. Münch, N. S. Stutz, J. Vélez-Juarbe, and P.-O. Antoine. 2022.</w:t>
      </w:r>
      <w:r>
        <w:t xml:space="preserve"> </w:t>
      </w:r>
      <w:hyperlink r:id="rId187">
        <w:r>
          <w:rPr>
            <w:rStyle w:val="Hyperlink"/>
          </w:rPr>
          <w:t xml:space="preserve">Incisor enamel microstructure of West Indian caviomorph hystricognathous rodents (Octodontoidea and Chinchilloidea)</w:t>
        </w:r>
      </w:hyperlink>
      <w:r>
        <w:t xml:space="preserve">. Journal of Mammalian Evolution 29:969–995.</w:t>
      </w:r>
    </w:p>
    <w:bookmarkEnd w:id="188"/>
    <w:bookmarkStart w:id="190"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89">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0"/>
    <w:bookmarkStart w:id="192" w:name="ref-marshall1982"/>
    <w:p>
      <w:pPr>
        <w:pStyle w:val="Bibliography"/>
      </w:pPr>
      <w:r>
        <w:t xml:space="preserve">Marshall, L. G., S. D. Webb, J. J. Sepkoski, and D. M. Raup. 1982.</w:t>
      </w:r>
      <w:r>
        <w:t xml:space="preserve"> </w:t>
      </w:r>
      <w:hyperlink r:id="rId191">
        <w:r>
          <w:rPr>
            <w:rStyle w:val="Hyperlink"/>
          </w:rPr>
          <w:t xml:space="preserve">Mammalian evolution and the great american interchange</w:t>
        </w:r>
      </w:hyperlink>
      <w:r>
        <w:t xml:space="preserve">. Science 215:1351–1357.</w:t>
      </w:r>
    </w:p>
    <w:bookmarkEnd w:id="192"/>
    <w:bookmarkStart w:id="194" w:name="ref-mcfarlane1998"/>
    <w:p>
      <w:pPr>
        <w:pStyle w:val="Bibliography"/>
      </w:pPr>
      <w:r>
        <w:t xml:space="preserve">McFarlane, D. A., R. D. E. MacPhee, and D. C. Ford. 1998.</w:t>
      </w:r>
      <w:r>
        <w:t xml:space="preserve"> </w:t>
      </w:r>
      <w:hyperlink r:id="rId193">
        <w:r>
          <w:rPr>
            <w:rStyle w:val="Hyperlink"/>
          </w:rPr>
          <w:t xml:space="preserve">Body Size Variability and a Sangamonian Extinction Model for Amblyrhiza,a West Indian Megafaunal Rodent</w:t>
        </w:r>
      </w:hyperlink>
      <w:r>
        <w:t xml:space="preserve">. Quaternary Research 50:80–89.</w:t>
      </w:r>
    </w:p>
    <w:bookmarkEnd w:id="194"/>
    <w:bookmarkStart w:id="196" w:name="ref-meiri2007"/>
    <w:p>
      <w:pPr>
        <w:pStyle w:val="Bibliography"/>
      </w:pPr>
      <w:r>
        <w:t xml:space="preserve">Meiri, S., N. Cooper, and A. Purvis. 2007.</w:t>
      </w:r>
      <w:r>
        <w:t xml:space="preserve"> </w:t>
      </w:r>
      <w:hyperlink r:id="rId195">
        <w:r>
          <w:rPr>
            <w:rStyle w:val="Hyperlink"/>
          </w:rPr>
          <w:t xml:space="preserve">The island rule: Made to be broken?</w:t>
        </w:r>
      </w:hyperlink>
      <w:r>
        <w:t xml:space="preserve"> Proceedings of the Royal Society B: Biological Sciences 275:141–148.</w:t>
      </w:r>
    </w:p>
    <w:bookmarkEnd w:id="196"/>
    <w:bookmarkStart w:id="198" w:name="ref-miller2020"/>
    <w:p>
      <w:pPr>
        <w:pStyle w:val="Bibliography"/>
      </w:pPr>
      <w:r>
        <w:t xml:space="preserve">Miller, K. G., J. V. Browning, W. J. Schmelz, R. E. Kopp, G. S. Mountain, and J. D. Wright. 2020.</w:t>
      </w:r>
      <w:r>
        <w:t xml:space="preserve"> </w:t>
      </w:r>
      <w:hyperlink r:id="rId197">
        <w:r>
          <w:rPr>
            <w:rStyle w:val="Hyperlink"/>
          </w:rPr>
          <w:t xml:space="preserve">Cenozoic sea-level and cryospheric evolution from deep-sea geochemical and continental margin records</w:t>
        </w:r>
      </w:hyperlink>
      <w:r>
        <w:t xml:space="preserve">. Science Advances 6:eaaz1346.</w:t>
      </w:r>
    </w:p>
    <w:bookmarkEnd w:id="198"/>
    <w:bookmarkStart w:id="200" w:name="ref-mones1982"/>
    <w:p>
      <w:pPr>
        <w:pStyle w:val="Bibliography"/>
      </w:pPr>
      <w:r>
        <w:t xml:space="preserve">Mones, A. 1982.</w:t>
      </w:r>
      <w:r>
        <w:t xml:space="preserve"> </w:t>
      </w:r>
      <w:hyperlink r:id="rId199">
        <w:r>
          <w:rPr>
            <w:rStyle w:val="Hyperlink"/>
          </w:rPr>
          <w:t xml:space="preserve">An equivocal nomenclature: What means hypsodonty?</w:t>
        </w:r>
      </w:hyperlink>
      <w:r>
        <w:t xml:space="preserve"> Paläontologische Zeitschrift 56:107–111.</w:t>
      </w:r>
    </w:p>
    <w:bookmarkEnd w:id="200"/>
    <w:bookmarkStart w:id="202"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1">
        <w:r>
          <w:rPr>
            <w:rStyle w:val="Hyperlink"/>
          </w:rPr>
          <w:t xml:space="preserve">10.1146/annurev-ecolsys-102722-020508</w:t>
        </w:r>
      </w:hyperlink>
      <w:r>
        <w:t xml:space="preserve">.</w:t>
      </w:r>
    </w:p>
    <w:bookmarkEnd w:id="202"/>
    <w:bookmarkStart w:id="204" w:name="ref-muñoz2023"/>
    <w:p>
      <w:pPr>
        <w:pStyle w:val="Bibliography"/>
      </w:pPr>
      <w:r>
        <w:t xml:space="preserve">Muñoz, C. O. R., R. Bonini, S. Hemming, M. Cenizo, U. F. J. Pardiñas, and F. J. Prevosti. 2023.</w:t>
      </w:r>
      <w:r>
        <w:t xml:space="preserve"> </w:t>
      </w:r>
      <w:hyperlink r:id="rId203">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4"/>
    <w:bookmarkStart w:id="206" w:name="ref-neige2026"/>
    <w:p>
      <w:pPr>
        <w:pStyle w:val="Bibliography"/>
      </w:pPr>
      <w:r>
        <w:t xml:space="preserve">Neige, P., and T. van Tiel. 2026.</w:t>
      </w:r>
      <w:r>
        <w:t xml:space="preserve"> </w:t>
      </w:r>
      <w:hyperlink r:id="rId205">
        <w:r>
          <w:rPr>
            <w:rStyle w:val="Hyperlink"/>
          </w:rPr>
          <w:t xml:space="preserve">Background extinction due to species specialization? Insights from a high-resolution Jurassic ammonoid case study (Dactylioceratidae)</w:t>
        </w:r>
      </w:hyperlink>
      <w:r>
        <w:t xml:space="preserve">. Paleobiology 1–17.</w:t>
      </w:r>
    </w:p>
    <w:bookmarkEnd w:id="206"/>
    <w:bookmarkStart w:id="208" w:name="ref-ogg2020"/>
    <w:p>
      <w:pPr>
        <w:pStyle w:val="Bibliography"/>
      </w:pPr>
      <w:r>
        <w:t xml:space="preserve">Ogg, J. G. 2020.</w:t>
      </w:r>
      <w:r>
        <w:t xml:space="preserve"> </w:t>
      </w:r>
      <w:hyperlink r:id="rId207">
        <w:r>
          <w:rPr>
            <w:rStyle w:val="Hyperlink"/>
          </w:rPr>
          <w:t xml:space="preserve">Geomagnetic polarity time scale</w:t>
        </w:r>
      </w:hyperlink>
      <w:r>
        <w:t xml:space="preserve">. Pp. 159–192</w:t>
      </w:r>
      <w:r>
        <w:t xml:space="preserve"> </w:t>
      </w:r>
      <w:r>
        <w:rPr>
          <w:i/>
          <w:iCs/>
        </w:rPr>
        <w:t xml:space="preserve">in</w:t>
      </w:r>
      <w:r>
        <w:t xml:space="preserve">. Elsevier.</w:t>
      </w:r>
    </w:p>
    <w:bookmarkEnd w:id="208"/>
    <w:bookmarkStart w:id="210" w:name="ref-paiva2026"/>
    <w:p>
      <w:pPr>
        <w:pStyle w:val="Bibliography"/>
      </w:pPr>
      <w:r>
        <w:t xml:space="preserve">Paiva, A. L., P. Godoy, D. dos Santos, M. Langer, and P. Mannion. 2026.</w:t>
      </w:r>
      <w:r>
        <w:t xml:space="preserve"> </w:t>
      </w:r>
      <w:hyperlink r:id="rId209">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0"/>
    <w:bookmarkStart w:id="212" w:name="ref-palazzesi2012"/>
    <w:p>
      <w:pPr>
        <w:pStyle w:val="Bibliography"/>
      </w:pPr>
      <w:r>
        <w:t xml:space="preserve">Palazzesi, L., and V. Barreda. 2012.</w:t>
      </w:r>
      <w:r>
        <w:t xml:space="preserve"> </w:t>
      </w:r>
      <w:hyperlink r:id="rId211">
        <w:r>
          <w:rPr>
            <w:rStyle w:val="Hyperlink"/>
          </w:rPr>
          <w:t xml:space="preserve">Fossil pollen records reveal a late rise of open-habitat ecosystems in Patagonia</w:t>
        </w:r>
      </w:hyperlink>
      <w:r>
        <w:t xml:space="preserve">. Nature Communications 3:1294.</w:t>
      </w:r>
    </w:p>
    <w:bookmarkEnd w:id="212"/>
    <w:bookmarkStart w:id="213" w:name="ref-pascual1996"/>
    <w:p>
      <w:pPr>
        <w:pStyle w:val="Bibliography"/>
      </w:pPr>
      <w:r>
        <w:t xml:space="preserve">Pascual, R., E. Ortiz-Jaureguizar, and J. L. Prado. 1996. Land mammals: Paradigm for cenozoic south american geobiotic evolution.</w:t>
      </w:r>
    </w:p>
    <w:bookmarkEnd w:id="213"/>
    <w:bookmarkStart w:id="215" w:name="ref-patton2015"/>
    <w:p>
      <w:pPr>
        <w:pStyle w:val="Bibliography"/>
      </w:pPr>
      <w:r>
        <w:t xml:space="preserve">Patton, J. L., U. F. J. Pardiñas, and G. D’Elía. 2015.</w:t>
      </w:r>
      <w:r>
        <w:t xml:space="preserve"> </w:t>
      </w:r>
      <w:hyperlink r:id="rId214">
        <w:r>
          <w:rPr>
            <w:rStyle w:val="Hyperlink"/>
          </w:rPr>
          <w:t xml:space="preserve">Mammals of South America, Volume 2: Rodents</w:t>
        </w:r>
      </w:hyperlink>
      <w:r>
        <w:t xml:space="preserve">. University of Chicago Press, Chicago, IL.</w:t>
      </w:r>
    </w:p>
    <w:bookmarkEnd w:id="215"/>
    <w:bookmarkStart w:id="217" w:name="ref-pérez_new_2010"/>
    <w:p>
      <w:pPr>
        <w:pStyle w:val="Bibliography"/>
      </w:pPr>
      <w:r>
        <w:t xml:space="preserve">Pérez, M. E. 2010.</w:t>
      </w:r>
      <w:r>
        <w:t xml:space="preserve"> </w:t>
      </w:r>
      <w:hyperlink r:id="rId216">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17"/>
    <w:bookmarkStart w:id="219" w:name="ref-pimiento2019"/>
    <w:p>
      <w:pPr>
        <w:pStyle w:val="Bibliography"/>
      </w:pPr>
      <w:r>
        <w:t xml:space="preserve">Pimiento, C., J. L. Cantalapiedra, K. Shimada, D. J. Field, and J. B. Smaers. 2019.</w:t>
      </w:r>
      <w:r>
        <w:t xml:space="preserve"> </w:t>
      </w:r>
      <w:hyperlink r:id="rId218">
        <w:r>
          <w:rPr>
            <w:rStyle w:val="Hyperlink"/>
          </w:rPr>
          <w:t xml:space="preserve">Evolutionary pathways toward gigantism in sharks and rays</w:t>
        </w:r>
      </w:hyperlink>
      <w:r>
        <w:t xml:space="preserve">. Evolution 73:588–599.</w:t>
      </w:r>
    </w:p>
    <w:bookmarkEnd w:id="219"/>
    <w:bookmarkStart w:id="221" w:name="ref-quental2013"/>
    <w:p>
      <w:pPr>
        <w:pStyle w:val="Bibliography"/>
      </w:pPr>
      <w:r>
        <w:t xml:space="preserve">Quental, T. B., and C. R. Marshall. 2013.</w:t>
      </w:r>
      <w:r>
        <w:t xml:space="preserve"> </w:t>
      </w:r>
      <w:hyperlink r:id="rId220">
        <w:r>
          <w:rPr>
            <w:rStyle w:val="Hyperlink"/>
          </w:rPr>
          <w:t xml:space="preserve">How the red queen drives terrestrial mammals to extinction</w:t>
        </w:r>
      </w:hyperlink>
      <w:r>
        <w:t xml:space="preserve">. Science 341:290–292.</w:t>
      </w:r>
    </w:p>
    <w:bookmarkEnd w:id="221"/>
    <w:bookmarkStart w:id="223" w:name="ref-quintero_loss_2025"/>
    <w:p>
      <w:pPr>
        <w:pStyle w:val="Bibliography"/>
      </w:pPr>
      <w:r>
        <w:t xml:space="preserve">Quintero, I., J. Andréoletti, D. Silvestro, and H. Morlon. 2025.</w:t>
      </w:r>
      <w:r>
        <w:t xml:space="preserve"> </w:t>
      </w:r>
      <w:hyperlink r:id="rId222">
        <w:r>
          <w:rPr>
            <w:rStyle w:val="Hyperlink"/>
          </w:rPr>
          <w:t xml:space="preserve">Loss of macroevolutionary species fitness explains the rise and fall of clades</w:t>
        </w:r>
      </w:hyperlink>
      <w:r>
        <w:t xml:space="preserve">. Nat Ecol Evol 1–12. Nature Publishing Group.</w:t>
      </w:r>
    </w:p>
    <w:bookmarkEnd w:id="223"/>
    <w:bookmarkStart w:id="225" w:name="ref-rasia_reappraisal_2018"/>
    <w:p>
      <w:pPr>
        <w:pStyle w:val="Bibliography"/>
      </w:pPr>
      <w:r>
        <w:t xml:space="preserve">Rasia, L. L., and A. M. Candela. 2018.</w:t>
      </w:r>
      <w:r>
        <w:t xml:space="preserve"> </w:t>
      </w:r>
      <w:hyperlink r:id="rId224">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5"/>
    <w:bookmarkStart w:id="227" w:name="ref-rasia_comprehensive_2021"/>
    <w:p>
      <w:pPr>
        <w:pStyle w:val="Bibliography"/>
      </w:pPr>
      <w:r>
        <w:t xml:space="preserve">Rasia, L. L., A. M. Candela, and C. Cañón. 2021.</w:t>
      </w:r>
      <w:r>
        <w:t xml:space="preserve"> </w:t>
      </w:r>
      <w:hyperlink r:id="rId226">
        <w:r>
          <w:rPr>
            <w:rStyle w:val="Hyperlink"/>
          </w:rPr>
          <w:t xml:space="preserve">Comprehensive total evidence phylogeny of chinchillids (rodentia, caviomorpha): Cheek teeth anatomy and evolution</w:t>
        </w:r>
      </w:hyperlink>
      <w:r>
        <w:t xml:space="preserve">. Journal of Anatomy 239:405–423.</w:t>
      </w:r>
    </w:p>
    <w:bookmarkEnd w:id="227"/>
    <w:bookmarkStart w:id="229" w:name="ref-rasia2024"/>
    <w:p>
      <w:pPr>
        <w:pStyle w:val="Bibliography"/>
      </w:pPr>
      <w:r>
        <w:t xml:space="preserve">Rasia, L. L., C. I. Montalvo, R. Sostillo, L. Kerber, and R. L. Tomassini. 2024.</w:t>
      </w:r>
      <w:r>
        <w:t xml:space="preserve"> </w:t>
      </w:r>
      <w:hyperlink r:id="rId228">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29"/>
    <w:bookmarkStart w:id="231" w:name="ref-rinderknecht2008"/>
    <w:p>
      <w:pPr>
        <w:pStyle w:val="Bibliography"/>
      </w:pPr>
      <w:r>
        <w:t xml:space="preserve">Rinderknecht, A., and R. E. Blanco. 2008.</w:t>
      </w:r>
      <w:r>
        <w:t xml:space="preserve"> </w:t>
      </w:r>
      <w:hyperlink r:id="rId230">
        <w:r>
          <w:rPr>
            <w:rStyle w:val="Hyperlink"/>
          </w:rPr>
          <w:t xml:space="preserve">The largest fossil rodent</w:t>
        </w:r>
      </w:hyperlink>
      <w:r>
        <w:t xml:space="preserve">. Proceedings of the Royal Society B: Biological Sciences 275:923–928.</w:t>
      </w:r>
    </w:p>
    <w:bookmarkEnd w:id="231"/>
    <w:bookmarkStart w:id="233" w:name="ref-robinet2020"/>
    <w:p>
      <w:pPr>
        <w:pStyle w:val="Bibliography"/>
      </w:pPr>
      <w:r>
        <w:t xml:space="preserve">Robinet, C., G. Merceron, A. M. Candela, and L. Marivaux. 2020.</w:t>
      </w:r>
      <w:r>
        <w:t xml:space="preserve"> </w:t>
      </w:r>
      <w:hyperlink r:id="rId232">
        <w:r>
          <w:rPr>
            <w:rStyle w:val="Hyperlink"/>
          </w:rPr>
          <w:t xml:space="preserve">Dental microwear texture analysis and diet in caviomorphs (rodentia) from the serra do mar atlantic forest (brazil)</w:t>
        </w:r>
      </w:hyperlink>
      <w:r>
        <w:t xml:space="preserve">. Journal of Mammalogy 101:386–402.</w:t>
      </w:r>
    </w:p>
    <w:bookmarkEnd w:id="233"/>
    <w:bookmarkStart w:id="235" w:name="ref-salas-gismondi2015"/>
    <w:p>
      <w:pPr>
        <w:pStyle w:val="Bibliography"/>
      </w:pPr>
      <w:r>
        <w:t xml:space="preserve">Salas-Gismondi, R., J. J. Flynn, P. Baby, J. V. Tejada-Lara, F. P. Wesselingh, and P.-O. Antoine. 2015.</w:t>
      </w:r>
      <w:r>
        <w:t xml:space="preserve"> </w:t>
      </w:r>
      <w:hyperlink r:id="rId234">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5"/>
    <w:bookmarkStart w:id="237" w:name="ref-sánchez-villagra2003"/>
    <w:p>
      <w:pPr>
        <w:pStyle w:val="Bibliography"/>
      </w:pPr>
      <w:r>
        <w:t xml:space="preserve">Sánchez-Villagra, M. R., O. Aguilera, and I. Horovitz. 2003.</w:t>
      </w:r>
      <w:r>
        <w:t xml:space="preserve"> </w:t>
      </w:r>
      <w:hyperlink r:id="rId236">
        <w:r>
          <w:rPr>
            <w:rStyle w:val="Hyperlink"/>
          </w:rPr>
          <w:t xml:space="preserve">The anatomy of the world’s largest extinct rodent</w:t>
        </w:r>
      </w:hyperlink>
      <w:r>
        <w:t xml:space="preserve">. Science 301:1708–1710.</w:t>
      </w:r>
    </w:p>
    <w:bookmarkEnd w:id="237"/>
    <w:bookmarkStart w:id="239"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38">
        <w:r>
          <w:rPr>
            <w:rStyle w:val="Hyperlink"/>
          </w:rPr>
          <w:t xml:space="preserve">Biology of the sauropod dinosaurs: the evolution of gigantism</w:t>
        </w:r>
      </w:hyperlink>
      <w:r>
        <w:t xml:space="preserve">. Biological Reviews 86:117–155.</w:t>
      </w:r>
    </w:p>
    <w:bookmarkEnd w:id="239"/>
    <w:bookmarkStart w:id="241" w:name="ref-silvestro2015"/>
    <w:p>
      <w:pPr>
        <w:pStyle w:val="Bibliography"/>
      </w:pPr>
      <w:r>
        <w:t xml:space="preserve">Silvestro, D., A. Antonelli, N. Salamin, and T. B. Quental. 2015.</w:t>
      </w:r>
      <w:r>
        <w:t xml:space="preserve"> </w:t>
      </w:r>
      <w:hyperlink r:id="rId240">
        <w:r>
          <w:rPr>
            <w:rStyle w:val="Hyperlink"/>
          </w:rPr>
          <w:t xml:space="preserve">The role of clade competition in the diversification of North American canids</w:t>
        </w:r>
      </w:hyperlink>
      <w:r>
        <w:t xml:space="preserve">. Proceedings of the National Academy of Sciences 112:8684–8689.</w:t>
      </w:r>
    </w:p>
    <w:bookmarkEnd w:id="241"/>
    <w:bookmarkStart w:id="243" w:name="ref-silvestro2019"/>
    <w:p>
      <w:pPr>
        <w:pStyle w:val="Bibliography"/>
      </w:pPr>
      <w:r>
        <w:t xml:space="preserve">Silvestro, D., N. Salamin, A. Antonelli, and X. Meyer. 2019.</w:t>
      </w:r>
      <w:r>
        <w:t xml:space="preserve"> </w:t>
      </w:r>
      <w:hyperlink r:id="rId242">
        <w:r>
          <w:rPr>
            <w:rStyle w:val="Hyperlink"/>
          </w:rPr>
          <w:t xml:space="preserve">Improved estimation of macroevolutionary rates from fossil data using a Bayesian framework</w:t>
        </w:r>
      </w:hyperlink>
      <w:r>
        <w:t xml:space="preserve">. Paleobiology 45:546–570.</w:t>
      </w:r>
    </w:p>
    <w:bookmarkEnd w:id="243"/>
    <w:bookmarkStart w:id="245" w:name="ref-silvestro2014"/>
    <w:p>
      <w:pPr>
        <w:pStyle w:val="Bibliography"/>
      </w:pPr>
      <w:r>
        <w:t xml:space="preserve">Silvestro, D., N. Salamin, and J. Schnitzler. 2014.</w:t>
      </w:r>
      <w:r>
        <w:t xml:space="preserve"> </w:t>
      </w:r>
      <w:hyperlink r:id="rId244">
        <w:r>
          <w:rPr>
            <w:rStyle w:val="Hyperlink"/>
          </w:rPr>
          <w:t xml:space="preserve">PyRate: a new program to estimate speciation and extinction rates from incomplete fossil data</w:t>
        </w:r>
      </w:hyperlink>
      <w:r>
        <w:t xml:space="preserve">. Methods in Ecology and Evolution 5:1126–1131.</w:t>
      </w:r>
    </w:p>
    <w:bookmarkEnd w:id="245"/>
    <w:bookmarkStart w:id="246" w:name="ref-simpson1980"/>
    <w:p>
      <w:pPr>
        <w:pStyle w:val="Bibliography"/>
      </w:pPr>
      <w:r>
        <w:t xml:space="preserve">Simpson, G. G. 1980. Splendid isolation : The curious history of south american mammals. Yale University Press, New Haven.</w:t>
      </w:r>
    </w:p>
    <w:bookmarkEnd w:id="246"/>
    <w:bookmarkStart w:id="247" w:name="ref-simpson1944"/>
    <w:p>
      <w:pPr>
        <w:pStyle w:val="Bibliography"/>
      </w:pPr>
      <w:r>
        <w:t xml:space="preserve">Simpson, G. G. 1944. Tempo and mode in evolution. Columbia University Press.</w:t>
      </w:r>
    </w:p>
    <w:bookmarkEnd w:id="247"/>
    <w:bookmarkStart w:id="249"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48">
        <w:r>
          <w:rPr>
            <w:rStyle w:val="Hyperlink"/>
          </w:rPr>
          <w:t xml:space="preserve">10.1016/j.gr.2024.08.002</w:t>
        </w:r>
      </w:hyperlink>
      <w:r>
        <w:t xml:space="preserve">.</w:t>
      </w:r>
    </w:p>
    <w:bookmarkEnd w:id="249"/>
    <w:bookmarkStart w:id="250"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50"/>
    <w:bookmarkStart w:id="252" w:name="ref-stenseth_coevolution_1984"/>
    <w:p>
      <w:pPr>
        <w:pStyle w:val="Bibliography"/>
      </w:pPr>
      <w:r>
        <w:t xml:space="preserve">Stenseth, N. Chr., and J. M. Smith. 1984.</w:t>
      </w:r>
      <w:r>
        <w:t xml:space="preserve"> </w:t>
      </w:r>
      <w:hyperlink r:id="rId251">
        <w:r>
          <w:rPr>
            <w:rStyle w:val="Hyperlink"/>
          </w:rPr>
          <w:t xml:space="preserve">Coevolution in ecosystems: Red queen or evolutionary stasis?</w:t>
        </w:r>
      </w:hyperlink>
      <w:r>
        <w:t xml:space="preserve"> Evol 38:870–880.</w:t>
      </w:r>
    </w:p>
    <w:bookmarkEnd w:id="252"/>
    <w:bookmarkStart w:id="254" w:name="ref-strömberg2013"/>
    <w:p>
      <w:pPr>
        <w:pStyle w:val="Bibliography"/>
      </w:pPr>
      <w:r>
        <w:t xml:space="preserve">Strömberg, C. A. E., R. E. Dunn, R. H. Madden, M. J. Kohn, and A. A. Carlini. 2013.</w:t>
      </w:r>
      <w:r>
        <w:t xml:space="preserve"> </w:t>
      </w:r>
      <w:hyperlink r:id="rId253">
        <w:r>
          <w:rPr>
            <w:rStyle w:val="Hyperlink"/>
          </w:rPr>
          <w:t xml:space="preserve">Decoupling the spread of grasslands from the evolution of grazer-type herbivores in South America</w:t>
        </w:r>
      </w:hyperlink>
      <w:r>
        <w:t xml:space="preserve">. Nature Communications 4:1478.</w:t>
      </w:r>
    </w:p>
    <w:bookmarkEnd w:id="254"/>
    <w:bookmarkStart w:id="256" w:name="ref-tardif2025"/>
    <w:p>
      <w:pPr>
        <w:pStyle w:val="Bibliography"/>
      </w:pPr>
      <w:r>
        <w:t xml:space="preserve">Tardif, D., F. L. Condamine, S. J. R. Streiff, P. Sepulchre, and T. L. P. Couvreur. 2025.</w:t>
      </w:r>
      <w:r>
        <w:t xml:space="preserve"> </w:t>
      </w:r>
      <w:hyperlink r:id="rId255">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6"/>
    <w:bookmarkStart w:id="258" w:name="ref-tarquini2022"/>
    <w:p>
      <w:pPr>
        <w:pStyle w:val="Bibliography"/>
      </w:pPr>
      <w:r>
        <w:t xml:space="preserve">Tarquini, S. D., S. Ladevèze, and F. J. Prevosti. 2022.</w:t>
      </w:r>
      <w:r>
        <w:t xml:space="preserve"> </w:t>
      </w:r>
      <w:hyperlink r:id="rId257">
        <w:r>
          <w:rPr>
            <w:rStyle w:val="Hyperlink"/>
          </w:rPr>
          <w:t xml:space="preserve">The multicausal twilight of South American native mammalian predators (Metatheria, Sparassodonta)</w:t>
        </w:r>
      </w:hyperlink>
      <w:r>
        <w:t xml:space="preserve">. Scientific Reports 12:1224.</w:t>
      </w:r>
    </w:p>
    <w:bookmarkEnd w:id="258"/>
    <w:bookmarkStart w:id="260" w:name="ref-database"/>
    <w:p>
      <w:pPr>
        <w:pStyle w:val="Bibliography"/>
      </w:pPr>
      <w:r>
        <w:t xml:space="preserve">Upham, N., C. Burgin, J. Widness, S. Liphardt, C. Parker, M. Becker, I. Rochon, D. Huckaby, and J. Zijlstra. 2026.</w:t>
      </w:r>
      <w:r>
        <w:t xml:space="preserve"> </w:t>
      </w:r>
      <w:hyperlink r:id="rId259">
        <w:r>
          <w:rPr>
            <w:rStyle w:val="Hyperlink"/>
          </w:rPr>
          <w:t xml:space="preserve">Mammal Diversity Database v2.4</w:t>
        </w:r>
      </w:hyperlink>
      <w:r>
        <w:t xml:space="preserve">.</w:t>
      </w:r>
    </w:p>
    <w:bookmarkEnd w:id="260"/>
    <w:bookmarkStart w:id="262"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1">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2"/>
    <w:bookmarkStart w:id="264" w:name="ref-vanvalen1960"/>
    <w:p>
      <w:pPr>
        <w:pStyle w:val="Bibliography"/>
      </w:pPr>
      <w:r>
        <w:t xml:space="preserve">Van Valen, L. 1960.</w:t>
      </w:r>
      <w:r>
        <w:t xml:space="preserve"> </w:t>
      </w:r>
      <w:hyperlink r:id="rId263">
        <w:r>
          <w:rPr>
            <w:rStyle w:val="Hyperlink"/>
          </w:rPr>
          <w:t xml:space="preserve">A functional index of hypsodonty</w:t>
        </w:r>
      </w:hyperlink>
      <w:r>
        <w:t xml:space="preserve">. Evolution 14:531–532.</w:t>
      </w:r>
    </w:p>
    <w:bookmarkEnd w:id="264"/>
    <w:bookmarkStart w:id="265" w:name="ref-vanvalen1973"/>
    <w:p>
      <w:pPr>
        <w:pStyle w:val="Bibliography"/>
      </w:pPr>
      <w:r>
        <w:t xml:space="preserve">Van Valen, L. 1973a. A new evolutionary law. Evolutionary Theory 1–30.</w:t>
      </w:r>
    </w:p>
    <w:bookmarkEnd w:id="265"/>
    <w:bookmarkStart w:id="266" w:name="ref-van_valen_pattern_1973"/>
    <w:p>
      <w:pPr>
        <w:pStyle w:val="Bibliography"/>
      </w:pPr>
      <w:r>
        <w:t xml:space="preserve">Van Valen, L. 1973b. Pattern and the balance of nature. Evol. Theory 1:31–49.</w:t>
      </w:r>
    </w:p>
    <w:bookmarkEnd w:id="266"/>
    <w:bookmarkStart w:id="267"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67"/>
    <w:bookmarkStart w:id="268" w:name="ref-vrba1993"/>
    <w:p>
      <w:pPr>
        <w:pStyle w:val="Bibliography"/>
      </w:pPr>
      <w:r>
        <w:t xml:space="preserve">Vrba, E. S. 1993. Turnover-pulses, the red queen and related topics. American Journal of Science 293:418–452.</w:t>
      </w:r>
    </w:p>
    <w:bookmarkEnd w:id="268"/>
    <w:bookmarkStart w:id="269"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69"/>
    <w:bookmarkStart w:id="270" w:name="ref-webb1985"/>
    <w:p>
      <w:pPr>
        <w:pStyle w:val="Bibliography"/>
      </w:pPr>
      <w:r>
        <w:t xml:space="preserve">Webb, S. D. 1985. Late cenozoic mammal dispersals between the americas.</w:t>
      </w:r>
    </w:p>
    <w:bookmarkEnd w:id="270"/>
    <w:bookmarkStart w:id="272" w:name="ref-weppe2023"/>
    <w:p>
      <w:pPr>
        <w:pStyle w:val="Bibliography"/>
      </w:pPr>
      <w:r>
        <w:t xml:space="preserve">Weppe, R., F. L. Condamine, G. Guinot, J. Maugoust, and M. J. Orliac. 2023.</w:t>
      </w:r>
      <w:r>
        <w:t xml:space="preserve"> </w:t>
      </w:r>
      <w:hyperlink r:id="rId271">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2"/>
    <w:bookmarkStart w:id="274"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3">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4"/>
    <w:bookmarkStart w:id="276" w:name="ref-woods2021"/>
    <w:p>
      <w:pPr>
        <w:pStyle w:val="Bibliography"/>
      </w:pPr>
      <w:r>
        <w:t xml:space="preserve">Woods, R., I. Barnes, S. Brace, and S. T. Turvey. 2021.</w:t>
      </w:r>
      <w:r>
        <w:t xml:space="preserve"> </w:t>
      </w:r>
      <w:hyperlink r:id="rId275">
        <w:r>
          <w:rPr>
            <w:rStyle w:val="Hyperlink"/>
          </w:rPr>
          <w:t xml:space="preserve">Ancient DNA suggests single colonization and within-archipelago diversification of caribbean caviomorph rodents</w:t>
        </w:r>
      </w:hyperlink>
      <w:r>
        <w:t xml:space="preserve">. Molecular Biology and Evolution 38:84–95.</w:t>
      </w:r>
    </w:p>
    <w:bookmarkEnd w:id="276"/>
    <w:bookmarkEnd w:id="277"/>
    <w:p>
      <w:r>
        <w:br w:type="page"/>
      </w:r>
    </w:p>
    <w:bookmarkEnd w:id="278"/>
    <w:bookmarkStart w:id="29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3" w:name="fig-ExtSampl"/>
          <w:p>
            <w:pPr>
              <w:pStyle w:val="Compact"/>
              <w:jc w:val="center"/>
            </w:pPr>
            <w:r>
              <w:drawing>
                <wp:inline>
                  <wp:extent cx="5943600" cy="1635861"/>
                  <wp:effectExtent b="0" l="0" r="0" t="0"/>
                  <wp:docPr descr="" title="" id="280" name="Picture"/>
                  <a:graphic>
                    <a:graphicData uri="http://schemas.openxmlformats.org/drawingml/2006/picture">
                      <pic:pic>
                        <pic:nvPicPr>
                          <pic:cNvPr descr="../Figures/Main/extant_sampling/extant_sampling.png" id="281" name="Picture"/>
                          <pic:cNvPicPr>
                            <a:picLocks noChangeArrowheads="1" noChangeAspect="1"/>
                          </pic:cNvPicPr>
                        </pic:nvPicPr>
                        <pic:blipFill>
                          <a:blip r:embed="rId279"/>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2">
              <w:r>
                <w:rPr>
                  <w:rStyle w:val="Hyperlink"/>
                </w:rPr>
                <w:t xml:space="preserve">Phylopic</w:t>
              </w:r>
            </w:hyperlink>
            <w:r>
              <w:t xml:space="preserve">, see Tab. S3 for additional information.</w:t>
            </w:r>
          </w:p>
          <w:bookmarkEnd w:id="283"/>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87" w:name="fig-lifespans"/>
          <w:p>
            <w:pPr>
              <w:pStyle w:val="Compact"/>
              <w:jc w:val="center"/>
            </w:pPr>
            <w:r>
              <w:drawing>
                <wp:inline>
                  <wp:extent cx="5399999" cy="6839999"/>
                  <wp:effectExtent b="0" l="0" r="0" t="0"/>
                  <wp:docPr descr="" title="" id="285" name="Picture"/>
                  <a:graphic>
                    <a:graphicData uri="http://schemas.openxmlformats.org/drawingml/2006/picture">
                      <pic:pic>
                        <pic:nvPicPr>
                          <pic:cNvPr descr="../Figures/Main/Lifespans/lifespans_distribs.png" id="286" name="Picture"/>
                          <pic:cNvPicPr>
                            <a:picLocks noChangeArrowheads="1" noChangeAspect="1"/>
                          </pic:cNvPicPr>
                        </pic:nvPicPr>
                        <pic:blipFill>
                          <a:blip r:embed="rId284"/>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Bayesian reconstruction of the longevities of the 129 chinchilloid species considered in our dataset. Each segment depicts the longevity of a given species, that is, the interval between species’ speciation and extinction times averaged across PyRate runs that achieved convergence. Lines, ticks and taxonomic names were coloured according to the body mass category to which species were assigned. The histogram at the centre of the plot shows the number of species within each body mass class. The first four silhouettes (from top to bottom) are from Phylopic (credits available in Table S2).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87"/>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91" w:name="fig-diversityBM"/>
          <w:p>
            <w:pPr>
              <w:pStyle w:val="Compact"/>
              <w:jc w:val="center"/>
            </w:pPr>
            <w:r>
              <w:drawing>
                <wp:inline>
                  <wp:extent cx="2519999" cy="7199999"/>
                  <wp:effectExtent b="0" l="0" r="0" t="0"/>
                  <wp:docPr descr="" title="" id="289" name="Picture"/>
                  <a:graphic>
                    <a:graphicData uri="http://schemas.openxmlformats.org/drawingml/2006/picture">
                      <pic:pic>
                        <pic:nvPicPr>
                          <pic:cNvPr descr="../Figures/Main/Diversity_and_BM_through_time.png" id="290" name="Picture"/>
                          <pic:cNvPicPr>
                            <a:picLocks noChangeArrowheads="1" noChangeAspect="1"/>
                          </pic:cNvPicPr>
                        </pic:nvPicPr>
                        <pic:blipFill>
                          <a:blip r:embed="rId288"/>
                          <a:stretch>
                            <a:fillRect/>
                          </a:stretch>
                        </pic:blipFill>
                        <pic:spPr bwMode="auto">
                          <a:xfrm>
                            <a:off x="0" y="0"/>
                            <a:ext cx="2519999" cy="71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diversity and clade-wise body size dynamics of Chinchilloidea. Occurrence-based diversity reconstructions were either produced in a bayesian preservation-aware framework jointly assessing the times of speciation and extinction of each species</w:t>
            </w:r>
            <w:r>
              <w:t xml:space="preserve"> </w:t>
            </w:r>
            <w:hyperlink w:anchor="fig-lifespans">
              <w:r>
                <w:rPr>
                  <w:rStyle w:val="Hyperlink"/>
                </w:rPr>
                <w:t xml:space="preserve">Figure 2</w:t>
              </w:r>
            </w:hyperlink>
            <w:r>
              <w:t xml:space="preserve"> </w:t>
            </w:r>
            <w:r>
              <w:t xml:space="preserve">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and the lightest ribbon either shows their associated 95% HPD interval</w:t>
            </w:r>
            <w:r>
              <w:t xml:space="preserve"> </w:t>
            </w:r>
            <w:r>
              <w:rPr>
                <w:b/>
                <w:bCs/>
              </w:rPr>
              <w:t xml:space="preserve">(A</w:t>
            </w:r>
            <w:r>
              <w:t xml:space="preserve"> </w:t>
            </w:r>
            <w:r>
              <w:t xml:space="preserve">and</w:t>
            </w:r>
            <w:r>
              <w:t xml:space="preserve"> </w:t>
            </w:r>
            <w:r>
              <w:rPr>
                <w:b/>
                <w:bCs/>
              </w:rPr>
              <w:t xml:space="preserve">B)</w:t>
            </w:r>
            <w:r>
              <w:t xml:space="preserve"> </w:t>
            </w:r>
            <w:r>
              <w:t xml:space="preserve">or the total range of values</w:t>
            </w:r>
            <w:r>
              <w:t xml:space="preserve"> </w:t>
            </w:r>
            <w:r>
              <w:rPr>
                <w:b/>
                <w:bCs/>
              </w:rPr>
              <w:t xml:space="preserve">(C)</w:t>
            </w:r>
            <w:r>
              <w:t xml:space="preserve">. In</w:t>
            </w:r>
            <w:r>
              <w:t xml:space="preserve"> </w:t>
            </w:r>
            <w:r>
              <w:rPr>
                <w:b/>
                <w:bCs/>
              </w:rPr>
              <w:t xml:space="preserve">(B)</w:t>
            </w:r>
            <w:r>
              <w:t xml:space="preserve">, the darker ribbon depicts the interval encompassing 50% of the per-bin diversity distribution across the 100 DeepDive replicates.</w:t>
            </w:r>
            <w:r>
              <w:t xml:space="preserve"> </w:t>
            </w:r>
            <w:r>
              <w:rPr>
                <w:i/>
                <w:iCs/>
              </w:rPr>
              <w:t xml:space="preserve">Lagidium peruanum</w:t>
            </w:r>
            <w:r>
              <w:t xml:space="preserve"> </w:t>
            </w:r>
            <w:r>
              <w:t xml:space="preserve">and</w:t>
            </w:r>
            <w:r>
              <w:t xml:space="preserve"> </w:t>
            </w:r>
            <w:r>
              <w:rPr>
                <w:i/>
                <w:iCs/>
              </w:rPr>
              <w:t xml:space="preserve">Josephoartigasia monesi</w:t>
            </w:r>
            <w:r>
              <w:t xml:space="preserve"> </w:t>
            </w:r>
            <w:r>
              <w:t xml:space="preserve">silhouettes are from Phylopic (credits available in Tab. S2).</w:t>
            </w:r>
          </w:p>
          <w:bookmarkEnd w:id="291"/>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95" w:name="fig-diversification"/>
          <w:p>
            <w:pPr>
              <w:pStyle w:val="Compact"/>
              <w:jc w:val="center"/>
            </w:pPr>
            <w:r>
              <w:drawing>
                <wp:inline>
                  <wp:extent cx="5399999" cy="3959999"/>
                  <wp:effectExtent b="0" l="0" r="0" t="0"/>
                  <wp:docPr descr="" title="" id="293" name="Picture"/>
                  <a:graphic>
                    <a:graphicData uri="http://schemas.openxmlformats.org/drawingml/2006/picture">
                      <pic:pic>
                        <pic:nvPicPr>
                          <pic:cNvPr descr="../Figures/Main/Diversification_rates.png" id="294" name="Picture"/>
                          <pic:cNvPicPr>
                            <a:picLocks noChangeArrowheads="1" noChangeAspect="1"/>
                          </pic:cNvPicPr>
                        </pic:nvPicPr>
                        <pic:blipFill>
                          <a:blip r:embed="rId292"/>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Comparative chinchilloid speciation and extinction rates reconstructed using three Bayesian occurrence-based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Stars indicate significant rate shifts.</w:t>
            </w:r>
          </w:p>
          <w:bookmarkEnd w:id="295"/>
        </w:tc>
      </w:tr>
    </w:tbl>
    <w:bookmarkEnd w:id="29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we had to exclude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2" Target="media/rId292.png" /><Relationship Type="http://schemas.openxmlformats.org/officeDocument/2006/relationships/image" Id="rId288" Target="media/rId288.png" /><Relationship Type="http://schemas.openxmlformats.org/officeDocument/2006/relationships/image" Id="rId284" Target="media/rId284.png" /><Relationship Type="http://schemas.openxmlformats.org/officeDocument/2006/relationships/image" Id="rId279" Target="media/rId279.png" /><Relationship Type="http://schemas.openxmlformats.org/officeDocument/2006/relationships/hyperlink" Id="rId209" Target="https://discovery.ucl.ac.uk/id/eprint/10220325/" TargetMode="External" /><Relationship Type="http://schemas.openxmlformats.org/officeDocument/2006/relationships/hyperlink" Id="rId193"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9" Target="https://doi.org/10.1007/BF02988789" TargetMode="External" /><Relationship Type="http://schemas.openxmlformats.org/officeDocument/2006/relationships/hyperlink" Id="rId187"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00"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7"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8"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9"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2" Target="https://doi.org/10.1017/pab.2019.23" TargetMode="External" /><Relationship Type="http://schemas.openxmlformats.org/officeDocument/2006/relationships/hyperlink" Id="rId205"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1" Target="https://doi.org/10.1038/ncomms2299" TargetMode="External" /><Relationship Type="http://schemas.openxmlformats.org/officeDocument/2006/relationships/hyperlink" Id="rId253"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2"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3" Target="https://doi.org/10.1038/s41598-017-05263-7" TargetMode="External" /><Relationship Type="http://schemas.openxmlformats.org/officeDocument/2006/relationships/hyperlink" Id="rId257"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1"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5"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0" Target="https://doi.org/10.1073/pnas.1502803112"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1" Target="https://doi.org/10.1073/pnas.2309945120" TargetMode="External" /><Relationship Type="http://schemas.openxmlformats.org/officeDocument/2006/relationships/hyperlink" Id="rId91" Target="https://doi.org/10.1073/pnas.2419520122" TargetMode="External" /><Relationship Type="http://schemas.openxmlformats.org/officeDocument/2006/relationships/hyperlink" Id="rId216" Target="https://doi.org/10.1080/02724634.2010.522432" TargetMode="External" /><Relationship Type="http://schemas.openxmlformats.org/officeDocument/2006/relationships/hyperlink" Id="rId224" Target="https://doi.org/10.1080/08912963.2017.1294168" TargetMode="External" /><Relationship Type="http://schemas.openxmlformats.org/officeDocument/2006/relationships/hyperlink" Id="rId228"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2" Target="https://doi.org/10.1093/jmammal/gyz194" TargetMode="External" /><Relationship Type="http://schemas.openxmlformats.org/officeDocument/2006/relationships/hyperlink" Id="rId275" Target="https://doi.org/10.1093/molbev/msaa189" TargetMode="External" /><Relationship Type="http://schemas.openxmlformats.org/officeDocument/2006/relationships/hyperlink" Id="rId177"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5" Target="https://doi.org/10.1098/rspb.2007.1056" TargetMode="External" /><Relationship Type="http://schemas.openxmlformats.org/officeDocument/2006/relationships/hyperlink" Id="rId230"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4" Target="https://doi.org/10.1098/rspb.2014.2490" TargetMode="External" /><Relationship Type="http://schemas.openxmlformats.org/officeDocument/2006/relationships/hyperlink" Id="rId189" Target="https://doi.org/10.1098/rspb.2019.2806" TargetMode="External" /><Relationship Type="http://schemas.openxmlformats.org/officeDocument/2006/relationships/hyperlink" Id="rId185"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93" Target="https://doi.org/10.1101/2025.02.27.640393" TargetMode="External" /><Relationship Type="http://schemas.openxmlformats.org/officeDocument/2006/relationships/hyperlink" Id="rId244"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18" Target="https://doi.org/10.1111/evo.13680" TargetMode="External" /><Relationship Type="http://schemas.openxmlformats.org/officeDocument/2006/relationships/hyperlink" Id="rId255"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9" Target="https://doi.org/10.1111/j.1365-2699.2005.01314.x" TargetMode="External" /><Relationship Type="http://schemas.openxmlformats.org/officeDocument/2006/relationships/hyperlink" Id="rId238"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3" Target="https://doi.org/10.1111/j.1558-5646.1960.tb03121.x" TargetMode="External" /><Relationship Type="http://schemas.openxmlformats.org/officeDocument/2006/relationships/hyperlink" Id="rId251" Target="https://doi.org/10.1111/j.1558-5646.1984.tb00358.x" TargetMode="External" /><Relationship Type="http://schemas.openxmlformats.org/officeDocument/2006/relationships/hyperlink" Id="rId226"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67" Target="https://doi.org/10.1126/sciadv.1601693" TargetMode="External" /><Relationship Type="http://schemas.openxmlformats.org/officeDocument/2006/relationships/hyperlink" Id="rId197"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6"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20" Target="https://doi.org/10.1126/science.1239431" TargetMode="External" /><Relationship Type="http://schemas.openxmlformats.org/officeDocument/2006/relationships/hyperlink" Id="rId273"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1"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1" Target="https://doi.org/10.1146/annurev.ecolsys.31.1.33" TargetMode="External" /><Relationship Type="http://schemas.openxmlformats.org/officeDocument/2006/relationships/hyperlink" Id="rId183" Target="https://doi.org/10.1206/0003-0090-363.1.1"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1"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59" Target="https://doi.org/10.5281/zenodo.18135819" TargetMode="External" /><Relationship Type="http://schemas.openxmlformats.org/officeDocument/2006/relationships/hyperlink" Id="rId203"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4" Target="https://press.uchicago.edu/ucp/books/book/chicago/M/bo18553844.html" TargetMode="External" /><Relationship Type="http://schemas.openxmlformats.org/officeDocument/2006/relationships/hyperlink" Id="rId191"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2"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09" Target="https://discovery.ucl.ac.uk/id/eprint/10220325/" TargetMode="External" /><Relationship Type="http://schemas.openxmlformats.org/officeDocument/2006/relationships/hyperlink" Id="rId193"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9" Target="https://doi.org/10.1007/BF02988789" TargetMode="External" /><Relationship Type="http://schemas.openxmlformats.org/officeDocument/2006/relationships/hyperlink" Id="rId187"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00"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7"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8"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9"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2" Target="https://doi.org/10.1017/pab.2019.23" TargetMode="External" /><Relationship Type="http://schemas.openxmlformats.org/officeDocument/2006/relationships/hyperlink" Id="rId205"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1" Target="https://doi.org/10.1038/ncomms2299" TargetMode="External" /><Relationship Type="http://schemas.openxmlformats.org/officeDocument/2006/relationships/hyperlink" Id="rId253"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2"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3" Target="https://doi.org/10.1038/s41598-017-05263-7" TargetMode="External" /><Relationship Type="http://schemas.openxmlformats.org/officeDocument/2006/relationships/hyperlink" Id="rId257"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1"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5"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0" Target="https://doi.org/10.1073/pnas.1502803112"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1" Target="https://doi.org/10.1073/pnas.2309945120" TargetMode="External" /><Relationship Type="http://schemas.openxmlformats.org/officeDocument/2006/relationships/hyperlink" Id="rId91" Target="https://doi.org/10.1073/pnas.2419520122" TargetMode="External" /><Relationship Type="http://schemas.openxmlformats.org/officeDocument/2006/relationships/hyperlink" Id="rId216" Target="https://doi.org/10.1080/02724634.2010.522432" TargetMode="External" /><Relationship Type="http://schemas.openxmlformats.org/officeDocument/2006/relationships/hyperlink" Id="rId224" Target="https://doi.org/10.1080/08912963.2017.1294168" TargetMode="External" /><Relationship Type="http://schemas.openxmlformats.org/officeDocument/2006/relationships/hyperlink" Id="rId228"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2" Target="https://doi.org/10.1093/jmammal/gyz194" TargetMode="External" /><Relationship Type="http://schemas.openxmlformats.org/officeDocument/2006/relationships/hyperlink" Id="rId275" Target="https://doi.org/10.1093/molbev/msaa189" TargetMode="External" /><Relationship Type="http://schemas.openxmlformats.org/officeDocument/2006/relationships/hyperlink" Id="rId177"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5" Target="https://doi.org/10.1098/rspb.2007.1056" TargetMode="External" /><Relationship Type="http://schemas.openxmlformats.org/officeDocument/2006/relationships/hyperlink" Id="rId230"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4" Target="https://doi.org/10.1098/rspb.2014.2490" TargetMode="External" /><Relationship Type="http://schemas.openxmlformats.org/officeDocument/2006/relationships/hyperlink" Id="rId189" Target="https://doi.org/10.1098/rspb.2019.2806" TargetMode="External" /><Relationship Type="http://schemas.openxmlformats.org/officeDocument/2006/relationships/hyperlink" Id="rId185"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93" Target="https://doi.org/10.1101/2025.02.27.640393" TargetMode="External" /><Relationship Type="http://schemas.openxmlformats.org/officeDocument/2006/relationships/hyperlink" Id="rId244"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18" Target="https://doi.org/10.1111/evo.13680" TargetMode="External" /><Relationship Type="http://schemas.openxmlformats.org/officeDocument/2006/relationships/hyperlink" Id="rId255"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9" Target="https://doi.org/10.1111/j.1365-2699.2005.01314.x" TargetMode="External" /><Relationship Type="http://schemas.openxmlformats.org/officeDocument/2006/relationships/hyperlink" Id="rId238"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3" Target="https://doi.org/10.1111/j.1558-5646.1960.tb03121.x" TargetMode="External" /><Relationship Type="http://schemas.openxmlformats.org/officeDocument/2006/relationships/hyperlink" Id="rId251" Target="https://doi.org/10.1111/j.1558-5646.1984.tb00358.x" TargetMode="External" /><Relationship Type="http://schemas.openxmlformats.org/officeDocument/2006/relationships/hyperlink" Id="rId226"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67" Target="https://doi.org/10.1126/sciadv.1601693" TargetMode="External" /><Relationship Type="http://schemas.openxmlformats.org/officeDocument/2006/relationships/hyperlink" Id="rId197"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6"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20" Target="https://doi.org/10.1126/science.1239431" TargetMode="External" /><Relationship Type="http://schemas.openxmlformats.org/officeDocument/2006/relationships/hyperlink" Id="rId273"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1"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1" Target="https://doi.org/10.1146/annurev.ecolsys.31.1.33" TargetMode="External" /><Relationship Type="http://schemas.openxmlformats.org/officeDocument/2006/relationships/hyperlink" Id="rId183" Target="https://doi.org/10.1206/0003-0090-363.1.1"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1"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59" Target="https://doi.org/10.5281/zenodo.18135819" TargetMode="External" /><Relationship Type="http://schemas.openxmlformats.org/officeDocument/2006/relationships/hyperlink" Id="rId203"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4" Target="https://press.uchicago.edu/ucp/books/book/chicago/M/bo18553844.html" TargetMode="External" /><Relationship Type="http://schemas.openxmlformats.org/officeDocument/2006/relationships/hyperlink" Id="rId191"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2"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2026-03-10T15:14:23Z</dcterms:created>
  <dcterms:modified xsi:type="dcterms:W3CDTF">2026-03-10T15:14:23Z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