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footnotes.xml" ContentType="application/vnd.openxmlformats-officedocument.wordprocessingml.footnotes+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A matter of size: what underpinned the emergence and demise of the largest rodents that ever lived?</w:t>
      </w:r>
    </w:p>
    <w:p>
      <w:pPr>
        <w:pStyle w:val="Author"/>
        <w:rPr/>
      </w:pPr>
      <w:r>
        <w:rPr/>
        <w:t>Lucas Buffan¹*, Myriam Boivin</w:t>
      </w:r>
      <w:r>
        <w:rPr/>
      </w:r>
      <m:oMath xmlns:m="http://schemas.openxmlformats.org/officeDocument/2006/math">
        <m:sSup>
          <m:e/>
          <m:sup>
            <m:r>
              <w:rPr>
                <w:rFonts w:ascii="Cambria Math" w:hAnsi="Cambria Math"/>
              </w:rPr>
              <m:t xml:space="preserve">2</m:t>
            </m:r>
            <m:r>
              <w:rPr>
                <w:rFonts w:ascii="Cambria Math" w:hAnsi="Cambria Math"/>
              </w:rPr>
              <m:t xml:space="preserve">,</m:t>
            </m:r>
            <m:r>
              <w:rPr>
                <w:rFonts w:ascii="Cambria Math" w:hAnsi="Cambria Math"/>
              </w:rPr>
              <m:t xml:space="preserve">3</m:t>
            </m:r>
            <m:r>
              <w:rPr>
                <w:rFonts w:ascii="Cambria Math" w:hAnsi="Cambria Math"/>
              </w:rPr>
              <m:t xml:space="preserve">∗</m:t>
            </m:r>
          </m:sup>
        </m:sSup>
      </m:oMath>
      <w:r>
        <w:rPr/>
        <w:t>, Alicia Álvarez</w:t>
      </w:r>
      <w:r>
        <w:rPr/>
      </w:r>
      <m:oMath xmlns:m="http://schemas.openxmlformats.org/officeDocument/2006/math">
        <m:sSup>
          <m:e/>
          <m:sup>
            <m:r>
              <w:rPr>
                <w:rFonts w:ascii="Cambria Math" w:hAnsi="Cambria Math"/>
              </w:rPr>
              <m:t xml:space="preserve">2</m:t>
            </m:r>
            <m:r>
              <w:rPr>
                <w:rFonts w:ascii="Cambria Math" w:hAnsi="Cambria Math"/>
              </w:rPr>
              <m:t xml:space="preserve">,</m:t>
            </m:r>
            <m:r>
              <w:rPr>
                <w:rFonts w:ascii="Cambria Math" w:hAnsi="Cambria Math"/>
              </w:rPr>
              <m:t xml:space="preserve">3</m:t>
            </m:r>
          </m:sup>
        </m:sSup>
      </m:oMath>
      <w:r>
        <w:rPr/>
        <w:t>, Fabien L. Condamine¹, Laurent Marivaux¹</w:t>
      </w:r>
    </w:p>
    <w:p>
      <w:pPr>
        <w:pStyle w:val="FirstParagraph"/>
        <w:rPr/>
      </w:pPr>
      <w:r>
        <w:rPr/>
        <w:t xml:space="preserve">¹ </w:t>
      </w:r>
      <w:r>
        <w:rPr/>
        <w:t>Institut des Sciences de l’Évolution de Montpellier, Université de Montpellier, CNRS, IRD, Place Eugène Bataillon, 34095 Montpellier cedex 5, France.</w:t>
        <w:br/>
        <w:t>² Laboratorio de Paleontología, Instituto de Ecorregiones Andinas (INECOA), CONICET – Universidad Nacional de Jujuy, Avenida Bolivia 1661, 4600 San Salvador de Jujuy, Jujuy, Argentina.</w:t>
        <w:br/>
        <w:t>³ Instituto de Geología y Minería (IdGyM), Universidad Nacional de Jujuy, Avenida Bolivia 1661, 4600 San Salvador de Jujuy, Jujuy, Argentina</w:t>
      </w:r>
    </w:p>
    <w:p>
      <w:pPr>
        <w:pStyle w:val="BodyText"/>
        <w:rPr/>
      </w:pPr>
      <w:r>
        <w:rPr/>
        <w:t>* corresponding authors: lucas.l.buffan@gmail.com, mboivin@idgym.unju.edu.ar</w:t>
      </w:r>
    </w:p>
    <w:p>
      <w:pPr>
        <w:pStyle w:val="BodyText"/>
        <w:rPr/>
      </w:pPr>
      <w:r>
        <w:rPr>
          <w:b/>
          <w:bCs/>
        </w:rPr>
        <w:t>Keywords:</w:t>
      </w:r>
      <w:r>
        <w:rPr/>
        <w:t xml:space="preserve"> Environment-dependent Diversification; Extinction Selectivity; Gigantism; South America; Trait-dependent Diversification</w:t>
      </w:r>
    </w:p>
    <w:p>
      <w:pPr>
        <w:pStyle w:val="Heading1"/>
        <w:rPr/>
      </w:pPr>
      <w:bookmarkStart w:id="0" w:name="abstract"/>
      <w:r>
        <w:rPr/>
        <w:t>Abstract</w:t>
      </w:r>
      <w:bookmarkEnd w:id="0"/>
    </w:p>
    <w:p>
      <w:pPr>
        <w:pStyle w:val="Heading1"/>
        <w:rPr/>
      </w:pPr>
      <w:bookmarkStart w:id="1" w:name="introduction"/>
      <w:r>
        <w:rPr/>
        <w:t>Introduction</w:t>
      </w:r>
    </w:p>
    <w:p>
      <w:pPr>
        <w:pStyle w:val="FirstParagraph"/>
        <w:rPr/>
      </w:pPr>
      <w:r>
        <w:rPr/>
        <w:t>How taxonomic diversity and morphological disparity vary and covary through evolutionary timescales has long puzzled macroevolutionary researchers (Jablonski 2017). Evolution towards gigantism has been repeatedly documented in the fossil record of a wide array of animal clades (</w:t>
      </w:r>
      <w:r>
        <w:rPr>
          <w:i/>
          <w:iCs/>
        </w:rPr>
        <w:t>e</w:t>
      </w:r>
      <w:r>
        <w:rPr/>
        <w:t>.</w:t>
      </w:r>
      <w:r>
        <w:rPr>
          <w:i/>
          <w:iCs/>
        </w:rPr>
        <w:t>g</w:t>
      </w:r>
      <w:r>
        <w:rPr/>
        <w:t>., Sander et al. 2011; Bianucci et al. 2023), raising the two-sided question of what drove the emergence and the subsequent demise of these remarkable phenotypes (</w:t>
      </w:r>
      <w:r>
        <w:rPr>
          <w:i/>
          <w:iCs/>
        </w:rPr>
        <w:t>e</w:t>
      </w:r>
      <w:r>
        <w:rPr/>
        <w:t>.</w:t>
      </w:r>
      <w:r>
        <w:rPr>
          <w:i/>
          <w:iCs/>
        </w:rPr>
        <w:t>g</w:t>
      </w:r>
      <w:r>
        <w:rPr/>
        <w:t>., Pimiento et al. 2019; Boessenecker et al. 2019; Chiarenza et al. 2020; Boscaini et al. 2025). Two classes of factors are usually invoked to explain the long-term dynamics of taxonomic diversity. On one side, in its modern interpretation, the classical ‘Red Queen’ hypothesis (Van Valen 1973) posits that evolutionary changes primarily result from biotic interactions (Barnosky 2001). On the other hand, a wealth of hypotheses summarised under the ‘Court Jester’ model rather emphasise the role of abiotic factors as the primary drivers of evolutionary changes (Barnosky 2001). Deciphering how these factors shape speciation and extinction dynamics as well as the evolution of phenotypes is a central aim of macroevolutionary research (Benton 2009), and may in turn provide answers to the evolutionary questions raised by gigantism.</w:t>
      </w:r>
    </w:p>
    <w:p>
      <w:pPr>
        <w:pStyle w:val="BodyText"/>
        <w:rPr/>
      </w:pPr>
      <w:r>
        <w:rPr/>
        <w:t xml:space="preserve">During most of the Cenozoic, the isolation of South America constrained the landmass’ mammalian fauna to evolve in a vacuum, leading to a vast array of endemic radiations (Simpson 1980). Among the most emblematic are the impressively disparate New World hystricognath rodents (Hystricognathi: Caviomorpha), accounting for </w:t>
      </w:r>
      <w:r>
        <w:rPr>
          <w:i/>
          <w:iCs/>
        </w:rPr>
        <w:t>c</w:t>
      </w:r>
      <w:r>
        <w:rPr/>
        <w:t>. 10% of the global extant rodent diversity (Upham et al. 2026). The astonishing disparity within Caviomorpha is greatly exemplified by their body size range, going far beyond what is usually found in the Rodentia, from 50 g (</w:t>
      </w:r>
      <w:r>
        <w:rPr>
          <w:i/>
          <w:iCs/>
        </w:rPr>
        <w:t>Tympanoctomys kirchnerorum</w:t>
      </w:r>
      <w:r>
        <w:rPr/>
        <w:t xml:space="preserve"> Teta, 2014) to 50 kg (</w:t>
      </w:r>
      <w:r>
        <w:rPr>
          <w:i/>
          <w:iCs/>
        </w:rPr>
        <w:t>Hydrochoerus hydrochaeris</w:t>
      </w:r>
      <w:r>
        <w:rPr/>
        <w:t xml:space="preserve"> Linnaeus, 1766, the largest living rodent) (Patton et al. 2015). In fact, hystricognaths, and particularly caviomorphs, evolved the largest body sizes found in the Rodentia. Interestingly, evolution towards large (</w:t>
      </w:r>
      <w:r>
        <w:rPr>
          <w:i/>
          <w:iCs/>
        </w:rPr>
        <w:t>i</w:t>
      </w:r>
      <w:r>
        <w:rPr/>
        <w:t>.</w:t>
      </w:r>
      <w:r>
        <w:rPr>
          <w:i/>
          <w:iCs/>
        </w:rPr>
        <w:t>e</w:t>
      </w:r>
      <w:r>
        <w:rPr/>
        <w:t>., body mass above 10 kg) to giant (</w:t>
      </w:r>
      <w:r>
        <w:rPr>
          <w:i/>
          <w:iCs/>
        </w:rPr>
        <w:t>i</w:t>
      </w:r>
      <w:r>
        <w:rPr/>
        <w:t>.</w:t>
      </w:r>
      <w:r>
        <w:rPr>
          <w:i/>
          <w:iCs/>
        </w:rPr>
        <w:t>e</w:t>
      </w:r>
      <w:r>
        <w:rPr/>
        <w:t>., above 100 kg) body sizes occurred iteratively and independently in an almost coordinated way among distinct caviomorph lineages (</w:t>
      </w:r>
      <w:r>
        <w:rPr>
          <w:i/>
          <w:iCs/>
        </w:rPr>
        <w:t>e</w:t>
      </w:r>
      <w:r>
        <w:rPr/>
        <w:t>.</w:t>
      </w:r>
      <w:r>
        <w:rPr>
          <w:i/>
          <w:iCs/>
        </w:rPr>
        <w:t>g</w:t>
      </w:r>
      <w:r>
        <w:rPr/>
        <w:t>., Vucetich et al. 2015; Álvarez et al. 2017), a trend particularly well illustrated within the Chinchilloidea.</w:t>
      </w:r>
    </w:p>
    <w:p>
      <w:pPr>
        <w:pStyle w:val="BodyText"/>
        <w:rPr/>
      </w:pPr>
      <w:r>
        <w:rPr/>
        <w:t xml:space="preserve">Today, Chinchilloidea includes eight small-to-moderate-sized species with high-crowned, ever-growing (euhypsodont) cheek teeth, distributed among four distantly-related genera – </w:t>
      </w:r>
      <w:r>
        <w:rPr>
          <w:i/>
          <w:iCs/>
        </w:rPr>
        <w:t>Chinchilla</w:t>
      </w:r>
      <w:r>
        <w:rPr/>
        <w:t xml:space="preserve"> Bennett, 1829, </w:t>
      </w:r>
      <w:r>
        <w:rPr>
          <w:i/>
          <w:iCs/>
        </w:rPr>
        <w:t>Lagidium</w:t>
      </w:r>
      <w:r>
        <w:rPr/>
        <w:t xml:space="preserve"> Meyen, 1933 and </w:t>
      </w:r>
      <w:r>
        <w:rPr>
          <w:i/>
          <w:iCs/>
        </w:rPr>
        <w:t>Lagostomus</w:t>
      </w:r>
      <w:r>
        <w:rPr/>
        <w:t xml:space="preserve"> Brookes, 1828, forming the family Chinchillidae, and </w:t>
      </w:r>
      <w:r>
        <w:rPr>
          <w:i/>
          <w:iCs/>
        </w:rPr>
        <w:t>Dinomys</w:t>
      </w:r>
      <w:r>
        <w:rPr/>
        <w:t xml:space="preserve"> Peters, 1873, the only living representative of the Dinomyidae (</w:t>
      </w:r>
      <w:hyperlink w:anchor="fig-context">
        <w:r>
          <w:rPr>
            <w:rStyle w:val="Hyperlink"/>
          </w:rPr>
          <w:t>Figure 1</w:t>
        </w:r>
      </w:hyperlink>
      <w:r>
        <w:rPr/>
        <w:t xml:space="preserve">). The fossil record of Chinchilloidea extends back to the latest Eocene (Antoine et al. 2021) and comprises more than 100 described species with variable degrees of crown height (Candela 2005), and including many of the largest rodents ever recorded. On the South American landmass, fossils of giant chinchilloids were assigned to </w:t>
      </w:r>
      <w:r>
        <w:rPr/>
      </w:r>
      <m:oMath xmlns:m="http://schemas.openxmlformats.org/officeDocument/2006/math">
        <m:r>
          <w:rPr>
            <w:rFonts w:ascii="Cambria Math" w:hAnsi="Cambria Math"/>
          </w:rPr>
          <m:t xml:space="preserve">†</m:t>
        </m:r>
      </m:oMath>
      <w:r>
        <w:rPr/>
        <w:t>Neoepiblemidae (</w:t>
      </w:r>
      <w:r>
        <w:rPr>
          <w:i/>
          <w:iCs/>
        </w:rPr>
        <w:t>e</w:t>
      </w:r>
      <w:r>
        <w:rPr/>
        <w:t>.</w:t>
      </w:r>
      <w:r>
        <w:rPr>
          <w:i/>
          <w:iCs/>
        </w:rPr>
        <w:t>g</w:t>
      </w:r>
      <w:r>
        <w:rPr/>
        <w:t xml:space="preserve">., </w:t>
      </w:r>
      <w:r>
        <w:rPr/>
      </w:r>
      <m:oMath xmlns:m="http://schemas.openxmlformats.org/officeDocument/2006/math">
        <m:r>
          <w:rPr>
            <w:rFonts w:ascii="Cambria Math" w:hAnsi="Cambria Math"/>
          </w:rPr>
          <m:t xml:space="preserve">†</m:t>
        </m:r>
      </m:oMath>
      <w:r>
        <w:rPr>
          <w:i/>
          <w:iCs/>
        </w:rPr>
        <w:t>Phoberomys</w:t>
      </w:r>
      <w:r>
        <w:rPr/>
        <w:t xml:space="preserve"> Kraglievitch, 1926) and Dinomyidae (</w:t>
      </w:r>
      <w:r>
        <w:rPr>
          <w:i/>
          <w:iCs/>
        </w:rPr>
        <w:t>e</w:t>
      </w:r>
      <w:r>
        <w:rPr/>
        <w:t>.</w:t>
      </w:r>
      <w:r>
        <w:rPr>
          <w:i/>
          <w:iCs/>
        </w:rPr>
        <w:t>g</w:t>
      </w:r>
      <w:r>
        <w:rPr/>
        <w:t xml:space="preserve">., </w:t>
      </w:r>
      <w:r>
        <w:rPr/>
      </w:r>
      <m:oMath xmlns:m="http://schemas.openxmlformats.org/officeDocument/2006/math">
        <m:r>
          <w:rPr>
            <w:rFonts w:ascii="Cambria Math" w:hAnsi="Cambria Math"/>
          </w:rPr>
          <m:t xml:space="preserve">†</m:t>
        </m:r>
      </m:oMath>
      <w:r>
        <w:rPr>
          <w:i/>
          <w:iCs/>
        </w:rPr>
        <w:t>Isostylomys</w:t>
      </w:r>
      <w:r>
        <w:rPr/>
        <w:t xml:space="preserve"> Kraglievich, 1926 or </w:t>
      </w:r>
      <w:r>
        <w:rPr/>
      </w:r>
      <m:oMath xmlns:m="http://schemas.openxmlformats.org/officeDocument/2006/math">
        <m:r>
          <w:rPr>
            <w:rFonts w:ascii="Cambria Math" w:hAnsi="Cambria Math"/>
          </w:rPr>
          <m:t xml:space="preserve">†</m:t>
        </m:r>
      </m:oMath>
      <w:r>
        <w:rPr>
          <w:i/>
          <w:iCs/>
        </w:rPr>
        <w:t>Josephoartigasia</w:t>
      </w:r>
      <w:r>
        <w:rPr/>
        <w:t xml:space="preserve"> Mones 2007, the latter being the largest rodent ever recorded) (</w:t>
      </w:r>
      <w:r>
        <w:rPr>
          <w:i/>
          <w:iCs/>
        </w:rPr>
        <w:t>e</w:t>
      </w:r>
      <w:r>
        <w:rPr/>
        <w:t>.</w:t>
      </w:r>
      <w:r>
        <w:rPr>
          <w:i/>
          <w:iCs/>
        </w:rPr>
        <w:t>g</w:t>
      </w:r>
      <w:r>
        <w:rPr/>
        <w:t xml:space="preserve">., Sánchez-Villagra et al. 2003; Rinderknecht and Blanco 2008; Rasia et al. 2024). All these giant taxa, together with the rest of the Chinchilloidea, flourished until the Mio-Pliocene and further vanished, leaving the modest extant diversity of the group (achieving no more than some 15 kg for </w:t>
      </w:r>
      <w:r>
        <w:rPr>
          <w:i/>
          <w:iCs/>
        </w:rPr>
        <w:t>Dinomys branickii</w:t>
      </w:r>
      <w:r>
        <w:rPr/>
        <w:t xml:space="preserve">, the largest extant chinchilloid, an order of magnitude below its giant ancestors) as a relic of a formerly speciose superfamily (Vucetich et al. 2015). In addition, systematics based on morphological characters (primarily dental traits, Marivaux et al. (2020)) also placed the Pleistocene Caribbean ‘giant hutias’ </w:t>
      </w:r>
      <w:r>
        <w:rPr/>
      </w:r>
      <m:oMath xmlns:m="http://schemas.openxmlformats.org/officeDocument/2006/math">
        <m:r>
          <w:rPr>
            <w:rFonts w:ascii="Cambria Math" w:hAnsi="Cambria Math"/>
          </w:rPr>
          <m:t xml:space="preserve">†</m:t>
        </m:r>
      </m:oMath>
      <w:r>
        <w:rPr>
          <w:i/>
          <w:iCs/>
        </w:rPr>
        <w:t>Amblyrhiza inundata</w:t>
      </w:r>
      <w:r>
        <w:rPr/>
        <w:t xml:space="preserve"> Cope, 1868 and </w:t>
      </w:r>
      <w:r>
        <w:rPr/>
      </w:r>
      <m:oMath xmlns:m="http://schemas.openxmlformats.org/officeDocument/2006/math">
        <m:r>
          <w:rPr>
            <w:rFonts w:ascii="Cambria Math" w:hAnsi="Cambria Math"/>
          </w:rPr>
          <m:t xml:space="preserve">†</m:t>
        </m:r>
      </m:oMath>
      <w:r>
        <w:rPr>
          <w:i/>
          <w:iCs/>
        </w:rPr>
        <w:t>Elasmodontomys obliquus</w:t>
      </w:r>
      <w:r>
        <w:rPr/>
        <w:t xml:space="preserve"> Anthony, 1916 within Chinchilloidea</w:t>
      </w:r>
      <w:r>
        <w:rPr>
          <w:rStyle w:val="FootnoteReference"/>
        </w:rPr>
        <w:footnoteReference w:id="2"/>
      </w:r>
      <w:r>
        <w:rPr/>
        <w:t>. Therefore, over their evolutionary history, chinchilloids have experienced a simultaneous increase and further decline in both disparity and diversity (Carrillo et al. 2026).</w:t>
      </w:r>
    </w:p>
    <w:p>
      <w:pPr>
        <w:pStyle w:val="BodyText"/>
        <w:rPr/>
      </w:pPr>
      <w:r>
        <w:rPr/>
        <w:t xml:space="preserve">Several hypotheses have been advocated to explain chinchilloid diversity dynamics and exceptional phenotypical evolution, though mostly emphasising high latitudes. Some authors argued that the environmentally-driven emergence of new niches, either promoted by the late Neogene climatic cooling and aridification (Vucetich et al. 2015) or the Late Miocene hydrographic changes (Candela et al. 2013), favoured the remarkable size-increase pattern found in this rodent clade (Álvarez et al. 2017). Also, the spectacular sizes achieved by the ‘Giant Hutias’ – particularly </w:t>
      </w:r>
      <w:r>
        <w:rPr/>
      </w:r>
      <m:oMath xmlns:m="http://schemas.openxmlformats.org/officeDocument/2006/math">
        <m:r>
          <w:rPr>
            <w:rFonts w:ascii="Cambria Math" w:hAnsi="Cambria Math"/>
          </w:rPr>
          <m:t xml:space="preserve">†</m:t>
        </m:r>
      </m:oMath>
      <w:r>
        <w:rPr>
          <w:i/>
          <w:iCs/>
        </w:rPr>
        <w:t>Amblyrhiza</w:t>
      </w:r>
      <w:r>
        <w:rPr/>
        <w:t xml:space="preserve"> – have often been proposed to result from the ‘island rule’ (</w:t>
      </w:r>
      <w:r>
        <w:rPr>
          <w:i/>
          <w:iCs/>
        </w:rPr>
        <w:t>e</w:t>
      </w:r>
      <w:r>
        <w:rPr/>
        <w:t>.</w:t>
      </w:r>
      <w:r>
        <w:rPr>
          <w:i/>
          <w:iCs/>
        </w:rPr>
        <w:t>g</w:t>
      </w:r>
      <w:r>
        <w:rPr/>
        <w:t>., Biknevicius et al. 1993; McFarlane et al. 1998), though the validity of this macroecological pattern has been under debate (</w:t>
      </w:r>
      <w:r>
        <w:rPr>
          <w:i/>
          <w:iCs/>
        </w:rPr>
        <w:t>e</w:t>
      </w:r>
      <w:r>
        <w:rPr/>
        <w:t>.</w:t>
      </w:r>
      <w:r>
        <w:rPr>
          <w:i/>
          <w:iCs/>
        </w:rPr>
        <w:t>g</w:t>
      </w:r>
      <w:r>
        <w:rPr/>
        <w:t>., Meiri et al. 2007). Despite all this, our understanding of the evolutionary dynamics of Chinchilloidea, and particularly of their drastic evolutionary decline, remains fragmentary. Previous studies relying on a phylogenetic framework illustrated that the dynamics of chinchilloid diversity and body mass evolution were decoupled (Álvarez et al. 2017; Carrillo et al. 2026). However, many extinct taxa lack DNA or sufficient morphological material to be adequately replaced in a phylogenetic framework, leading to their exclusion from subsequent macroevolutionary analyses relying on phylogenies. Thus, there is much to gain by relaxing phylogenetic assumptions and fully taking advantage of the rich fossil record of the group to reconstruct its macroevolutionary history. In addition, despite the major palaeoenvironmental upheavals that took place in South America since the late Eocene (e.g., Andean orogeny, marine introgressions, river network changes, onset of the dry diagonal) as well as the vast array of methods that flourished over the last decade (</w:t>
      </w:r>
      <w:r>
        <w:rPr>
          <w:i/>
          <w:iCs/>
        </w:rPr>
        <w:t>e</w:t>
      </w:r>
      <w:r>
        <w:rPr/>
        <w:t>.</w:t>
      </w:r>
      <w:r>
        <w:rPr>
          <w:i/>
          <w:iCs/>
        </w:rPr>
        <w:t>g</w:t>
      </w:r>
      <w:r>
        <w:rPr/>
        <w:t>., Hauffe et al. 2024; Morlon et al. 2024 and literature therein), the macroevolutionary dynamics of Chinchilloidea have never been analysed in an environment-dependent diversification framework.</w:t>
      </w:r>
    </w:p>
    <w:p>
      <w:pPr>
        <w:pStyle w:val="BodyText"/>
        <w:rPr/>
      </w:pPr>
      <w:r>
        <w:rPr/>
        <w:t>Here, we investigate the evolutionary history of Chinchilloidea and highlight its environmental correlates, with an emphasis on phenotypic evolution. To do so, we compiled and revised 708 chinchilloid fossil occurrences from the literature and used divergence times leading to extant species absent from the fossil record extracted from a dated phylogeny to build the most exhaustive temporal occurrence database ever produced for this group, encompassing 62 genera and 124 species. In parallel, we collected cranio-dental traits and measurements in order (1) to carry out body mass estimations based on recently-published sets of predictive equations, and (2) to determine cheek teeth crown height categories based on hypsodonty indices. We further analysed chinchilloid diversity and diversification dynamics throughout their entire evolutionary history using state-of-the-art preservation-aware methodological frameworks, and sought for their likely environmental drivers, allowing rate variations across time, body size and crown height categories. We hypothesise that (i) climate – in particular temperature – evolution since the middle Miocene impacted the diversification history of Chinchilloidea; (ii) continent-scale changes in habitat connectivity, either mediated by hydrographic (</w:t>
      </w:r>
      <w:r>
        <w:rPr>
          <w:i/>
          <w:iCs/>
        </w:rPr>
        <w:t>i</w:t>
      </w:r>
      <w:r>
        <w:rPr/>
        <w:t>.</w:t>
      </w:r>
      <w:r>
        <w:rPr>
          <w:i/>
          <w:iCs/>
        </w:rPr>
        <w:t>e</w:t>
      </w:r>
      <w:r>
        <w:rPr/>
        <w:t>., sea level) or tectonic (</w:t>
      </w:r>
      <w:r>
        <w:rPr>
          <w:i/>
          <w:iCs/>
        </w:rPr>
        <w:t>i</w:t>
      </w:r>
      <w:r>
        <w:rPr/>
        <w:t>.</w:t>
      </w:r>
      <w:r>
        <w:rPr>
          <w:i/>
          <w:iCs/>
        </w:rPr>
        <w:t>e</w:t>
      </w:r>
      <w:r>
        <w:rPr/>
        <w:t>., Andean elevation) factors had repercussions on the macroevolutionary fate of Chinchilloidea; (iii) the magnitude of the changes in speciation and/or extinction rates were heterogeneous across body size and crown height categories.</w:t>
      </w:r>
      <w:bookmarkEnd w:id="1"/>
    </w:p>
    <w:p>
      <w:pPr>
        <w:pStyle w:val="Heading1"/>
        <w:rPr/>
      </w:pPr>
      <w:bookmarkStart w:id="2" w:name="materials-and-methods"/>
      <w:r>
        <w:rPr/>
        <w:t>Materials and Methods</w:t>
      </w:r>
    </w:p>
    <w:p>
      <w:pPr>
        <w:pStyle w:val="Heading2"/>
        <w:rPr/>
      </w:pPr>
      <w:bookmarkStart w:id="3" w:name="temporal-occurrence-database"/>
      <w:r>
        <w:rPr/>
        <w:t>Temporal occurrence database</w:t>
      </w:r>
    </w:p>
    <w:p>
      <w:pPr>
        <w:pStyle w:val="FirstParagraph"/>
        <w:rPr/>
      </w:pPr>
      <w:r>
        <w:rPr/>
        <w:t>We downloaded genus- and species-level fossil occurrences of Chinchilloidea from The Paleobiology Database (https://paleobiodb.org). Each entry was then checked and, if necessary, updated by us (taxonomic name, fossiliferous locality and geologic formation, age range). We tried to give the most precise age range on the basis of the data available in the literature, firstly searching limits for the fossiliferous level(s), then increasing to the member, formation or locality level in case the first did not exist. We updated some ages previously published given recent chronostratigraphic (International Chronostratigraphic Chart 2024/12; Cohen et al. (2025)) and geomagnetic (Ogg 2020) scales. The SALMA limits are based on Dunn et al. (2013), Brandoni et al. (2016), Fernicola et al. (2019), Cuitiño et al. (2021) and Muñoz et al. (2023). This compilation was further complemented by an extensive literature review conducted up to April 2026, which enabled the removal of duplicates and the incorporation of missing published data. We excluded occurrences with open nomenclature names (</w:t>
      </w:r>
      <w:r>
        <w:rPr>
          <w:i/>
          <w:iCs/>
        </w:rPr>
        <w:t>cf</w:t>
      </w:r>
      <w:r>
        <w:rPr/>
        <w:t xml:space="preserve">., </w:t>
      </w:r>
      <w:r>
        <w:rPr>
          <w:i/>
          <w:iCs/>
        </w:rPr>
        <w:t>aff</w:t>
      </w:r>
      <w:r>
        <w:rPr/>
        <w:t>., ?) from upstream analyses. Additional details on our data cleaning procedure may be found in Supplementary materials.</w:t>
      </w:r>
    </w:p>
    <w:p>
      <w:pPr>
        <w:pStyle w:val="BodyText"/>
        <w:rPr/>
      </w:pPr>
      <w:r>
        <w:rPr/>
        <w:t>We then obtained an exhaustive dated caviomorph phylogeny from VertLife (http://vertlife.org/phylosubsets). This tree was extracted from the credible set of 10,000 trees, including 5,911 mammalian species (Mammals birth–death node-dated completed trees; see Upham et al. (2019)). Relying on this phylogeny, we developed a simple approach to incorporate extant species lacking fossil record (</w:t>
      </w:r>
      <w:r>
        <w:rPr>
          <w:i/>
          <w:iCs/>
        </w:rPr>
        <w:t>i</w:t>
      </w:r>
      <w:r>
        <w:rPr/>
        <w:t>.</w:t>
      </w:r>
      <w:r>
        <w:rPr>
          <w:i/>
          <w:iCs/>
        </w:rPr>
        <w:t>e</w:t>
      </w:r>
      <w:r>
        <w:rPr/>
        <w:t xml:space="preserve">., </w:t>
      </w:r>
      <w:r>
        <w:rPr>
          <w:i/>
          <w:iCs/>
        </w:rPr>
        <w:t>Chinchilla chinchilla</w:t>
      </w:r>
      <w:r>
        <w:rPr>
          <w:rStyle w:val="FootnoteReference"/>
        </w:rPr>
        <w:footnoteReference w:id="3"/>
      </w:r>
      <w:r>
        <w:rPr/>
        <w:t xml:space="preserve">, </w:t>
      </w:r>
      <w:r>
        <w:rPr>
          <w:i/>
          <w:iCs/>
        </w:rPr>
        <w:t>Chinchilla lanigera</w:t>
      </w:r>
      <w:r>
        <w:rPr/>
        <w:t xml:space="preserve">, </w:t>
      </w:r>
      <w:r>
        <w:rPr>
          <w:i/>
          <w:iCs/>
        </w:rPr>
        <w:t>Lagidium ahuacaense</w:t>
      </w:r>
      <w:r>
        <w:rPr/>
        <w:t xml:space="preserve">, </w:t>
      </w:r>
      <w:r>
        <w:rPr>
          <w:i/>
          <w:iCs/>
        </w:rPr>
        <w:t>Lagidium viscacia</w:t>
      </w:r>
      <w:r>
        <w:rPr>
          <w:rStyle w:val="FootnoteReference"/>
        </w:rPr>
        <w:footnoteReference w:id="4"/>
      </w:r>
      <w:r>
        <w:rPr/>
        <w:t xml:space="preserve">, </w:t>
      </w:r>
      <w:r>
        <w:rPr>
          <w:i/>
          <w:iCs/>
        </w:rPr>
        <w:t>Lagidium wolffsohni</w:t>
      </w:r>
      <w:r>
        <w:rPr/>
        <w:t xml:space="preserve"> and </w:t>
      </w:r>
      <w:r>
        <w:rPr>
          <w:i/>
          <w:iCs/>
        </w:rPr>
        <w:t>Dinomys branickii</w:t>
      </w:r>
      <w:r>
        <w:rPr/>
        <w:t>) in our database (</w:t>
      </w:r>
      <w:hyperlink w:anchor="fig-ExtSampl">
        <w:r>
          <w:rPr>
            <w:rStyle w:val="Hyperlink"/>
          </w:rPr>
          <w:t>Figure 2</w:t>
        </w:r>
      </w:hyperlink>
      <w:r>
        <w:rPr/>
        <w:t xml:space="preserve">). Combining information from the fossil record and molecular phylogenies for macroevolutionary inference was already done for groups where a large proportion of the extant diversity is absent from the fossil record, like sharks (Brée et al. 2022; Jouault et al. 2024; Marion et al. 2025). These studies typically considered the divergence times leading to extant species (hereafter termed </w:t>
      </w:r>
      <w:r>
        <w:rPr/>
      </w:r>
      <m:oMath xmlns:m="http://schemas.openxmlformats.org/officeDocument/2006/math">
        <m:sSub>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Sub>
      </m:oMath>
      <w:r>
        <w:rPr/>
        <w:t xml:space="preserve"> for a given species </w:t>
      </w:r>
      <w:r>
        <w:rPr/>
      </w:r>
      <m:oMath xmlns:m="http://schemas.openxmlformats.org/officeDocument/2006/math">
        <m:r>
          <w:rPr>
            <w:rFonts w:ascii="Cambria Math" w:hAnsi="Cambria Math"/>
          </w:rPr>
          <m:t xml:space="preserve">i</m:t>
        </m:r>
      </m:oMath>
      <w:r>
        <w:rPr/>
        <w:t>) as a proxy of extant species origination times (</w:t>
      </w:r>
      <w:r>
        <w:rPr/>
      </w:r>
      <m:oMath xmlns:m="http://schemas.openxmlformats.org/officeDocument/2006/math">
        <m:sSub>
          <m:e>
            <m:r>
              <w:rPr>
                <w:rFonts w:ascii="Cambria Math" w:hAnsi="Cambria Math"/>
              </w:rPr>
              <m:t xml:space="preserve">T</m:t>
            </m:r>
          </m:e>
          <m:sub>
            <m:r>
              <w:rPr>
                <w:rFonts w:ascii="Cambria Math" w:hAnsi="Cambria Math"/>
              </w:rPr>
              <m:t xml:space="preserve">s</m:t>
            </m:r>
            <m:r>
              <w:rPr>
                <w:rFonts w:ascii="Cambria Math" w:hAnsi="Cambria Math"/>
              </w:rPr>
              <m:t xml:space="preserve">,</m:t>
            </m:r>
            <m:r>
              <w:rPr>
                <w:rFonts w:ascii="Cambria Math" w:hAnsi="Cambria Math"/>
              </w:rPr>
              <m:t xml:space="preserve">i</m:t>
            </m:r>
          </m:sub>
        </m:sSub>
      </m:oMath>
      <w:r>
        <w:rPr/>
        <w:t xml:space="preserve">), and carried out their macroevolutionary inference out of a single combined origination and extinction times dataset − acknowledging that the extinction times of extant species were by definition equal to zero. Here, we propose to treat </w:t>
      </w:r>
      <w:r>
        <w:rPr/>
      </w:r>
      <m:oMath xmlns:m="http://schemas.openxmlformats.org/officeDocument/2006/math">
        <m:sSub>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Sub>
      </m:oMath>
      <w:r>
        <w:rPr/>
        <w:t xml:space="preserve"> as a lower bound of </w:t>
      </w:r>
      <w:r>
        <w:rPr/>
      </w:r>
      <m:oMath xmlns:m="http://schemas.openxmlformats.org/officeDocument/2006/math">
        <m:sSub>
          <m:e>
            <m:r>
              <w:rPr>
                <w:rFonts w:ascii="Cambria Math" w:hAnsi="Cambria Math"/>
              </w:rPr>
              <m:t xml:space="preserve">T</m:t>
            </m:r>
          </m:e>
          <m:sub>
            <m:r>
              <w:rPr>
                <w:rFonts w:ascii="Cambria Math" w:hAnsi="Cambria Math"/>
              </w:rPr>
              <m:t xml:space="preserve">s</m:t>
            </m:r>
            <m:r>
              <w:rPr>
                <w:rFonts w:ascii="Cambria Math" w:hAnsi="Cambria Math"/>
              </w:rPr>
              <m:t xml:space="preserve">,</m:t>
            </m:r>
            <m:r>
              <w:rPr>
                <w:rFonts w:ascii="Cambria Math" w:hAnsi="Cambria Math"/>
              </w:rPr>
              <m:t xml:space="preserve">i</m:t>
            </m:r>
          </m:sub>
        </m:sSub>
      </m:oMath>
      <w:r>
        <w:rPr/>
        <w:t xml:space="preserve">. Our approach therefore involves sampling virtual occurrences of each extant species </w:t>
      </w:r>
      <w:r>
        <w:rPr/>
      </w:r>
      <m:oMath xmlns:m="http://schemas.openxmlformats.org/officeDocument/2006/math">
        <m:r>
          <w:rPr>
            <w:rFonts w:ascii="Cambria Math" w:hAnsi="Cambria Math"/>
          </w:rPr>
          <m:t xml:space="preserve">i</m:t>
        </m:r>
      </m:oMath>
      <w:r>
        <w:rPr/>
        <w:t xml:space="preserve"> within </w:t>
      </w:r>
      <w:r>
        <w:rPr/>
      </w:r>
      <m:oMath xmlns:m="http://schemas.openxmlformats.org/officeDocument/2006/math">
        <m:d>
          <m:dPr>
            <m:begChr m:val="["/>
            <m:endChr m:val=")"/>
          </m:dPr>
          <m:e>
            <m:r>
              <w:rPr>
                <w:rFonts w:ascii="Cambria Math" w:hAnsi="Cambria Math"/>
              </w:rPr>
              <m:t xml:space="preserve">0</m:t>
            </m:r>
            <m:r>
              <w:rPr>
                <w:rFonts w:ascii="Cambria Math" w:hAnsi="Cambria Math"/>
              </w:rPr>
              <m:t xml:space="preserve">,</m:t>
            </m:r>
            <m:sSub>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Sub>
          </m:e>
        </m:d>
      </m:oMath>
      <w:r>
        <w:rPr/>
        <w:t xml:space="preserve">, and incorporating these virtual occurrences into the previously-introduced fossil occurrence database. Assuming sampling probability to decrease as we get closer to </w:t>
      </w:r>
      <w:r>
        <w:rPr/>
      </w:r>
      <m:oMath xmlns:m="http://schemas.openxmlformats.org/officeDocument/2006/math">
        <m:sSub>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Sub>
      </m:oMath>
      <w:r>
        <w:rPr/>
        <w:t xml:space="preserve"> (Liow et al. 2010), we therefore randomly drew </w:t>
      </w:r>
      <w:r>
        <w:rPr/>
      </w:r>
      <m:oMath xmlns:m="http://schemas.openxmlformats.org/officeDocument/2006/math">
        <m:r>
          <w:rPr>
            <w:rFonts w:ascii="Cambria Math" w:hAnsi="Cambria Math"/>
          </w:rPr>
          <m:t xml:space="preserve">n</m:t>
        </m:r>
      </m:oMath>
      <w:r>
        <w:rPr/>
        <w:t xml:space="preserve"> occurrences of the species </w:t>
      </w:r>
      <w:r>
        <w:rPr/>
      </w:r>
      <m:oMath xmlns:m="http://schemas.openxmlformats.org/officeDocument/2006/math">
        <m:r>
          <w:rPr>
            <w:rFonts w:ascii="Cambria Math" w:hAnsi="Cambria Math"/>
          </w:rPr>
          <m:t xml:space="preserve">i</m:t>
        </m:r>
      </m:oMath>
      <w:r>
        <w:rPr/>
        <w:t xml:space="preserve"> from a truncated exponential distribution (</w:t>
      </w:r>
      <w:r>
        <w:rPr/>
      </w:r>
      <m:oMath xmlns:m="http://schemas.openxmlformats.org/officeDocument/2006/math">
        <m:sSup>
          <m:e/>
          <m:sup>
            <m:r>
              <w:rPr>
                <w:rFonts w:ascii="Cambria Math" w:hAnsi="Cambria Math"/>
              </w:rPr>
              <m:t xml:space="preserve">t</m:t>
            </m:r>
            <m:r>
              <w:rPr>
                <w:rFonts w:ascii="Cambria Math" w:hAnsi="Cambria Math"/>
              </w:rPr>
              <m:t xml:space="preserve">r</m:t>
            </m:r>
          </m:sup>
        </m:sSup>
        <m:r>
          <w:rPr>
            <w:rFonts w:ascii="Cambria Math" w:hAnsi="Cambria Math"/>
          </w:rPr>
          <m:t xml:space="preserve">ϵ</m:t>
        </m:r>
      </m:oMath>
      <w:r>
        <w:rPr/>
        <w:t xml:space="preserve">) of rate </w:t>
      </w:r>
      <w:r>
        <w:rPr/>
      </w:r>
      <m:oMath xmlns:m="http://schemas.openxmlformats.org/officeDocument/2006/math">
        <m:r>
          <w:rPr>
            <w:rFonts w:ascii="Cambria Math" w:hAnsi="Cambria Math"/>
          </w:rPr>
          <m:t xml:space="preserve">γ</m:t>
        </m:r>
      </m:oMath>
      <w:r>
        <w:rPr/>
        <w:t xml:space="preserve"> determined so that an arbitrary proportion </w:t>
      </w:r>
      <w:r>
        <w:rPr/>
      </w:r>
      <m:oMath xmlns:m="http://schemas.openxmlformats.org/officeDocument/2006/math">
        <m:r>
          <w:rPr>
            <w:rFonts w:ascii="Cambria Math" w:hAnsi="Cambria Math"/>
          </w:rPr>
          <m:t xml:space="preserve">α</m:t>
        </m:r>
      </m:oMath>
      <w:r>
        <w:rPr/>
        <w:t xml:space="preserve"> of the non-truncated distribution lies within </w:t>
      </w:r>
      <w:r>
        <w:rPr/>
      </w:r>
      <m:oMath xmlns:m="http://schemas.openxmlformats.org/officeDocument/2006/math">
        <m:d>
          <m:dPr>
            <m:begChr m:val="["/>
            <m:endChr m:val=")"/>
          </m:dPr>
          <m:e>
            <m:r>
              <w:rPr>
                <w:rFonts w:ascii="Cambria Math" w:hAnsi="Cambria Math"/>
              </w:rPr>
              <m:t xml:space="preserve">0</m:t>
            </m:r>
            <m:r>
              <w:rPr>
                <w:rFonts w:ascii="Cambria Math" w:hAnsi="Cambria Math"/>
              </w:rPr>
              <m:t xml:space="preserve">,</m:t>
            </m:r>
            <m:sSub>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Sub>
          </m:e>
        </m:d>
      </m:oMath>
      <w:r>
        <w:rPr/>
        <w:t xml:space="preserve"> (</w:t>
      </w:r>
      <w:hyperlink w:anchor="fig-ExtSampl">
        <w:r>
          <w:rPr>
            <w:rStyle w:val="Hyperlink"/>
          </w:rPr>
          <w:t>Figure 2</w:t>
        </w:r>
      </w:hyperlink>
      <w:r>
        <w:rPr/>
        <w:t>). This leads to</w:t>
      </w:r>
    </w:p>
    <w:p>
      <w:pPr>
        <w:pStyle w:val="BodyText"/>
        <w:jc w:val="center"/>
        <w:rPr/>
      </w:pPr>
      <w:r>
        <w:rPr/>
      </w:r>
      <m:oMathPara xmlns:m="http://schemas.openxmlformats.org/officeDocument/2006/math">
        <m:oMathParaPr>
          <m:jc m:val="center"/>
        </m:oMathParaPr>
        <m:oMath>
          <m:r>
            <w:rPr>
              <w:rFonts w:ascii="Cambria Math" w:hAnsi="Cambria Math"/>
            </w:rPr>
            <m:t xml:space="preserve">γ</m:t>
          </m:r>
          <m:r>
            <w:rPr>
              <w:rFonts w:ascii="Cambria Math" w:hAnsi="Cambria Math"/>
            </w:rPr>
            <m:t xml:space="preserve">=</m:t>
          </m:r>
          <m:f>
            <m:num>
              <m:r>
                <w:rPr>
                  <w:rFonts w:ascii="Cambria Math" w:hAnsi="Cambria Math"/>
                </w:rPr>
                <m:t xml:space="preserve">−</m:t>
              </m:r>
              <m:r>
                <w:rPr>
                  <w:rFonts w:ascii="Cambria Math" w:hAnsi="Cambria Math"/>
                </w:rPr>
                <m:t xml:space="preserve">l</m:t>
              </m:r>
              <m:r>
                <w:rPr>
                  <w:rFonts w:ascii="Cambria Math" w:hAnsi="Cambria Math"/>
                </w:rPr>
                <m:t xml:space="preserve">n</m:t>
              </m:r>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α</m:t>
                  </m:r>
                </m:e>
              </m:d>
            </m:num>
            <m:den>
              <m:sSub>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Sub>
            </m:den>
          </m:f>
        </m:oMath>
      </m:oMathPara>
    </w:p>
    <w:p>
      <w:pPr>
        <w:pStyle w:val="FirstParagraph"/>
        <w:rPr/>
      </w:pPr>
      <w:r>
        <w:rPr/>
        <w:t xml:space="preserve">In practice, we sampled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10</m:t>
        </m:r>
      </m:oMath>
      <w:r>
        <w:rPr/>
        <w:t xml:space="preserve"> values </w:t>
      </w:r>
      <w:r>
        <w:rPr/>
      </w:r>
      <m:oMath xmlns:m="http://schemas.openxmlformats.org/officeDocument/2006/math">
        <m:sSubSup>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up>
            <m:r>
              <w:rPr>
                <w:rFonts w:ascii="Cambria Math" w:hAnsi="Cambria Math"/>
              </w:rPr>
              <m:t xml:space="preserve">⋆</m:t>
            </m:r>
          </m:sup>
        </m:sSubSup>
      </m:oMath>
      <w:r>
        <w:rPr/>
        <w:t xml:space="preserve"> from the 95% HPD of </w:t>
      </w:r>
      <w:r>
        <w:rPr/>
      </w:r>
      <m:oMath xmlns:m="http://schemas.openxmlformats.org/officeDocument/2006/math">
        <m:sSub>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Sub>
      </m:oMath>
      <w:r>
        <w:rPr/>
        <w:t xml:space="preserve"> (Table S2). Since we did not have direct access to the distribution in itself but rather to its lower and upper bounds (respectively </w:t>
      </w:r>
      <w:r>
        <w:rPr/>
      </w:r>
      <m:oMath xmlns:m="http://schemas.openxmlformats.org/officeDocument/2006/math">
        <m:sSubSup>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up>
            <m:r>
              <w:rPr>
                <w:rFonts w:ascii="Cambria Math" w:hAnsi="Cambria Math"/>
              </w:rPr>
              <m:t xml:space="preserve">2.5</m:t>
            </m:r>
            <m:r>
              <m:rPr>
                <m:lit/>
                <m:nor/>
              </m:rPr>
              <w:rPr>
                <w:rFonts w:ascii="Cambria Math" w:hAnsi="Cambria Math"/>
              </w:rPr>
              <m:t xml:space="preserve">%</m:t>
            </m:r>
          </m:sup>
        </m:sSubSup>
      </m:oMath>
      <w:r>
        <w:rPr/>
        <w:t xml:space="preserve"> and </w:t>
      </w:r>
      <w:r>
        <w:rPr/>
      </w:r>
      <m:oMath xmlns:m="http://schemas.openxmlformats.org/officeDocument/2006/math">
        <m:sSubSup>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up>
            <m:r>
              <w:rPr>
                <w:rFonts w:ascii="Cambria Math" w:hAnsi="Cambria Math"/>
              </w:rPr>
              <m:t xml:space="preserve">97.5</m:t>
            </m:r>
            <m:r>
              <m:rPr>
                <m:lit/>
                <m:nor/>
              </m:rPr>
              <w:rPr>
                <w:rFonts w:ascii="Cambria Math" w:hAnsi="Cambria Math"/>
              </w:rPr>
              <m:t xml:space="preserve">%</m:t>
            </m:r>
          </m:sup>
        </m:sSubSup>
      </m:oMath>
      <w:r>
        <w:rPr/>
        <w:t xml:space="preserve">), we approximated it to a normal distribution of mean </w:t>
      </w:r>
      <w:r>
        <w:rPr/>
      </w:r>
      <m:oMath xmlns:m="http://schemas.openxmlformats.org/officeDocument/2006/math">
        <m:r>
          <w:rPr>
            <w:rFonts w:ascii="Cambria Math" w:hAnsi="Cambria Math"/>
          </w:rPr>
          <m:t xml:space="preserve">μ</m:t>
        </m:r>
        <m:r>
          <w:rPr>
            <w:rFonts w:ascii="Cambria Math" w:hAnsi="Cambria Math"/>
          </w:rPr>
          <m:t xml:space="preserve">=</m:t>
        </m:r>
        <m:f>
          <m:num>
            <m:sSubSup>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up>
                <m:r>
                  <w:rPr>
                    <w:rFonts w:ascii="Cambria Math" w:hAnsi="Cambria Math"/>
                  </w:rPr>
                  <m:t xml:space="preserve">97.5</m:t>
                </m:r>
                <m:r>
                  <m:rPr>
                    <m:lit/>
                    <m:nor/>
                  </m:rPr>
                  <w:rPr>
                    <w:rFonts w:ascii="Cambria Math" w:hAnsi="Cambria Math"/>
                  </w:rPr>
                  <m:t xml:space="preserve">%</m:t>
                </m:r>
              </m:sup>
            </m:sSubSup>
            <m:r>
              <w:rPr>
                <w:rFonts w:ascii="Cambria Math" w:hAnsi="Cambria Math"/>
              </w:rPr>
              <m:t xml:space="preserve">+</m:t>
            </m:r>
            <m:sSubSup>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up>
                <m:r>
                  <w:rPr>
                    <w:rFonts w:ascii="Cambria Math" w:hAnsi="Cambria Math"/>
                  </w:rPr>
                  <m:t xml:space="preserve">2.5</m:t>
                </m:r>
                <m:r>
                  <m:rPr>
                    <m:lit/>
                    <m:nor/>
                  </m:rPr>
                  <w:rPr>
                    <w:rFonts w:ascii="Cambria Math" w:hAnsi="Cambria Math"/>
                  </w:rPr>
                  <m:t xml:space="preserve">%</m:t>
                </m:r>
              </m:sup>
            </m:sSubSup>
          </m:num>
          <m:den>
            <m:r>
              <w:rPr>
                <w:rFonts w:ascii="Cambria Math" w:hAnsi="Cambria Math"/>
              </w:rPr>
              <m:t xml:space="preserve">2</m:t>
            </m:r>
          </m:den>
        </m:f>
      </m:oMath>
      <w:r>
        <w:rPr/>
        <w:t xml:space="preserve"> and variance </w:t>
      </w:r>
      <w:r>
        <w:rPr/>
      </w:r>
      <m:oMath xmlns:m="http://schemas.openxmlformats.org/officeDocument/2006/math">
        <m:sSup>
          <m:e>
            <m:r>
              <w:rPr>
                <w:rFonts w:ascii="Cambria Math" w:hAnsi="Cambria Math"/>
              </w:rPr>
              <m:t xml:space="preserve">σ</m:t>
            </m:r>
          </m:e>
          <m:sup>
            <m:r>
              <w:rPr>
                <w:rFonts w:ascii="Cambria Math" w:hAnsi="Cambria Math"/>
              </w:rPr>
              <m:t xml:space="preserve">2</m:t>
            </m:r>
          </m:sup>
        </m:sSup>
        <m:r>
          <w:rPr>
            <w:rFonts w:ascii="Cambria Math" w:hAnsi="Cambria Math"/>
          </w:rPr>
          <m:t xml:space="preserve">=</m:t>
        </m:r>
        <m:f>
          <m:num>
            <m:sSubSup>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up>
                <m:r>
                  <w:rPr>
                    <w:rFonts w:ascii="Cambria Math" w:hAnsi="Cambria Math"/>
                  </w:rPr>
                  <m:t xml:space="preserve">97.5</m:t>
                </m:r>
                <m:r>
                  <m:rPr>
                    <m:lit/>
                    <m:nor/>
                  </m:rPr>
                  <w:rPr>
                    <w:rFonts w:ascii="Cambria Math" w:hAnsi="Cambria Math"/>
                  </w:rPr>
                  <m:t xml:space="preserve">%</m:t>
                </m:r>
              </m:sup>
            </m:sSubSup>
            <m:r>
              <w:rPr>
                <w:rFonts w:ascii="Cambria Math" w:hAnsi="Cambria Math"/>
              </w:rPr>
              <m:t xml:space="preserve">−</m:t>
            </m:r>
            <m:r>
              <w:rPr>
                <w:rFonts w:ascii="Cambria Math" w:hAnsi="Cambria Math"/>
              </w:rPr>
              <m:t xml:space="preserve">μ</m:t>
            </m:r>
          </m:num>
          <m:den>
            <m:r>
              <w:rPr>
                <w:rFonts w:ascii="Cambria Math" w:hAnsi="Cambria Math"/>
              </w:rPr>
              <m:t xml:space="preserve">1.96</m:t>
            </m:r>
          </m:den>
        </m:f>
      </m:oMath>
      <w:r>
        <w:rPr/>
        <w:t xml:space="preserve">. Then, for each of the 10 </w:t>
      </w:r>
      <w:r>
        <w:rPr/>
      </w:r>
      <m:oMath xmlns:m="http://schemas.openxmlformats.org/officeDocument/2006/math">
        <m:sSubSup>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up>
            <m:r>
              <w:rPr>
                <w:rFonts w:ascii="Cambria Math" w:hAnsi="Cambria Math"/>
              </w:rPr>
              <m:t xml:space="preserve">⋆</m:t>
            </m:r>
          </m:sup>
        </m:sSubSup>
      </m:oMath>
      <w:r>
        <w:rPr/>
        <w:t xml:space="preserve"> values, we sampled the minimum and maximum ages of a virtual occurrence from </w:t>
      </w:r>
      <w:r>
        <w:rPr/>
      </w:r>
      <m:oMath xmlns:m="http://schemas.openxmlformats.org/officeDocument/2006/math">
        <m:sSup>
          <m:e/>
          <m:sup>
            <m:r>
              <w:rPr>
                <w:rFonts w:ascii="Cambria Math" w:hAnsi="Cambria Math"/>
              </w:rPr>
              <m:t xml:space="preserve">t</m:t>
            </m:r>
            <m:r>
              <w:rPr>
                <w:rFonts w:ascii="Cambria Math" w:hAnsi="Cambria Math"/>
              </w:rPr>
              <m:t xml:space="preserve">r</m:t>
            </m:r>
          </m:sup>
        </m:sSup>
        <m:r>
          <w:rPr>
            <w:rFonts w:ascii="Cambria Math" w:hAnsi="Cambria Math"/>
          </w:rPr>
          <m:t xml:space="preserve">ϵ</m:t>
        </m:r>
        <m:d>
          <m:dPr>
            <m:begChr m:val="("/>
            <m:endChr m:val=")"/>
          </m:dPr>
          <m:e>
            <m:r>
              <w:rPr>
                <w:rFonts w:ascii="Cambria Math" w:hAnsi="Cambria Math"/>
              </w:rPr>
              <m:t xml:space="preserve">γ</m:t>
            </m:r>
          </m:e>
        </m:d>
      </m:oMath>
      <w:r>
        <w:rPr/>
        <w:t xml:space="preserve"> by setting </w:t>
      </w:r>
      <w:r>
        <w:rPr/>
      </w:r>
      <m:oMath xmlns:m="http://schemas.openxmlformats.org/officeDocument/2006/math">
        <m:r>
          <w:rPr>
            <w:rFonts w:ascii="Cambria Math" w:hAnsi="Cambria Math"/>
          </w:rPr>
          <m:t xml:space="preserve">α</m:t>
        </m:r>
        <m:r>
          <w:rPr>
            <w:rFonts w:ascii="Cambria Math" w:hAnsi="Cambria Math"/>
          </w:rPr>
          <m:t xml:space="preserve">=</m:t>
        </m:r>
        <m:r>
          <w:rPr>
            <w:rFonts w:ascii="Cambria Math" w:hAnsi="Cambria Math"/>
          </w:rPr>
          <m:t xml:space="preserve">0.95</m:t>
        </m:r>
      </m:oMath>
      <w:r>
        <w:rPr/>
        <w:t xml:space="preserve">, except for </w:t>
      </w:r>
      <w:r>
        <w:rPr>
          <w:i/>
          <w:iCs/>
        </w:rPr>
        <w:t>Dinomys branickii</w:t>
      </w:r>
      <w:r>
        <w:rPr/>
        <w:t xml:space="preserve">. Indeed, given that the divergence time of </w:t>
      </w:r>
      <w:r>
        <w:rPr>
          <w:i/>
          <w:iCs/>
        </w:rPr>
        <w:t>D. branickii</w:t>
      </w:r>
      <w:r>
        <w:rPr/>
        <w:t xml:space="preserve"> with the rest of the extant representatives of the clade (</w:t>
      </w:r>
      <w:r>
        <w:rPr/>
      </w:r>
      <m:oMath xmlns:m="http://schemas.openxmlformats.org/officeDocument/2006/math">
        <m:sSub>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b</m:t>
            </m:r>
            <m:r>
              <w:rPr>
                <w:rFonts w:ascii="Cambria Math" w:hAnsi="Cambria Math"/>
              </w:rPr>
              <m:t xml:space="preserve">r</m:t>
            </m:r>
            <m:r>
              <w:rPr>
                <w:rFonts w:ascii="Cambria Math" w:hAnsi="Cambria Math"/>
              </w:rPr>
              <m:t xml:space="preserve">a</m:t>
            </m:r>
            <m:r>
              <w:rPr>
                <w:rFonts w:ascii="Cambria Math" w:hAnsi="Cambria Math"/>
              </w:rPr>
              <m:t xml:space="preserve">n</m:t>
            </m:r>
            <m:r>
              <w:rPr>
                <w:rFonts w:ascii="Cambria Math" w:hAnsi="Cambria Math"/>
              </w:rPr>
              <m:t xml:space="preserve">i</m:t>
            </m:r>
            <m:r>
              <w:rPr>
                <w:rFonts w:ascii="Cambria Math" w:hAnsi="Cambria Math"/>
              </w:rPr>
              <m:t xml:space="preserve">c</m:t>
            </m:r>
            <m:r>
              <w:rPr>
                <w:rFonts w:ascii="Cambria Math" w:hAnsi="Cambria Math"/>
              </w:rPr>
              <m:t xml:space="preserve">k</m:t>
            </m:r>
            <m:r>
              <w:rPr>
                <w:rFonts w:ascii="Cambria Math" w:hAnsi="Cambria Math"/>
              </w:rPr>
              <m:t xml:space="preserve">i</m:t>
            </m:r>
            <m:r>
              <w:rPr>
                <w:rFonts w:ascii="Cambria Math" w:hAnsi="Cambria Math"/>
              </w:rPr>
              <m:t xml:space="preserve">i</m:t>
            </m:r>
          </m:sub>
        </m:sSub>
      </m:oMath>
      <w:r>
        <w:rPr/>
        <w:t xml:space="preserve">) is too ancient to be reasonably considered as an approximation of the time when the species originated (95% HPD = </w:t>
      </w:r>
      <w:r>
        <w:rPr/>
      </w:r>
      <m:oMath xmlns:m="http://schemas.openxmlformats.org/officeDocument/2006/math">
        <m:d>
          <m:dPr>
            <m:begChr m:val="["/>
            <m:endChr m:val=")"/>
          </m:dPr>
          <m:e>
            <m:r>
              <w:rPr>
                <w:rFonts w:ascii="Cambria Math" w:hAnsi="Cambria Math"/>
              </w:rPr>
              <m:t xml:space="preserve">16.5</m:t>
            </m:r>
            <m:r>
              <w:rPr>
                <w:rFonts w:ascii="Cambria Math" w:hAnsi="Cambria Math"/>
              </w:rPr>
              <m:t xml:space="preserve">,</m:t>
            </m:r>
            <m:r>
              <w:rPr>
                <w:rFonts w:ascii="Cambria Math" w:hAnsi="Cambria Math"/>
              </w:rPr>
              <m:t xml:space="preserve">24.8</m:t>
            </m:r>
          </m:e>
        </m:d>
      </m:oMath>
      <w:r>
        <w:rPr/>
        <w:t xml:space="preserve"> Ma), we set </w:t>
      </w:r>
      <w:r>
        <w:rPr/>
      </w:r>
      <m:oMath xmlns:m="http://schemas.openxmlformats.org/officeDocument/2006/math">
        <m:r>
          <w:rPr>
            <w:rFonts w:ascii="Cambria Math" w:hAnsi="Cambria Math"/>
          </w:rPr>
          <m:t xml:space="preserve">α</m:t>
        </m:r>
        <m:r>
          <w:rPr>
            <w:rFonts w:ascii="Cambria Math" w:hAnsi="Cambria Math"/>
          </w:rPr>
          <m:t xml:space="preserve">=</m:t>
        </m:r>
        <m:r>
          <w:rPr>
            <w:rFonts w:ascii="Cambria Math" w:hAnsi="Cambria Math"/>
          </w:rPr>
          <m:t xml:space="preserve">0.999</m:t>
        </m:r>
      </m:oMath>
      <w:r>
        <w:rPr/>
        <w:t xml:space="preserve"> (Figure S3). By doing so, we made it almost impossible to sample an occurrence maximum age close to </w:t>
      </w:r>
      <w:r>
        <w:rPr/>
      </w:r>
      <m:oMath xmlns:m="http://schemas.openxmlformats.org/officeDocument/2006/math">
        <m:sSub>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b</m:t>
            </m:r>
            <m:r>
              <w:rPr>
                <w:rFonts w:ascii="Cambria Math" w:hAnsi="Cambria Math"/>
              </w:rPr>
              <m:t xml:space="preserve">r</m:t>
            </m:r>
            <m:r>
              <w:rPr>
                <w:rFonts w:ascii="Cambria Math" w:hAnsi="Cambria Math"/>
              </w:rPr>
              <m:t xml:space="preserve">a</m:t>
            </m:r>
            <m:r>
              <w:rPr>
                <w:rFonts w:ascii="Cambria Math" w:hAnsi="Cambria Math"/>
              </w:rPr>
              <m:t xml:space="preserve">n</m:t>
            </m:r>
            <m:r>
              <w:rPr>
                <w:rFonts w:ascii="Cambria Math" w:hAnsi="Cambria Math"/>
              </w:rPr>
              <m:t xml:space="preserve">i</m:t>
            </m:r>
            <m:r>
              <w:rPr>
                <w:rFonts w:ascii="Cambria Math" w:hAnsi="Cambria Math"/>
              </w:rPr>
              <m:t xml:space="preserve">c</m:t>
            </m:r>
            <m:r>
              <w:rPr>
                <w:rFonts w:ascii="Cambria Math" w:hAnsi="Cambria Math"/>
              </w:rPr>
              <m:t xml:space="preserve">k</m:t>
            </m:r>
            <m:r>
              <w:rPr>
                <w:rFonts w:ascii="Cambria Math" w:hAnsi="Cambria Math"/>
              </w:rPr>
              <m:t xml:space="preserve">i</m:t>
            </m:r>
            <m:r>
              <w:rPr>
                <w:rFonts w:ascii="Cambria Math" w:hAnsi="Cambria Math"/>
              </w:rPr>
              <m:t xml:space="preserve">i</m:t>
            </m:r>
          </m:sub>
        </m:sSub>
      </m:oMath>
      <w:r>
        <w:rPr/>
        <w:t>.</w:t>
      </w:r>
    </w:p>
    <w:p>
      <w:pPr>
        <w:pStyle w:val="BodyText"/>
        <w:rPr/>
      </w:pPr>
      <w:r>
        <w:rPr/>
        <w:t>All this resulted in one species-level database (536 occurrences, 124 species, including 56 singletons) and one genus-level database (769 occurrences, 61 genera, including 13 singletons), spanning the entire lifespan of the clade (from the latest Eocene to present), spread across South America and the West Indies (Figure S1).</w:t>
      </w:r>
    </w:p>
    <w:p>
      <w:pPr>
        <w:pStyle w:val="BodyText"/>
        <w:rPr/>
      </w:pPr>
      <w:r>
        <w:rPr/>
        <w:t>Diversification rates obtained from the analysis of the resulting ‘hybrid’ temporal occurrence dataset (incorporating fossil occurrences and extant occurrences sampled following the pipeline that we went to describe) were compared to diversification rates obtained from a dataset in which extant taxa lacking fossil record were assigned a single occurrence of modern age (</w:t>
      </w:r>
      <w:r>
        <w:rPr>
          <w:i/>
          <w:iCs/>
        </w:rPr>
        <w:t>i</w:t>
      </w:r>
      <w:r>
        <w:rPr/>
        <w:t>.</w:t>
      </w:r>
      <w:r>
        <w:rPr>
          <w:i/>
          <w:iCs/>
        </w:rPr>
        <w:t>e</w:t>
      </w:r>
      <w:r>
        <w:rPr/>
        <w:t xml:space="preserve">., </w:t>
      </w:r>
      <w:r>
        <w:rPr>
          <w:rStyle w:val="VerbatimChar"/>
        </w:rPr>
        <w:t>min_age</w:t>
      </w:r>
      <w:r>
        <w:rPr/>
        <w:t xml:space="preserve"> = </w:t>
      </w:r>
      <w:r>
        <w:rPr>
          <w:rStyle w:val="VerbatimChar"/>
        </w:rPr>
        <w:t>max_age</w:t>
      </w:r>
      <w:r>
        <w:rPr/>
        <w:t xml:space="preserve"> = 0 Ma) (Figure S1).</w:t>
      </w:r>
    </w:p>
    <w:p>
      <w:pPr>
        <w:pStyle w:val="BodyText"/>
        <w:rPr/>
      </w:pPr>
      <w:r>
        <w:rPr/>
        <w:t xml:space="preserve">To assess for potential heterogeneities in diversification rates across latitude, occurrences were binned into three spatial domains on the basis of their sampling location: Tropical, Extratropical and Caribbean. Due to the substantially fragmented nature of the West Indian fossil record, the latter domain – only encompassing five species, </w:t>
      </w:r>
      <w:r>
        <w:rPr>
          <w:i/>
          <w:iCs/>
        </w:rPr>
        <w:t>Borikenomys praecursor</w:t>
      </w:r>
      <w:r>
        <w:rPr/>
        <w:t xml:space="preserve">, </w:t>
      </w:r>
      <w:r>
        <w:rPr>
          <w:i/>
          <w:iCs/>
        </w:rPr>
        <w:t>Amblyrhiza inundata</w:t>
      </w:r>
      <w:r>
        <w:rPr/>
        <w:t xml:space="preserve">, </w:t>
      </w:r>
      <w:r>
        <w:rPr>
          <w:i/>
          <w:iCs/>
        </w:rPr>
        <w:t>Elasmodontomys obliquus</w:t>
      </w:r>
      <w:r>
        <w:rPr/>
        <w:t xml:space="preserve">, </w:t>
      </w:r>
      <w:r>
        <w:rPr>
          <w:i/>
          <w:iCs/>
        </w:rPr>
        <w:t>Clidomys osborni</w:t>
      </w:r>
      <w:r>
        <w:rPr/>
        <w:t xml:space="preserve"> and </w:t>
      </w:r>
      <w:r>
        <w:rPr>
          <w:i/>
          <w:iCs/>
        </w:rPr>
        <w:t>Quemisia gravis</w:t>
      </w:r>
      <w:r>
        <w:rPr/>
        <w:t xml:space="preserve"> – was very structured in time, only covering the Quaternary, with the notable exception of a single late early Oligocene taxon (</w:t>
      </w:r>
      <w:r>
        <w:rPr>
          <w:i/>
          <w:iCs/>
        </w:rPr>
        <w:t>B</w:t>
      </w:r>
      <w:r>
        <w:rPr/>
        <w:t xml:space="preserve">. </w:t>
      </w:r>
      <w:r>
        <w:rPr>
          <w:i/>
          <w:iCs/>
        </w:rPr>
        <w:t>praecursor</w:t>
      </w:r>
      <w:r>
        <w:rPr/>
        <w:t>). Analyses with and without these taxa were thus conducted.</w:t>
      </w:r>
      <w:bookmarkEnd w:id="3"/>
    </w:p>
    <w:p>
      <w:pPr>
        <w:pStyle w:val="Heading2"/>
        <w:rPr/>
      </w:pPr>
      <w:bookmarkStart w:id="4" w:name="trait-data-collection"/>
      <w:r>
        <w:rPr/>
        <w:t>Trait data collection</w:t>
      </w:r>
    </w:p>
    <w:p>
      <w:pPr>
        <w:pStyle w:val="FirstParagraph"/>
        <w:rPr/>
      </w:pPr>
      <w:r>
        <w:rPr/>
        <w:t>On the basis of body mass reconstructions carried out from cranial and dental proxies detailed in Boivin et al. (2024), complemented with a literature review, species were classified in six body size categories: XS (&lt; 0.5kg), S (0.5–1kg), M (1–10kg), L (10–100kg), XL (100–200kg) and XXL (&gt; 200kg) (</w:t>
      </w:r>
      <w:hyperlink w:anchor="fig-lifespans">
        <w:r>
          <w:rPr>
            <w:rStyle w:val="Hyperlink"/>
          </w:rPr>
          <w:t>Figure 4</w:t>
        </w:r>
      </w:hyperlink>
      <w:r>
        <w:rPr/>
        <w:t>).</w:t>
      </w:r>
    </w:p>
    <w:p>
      <w:pPr>
        <w:pStyle w:val="BodyText"/>
        <w:rPr/>
      </w:pPr>
      <w:r>
        <w:rPr/>
        <w:t>We scored cheek teeth tooth growth types mainly based on the hypsodonty index (HI), which corresponds to the ratio between the crown height of an unworn tooth and its anteroposterior length or labiolingual width (Van Valen 1960; Janis 1988). We recognized four categories: brachydont (HI &lt; 0.9, rooted), mesodont (0.9 &lt; HI &lt; 1.1, rooted), protohypsodont (HI &gt; 1.1, rooted), and euhypsodont [HI &gt; 1.1, unrooted; Mones (1982); Pérez (2010)]. The category scoring was derived from literature sources, observations and unpublished measurements made by the authors (Figure S7).</w:t>
      </w:r>
    </w:p>
    <w:p>
      <w:pPr>
        <w:pStyle w:val="BodyText"/>
        <w:rPr/>
      </w:pPr>
      <w:bookmarkStart w:id="5" w:name="trait-data-collection"/>
      <w:r>
        <w:rPr/>
        <w:t>In the end, body mass and HI estimates were obtained for nearly all species represented in our dataset (resp. 97% and 98%). Thus, this work presents the most exhaustive trait compilation so far assembled for the Chinchilloidea.</w:t>
      </w:r>
      <w:bookmarkEnd w:id="5"/>
    </w:p>
    <w:p>
      <w:pPr>
        <w:pStyle w:val="Heading2"/>
        <w:rPr/>
      </w:pPr>
      <w:bookmarkStart w:id="6" w:name="X2179221e6c5b681626996bb6ae6fb1ea6d02ae6"/>
      <w:r>
        <w:rPr/>
        <w:t>Palaeodiversity and diversification inference from the fossil record</w:t>
      </w:r>
    </w:p>
    <w:p>
      <w:pPr>
        <w:pStyle w:val="FirstParagraph"/>
        <w:rPr/>
      </w:pPr>
      <w:r>
        <w:rPr/>
        <w:t>Our occurrence database was first analysed using PyRate v3.1.3 (Silvestro et al. 2014, 2019). Species origination and extinction times (altogether forming the palaeodiversity) and the underlying diversification process (</w:t>
      </w:r>
      <w:r>
        <w:rPr>
          <w:i/>
          <w:iCs/>
        </w:rPr>
        <w:t>i</w:t>
      </w:r>
      <w:r>
        <w:rPr/>
        <w:t>.</w:t>
      </w:r>
      <w:r>
        <w:rPr>
          <w:i/>
          <w:iCs/>
        </w:rPr>
        <w:t>e</w:t>
      </w:r>
      <w:r>
        <w:rPr/>
        <w:t>., origination and extinction rates) were jointly estimated in a Bayesian framework accounting for preservation heterogeneity, and approximated through reversible-jump Markov Chain Monte Carlo (rjMCMC). We ran the rjMCMC algorithm for 10 million iterations, sampling every 10,000. We used a time-dependent preservation process allowing for preservation rate shift between geological stages (Figure S4). In parallel, the same database was analysed using the Birth–Death model with Constrained Shifts (BDCS) (Silvestro et al. 2015). As its name indicates, this model allows diversification rates to vary across a user-defined set of bins (here, the same as those used for BDNN rate-through-time inference, see the corresponding section), thus limiting the potential impact of data incompleteness on the estimation of rate shifts across time.</w:t>
      </w:r>
    </w:p>
    <w:p>
      <w:pPr>
        <w:pStyle w:val="BodyText"/>
        <w:rPr/>
      </w:pPr>
      <w:r>
        <w:rPr/>
        <w:t xml:space="preserve">In either case, we used a time-dependent preservation process, in which preservation rate could vary between geological stages. We also allowed preservation rates to vary between lineages according to a </w:t>
      </w:r>
      <w:r>
        <w:rPr>
          <w:i/>
          <w:iCs/>
        </w:rPr>
        <w:t>Gamma</w:t>
      </w:r>
      <w:r>
        <w:rPr/>
        <w:t xml:space="preserve"> model. These analyses were replicated 20 times after randomly sampling fossil ages between each occurrence’s upper and lower age boundaries. MCMC runs that achieved convergence, </w:t>
      </w:r>
      <w:r>
        <w:rPr>
          <w:i/>
          <w:iCs/>
        </w:rPr>
        <w:t>i</w:t>
      </w:r>
      <w:r>
        <w:rPr/>
        <w:t>,</w:t>
      </w:r>
      <w:r>
        <w:rPr>
          <w:i/>
          <w:iCs/>
        </w:rPr>
        <w:t>e</w:t>
      </w:r>
      <w:r>
        <w:rPr/>
        <w:t>., with Effective Sample Size (ESS) over 200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20</m:t>
        </m:r>
      </m:oMath>
      <w:r>
        <w:rPr/>
        <w:t>, Figure S5) were further combined. Several sensitivity analyses were conducted to assess the impact of (1) our new phylogeny-based sampling scheme for extant species lacking fossil record, (2) removing singletons and (3) incorporating recently-published taxonomic revision of a hyperdiverse dinomyid fauna located in North-East Argentina (Ituzaingó formation, Rasia (2026)) on the reconstructed diversification pattern. We also carried out analyses at the genus level. Parameter convergence was monitored using the pymc 5.9.2 python library, and we considered parameters achieved convergence following the same criterion as before (</w:t>
      </w:r>
      <w:r>
        <w:rPr/>
      </w:r>
      <m:oMath xmlns:m="http://schemas.openxmlformats.org/officeDocument/2006/math">
        <m:r>
          <w:rPr>
            <w:rFonts w:ascii="Cambria Math" w:hAnsi="Cambria Math"/>
          </w:rPr>
          <m:t xml:space="preserve">E</m:t>
        </m:r>
        <m:r>
          <w:rPr>
            <w:rFonts w:ascii="Cambria Math" w:hAnsi="Cambria Math"/>
          </w:rPr>
          <m:t xml:space="preserve">S</m:t>
        </m:r>
        <m:r>
          <w:rPr>
            <w:rFonts w:ascii="Cambria Math" w:hAnsi="Cambria Math"/>
          </w:rPr>
          <m:t xml:space="preserve">S</m:t>
        </m:r>
        <m:r>
          <w:rPr>
            <w:rFonts w:ascii="Cambria Math" w:hAnsi="Cambria Math"/>
          </w:rPr>
          <m:t xml:space="preserve">&gt;</m:t>
        </m:r>
        <m:r>
          <w:rPr>
            <w:rFonts w:ascii="Cambria Math" w:hAnsi="Cambria Math"/>
          </w:rPr>
          <m:t xml:space="preserve">200</m:t>
        </m:r>
      </m:oMath>
      <w:r>
        <w:rPr/>
        <w:t>).</w:t>
      </w:r>
    </w:p>
    <w:p>
      <w:pPr>
        <w:pStyle w:val="BodyText"/>
        <w:rPr/>
      </w:pPr>
      <w:r>
        <w:rPr/>
        <w:t>In order to obtain an alternative perspective on the temporal patterns of chinchilloid diversity accounting for the incompleteness of the fossil record differently (</w:t>
      </w:r>
      <w:r>
        <w:rPr>
          <w:i/>
          <w:iCs/>
        </w:rPr>
        <w:t>i</w:t>
      </w:r>
      <w:r>
        <w:rPr/>
        <w:t>.</w:t>
      </w:r>
      <w:r>
        <w:rPr>
          <w:i/>
          <w:iCs/>
        </w:rPr>
        <w:t>e</w:t>
      </w:r>
      <w:r>
        <w:rPr/>
        <w:t>., without explicitly modelling it), we used the recently-developed fossil-based palaeodiversity reconstruction framework implemented in DeepDive v1.0.28 (Cooper et al. 2024). DeepDive uses a biodiversity simulator based on a spatially-explicit birth–death process to simulate diversity trajectories of virtual clades. It further applies several filters (acting as fossilisation and sampling processes in a spatially-constrained manner) to ‘degrade’ simulated diversities and in turn simulate the fossil record. Simulation parameters (</w:t>
      </w:r>
      <w:r>
        <w:rPr>
          <w:i/>
          <w:iCs/>
        </w:rPr>
        <w:t>e</w:t>
      </w:r>
      <w:r>
        <w:rPr/>
        <w:t>.</w:t>
      </w:r>
      <w:r>
        <w:rPr>
          <w:i/>
          <w:iCs/>
        </w:rPr>
        <w:t>g</w:t>
      </w:r>
      <w:r>
        <w:rPr/>
        <w:t>., sample size, number of regions, …) can be user-tuned so that simulated scenarios reflect more any empirical case study. Then, a deep-learning model relying on recursive neural networks is trained to predict palaeodiversity from a set of features directly extracted from the simulated fossil record (</w:t>
      </w:r>
      <w:r>
        <w:rPr>
          <w:i/>
          <w:iCs/>
        </w:rPr>
        <w:t>e</w:t>
      </w:r>
      <w:r>
        <w:rPr/>
        <w:t>.</w:t>
      </w:r>
      <w:r>
        <w:rPr>
          <w:i/>
          <w:iCs/>
        </w:rPr>
        <w:t>g</w:t>
      </w:r>
      <w:r>
        <w:rPr/>
        <w:t>., number of singletons, range-through diversity, …) given the complete simulated diversity as a ground truth (supervised learning), within a user-defined set of time bins. Once the model achieves a satisfying training level (quantified with a loss function, see Table S1), the same features are extracted from the empirical set of fossil occurrences and fed into the trained neural network to get an estimate of palaeodiversity through time. Consequently, DeepDive complements the inference of diversity through time made by PyRate very nicely, as it represents a means to overcome the complete lineage sampling assumption made by PyRate, one of the biggest limitations of the latter framework.</w:t>
      </w:r>
    </w:p>
    <w:p>
      <w:pPr>
        <w:pStyle w:val="BodyText"/>
        <w:rPr/>
      </w:pPr>
      <w:r>
        <w:rPr/>
        <w:t xml:space="preserve">In practice, we ran DeepDive from configuration files produced with the R package DeepDiveR v1.0 (Cooper et al. 2025). Below, we provide an overview of our motivations behind some parameter values. Exhaustive details of the values we set for each parameter are available in the configuration files (see </w:t>
      </w:r>
      <w:r>
        <w:rPr>
          <w:i/>
          <w:iCs/>
        </w:rPr>
        <w:t>Supplementary Data</w:t>
      </w:r>
      <w:r>
        <w:rPr/>
        <w:t>).</w:t>
      </w:r>
    </w:p>
    <w:p>
      <w:pPr>
        <w:pStyle w:val="BodyText"/>
        <w:rPr/>
      </w:pPr>
      <w:r>
        <w:rPr>
          <w:i/>
          <w:iCs/>
        </w:rPr>
        <w:t>Simulation.</w:t>
      </w:r>
      <w:r>
        <w:rPr/>
        <w:t xml:space="preserve"> We generated 150,000 training and 1,000 test sets. For each simulated dataset, the number of starting lineages was set between 30 and 150, and we chose to set the number of regions where our taxa occurred to three, reflecting our empirical trichotomy between tropical, extratropical, and Caribbean regions. We set the number of extant taxa in the simulations – as well as in the predictions – to 8, reflecting the number of extant chinchilloid species.</w:t>
      </w:r>
    </w:p>
    <w:p>
      <w:pPr>
        <w:pStyle w:val="BodyText"/>
        <w:rPr/>
      </w:pPr>
      <w:r>
        <w:rPr>
          <w:i/>
          <w:iCs/>
        </w:rPr>
        <w:t>Model training.</w:t>
      </w:r>
      <w:r>
        <w:rPr/>
        <w:t xml:space="preserve"> Following Cooper et al. (2024), we tested models with variable numbers of bidirectional ‘Long Short-Term Memory’ (LSTM) layers, including (or not) additional fully-connected ‘dense’ layers, and selected the best architectures based on the mean squared error (MSE) between simulated (</w:t>
      </w:r>
      <w:r>
        <w:rPr>
          <w:i/>
          <w:iCs/>
        </w:rPr>
        <w:t>i</w:t>
      </w:r>
      <w:r>
        <w:rPr/>
        <w:t>.</w:t>
      </w:r>
      <w:r>
        <w:rPr>
          <w:i/>
          <w:iCs/>
        </w:rPr>
        <w:t>e</w:t>
      </w:r>
      <w:r>
        <w:rPr/>
        <w:t>., ‘true’) and predicted diversity of each set of fossil occurrences of our training set (</w:t>
      </w:r>
      <w:r>
        <w:rPr>
          <w:rStyle w:val="VerbatimChar"/>
        </w:rPr>
        <w:t>Evaluation loss</w:t>
      </w:r>
      <w:r>
        <w:rPr/>
        <w:t>). Two architectures performed equally (</w:t>
      </w:r>
      <w:r>
        <w:rPr>
          <w:rStyle w:val="VerbatimChar"/>
        </w:rPr>
        <w:t>Evaluation loss = 0.377</w:t>
      </w:r>
      <w:r>
        <w:rPr/>
        <w:t>, Table S1): one comprised two LSTM layers (64 and 32 nodes) coupled with two dense layers (64 and 32 nodes) (Figure S18), the other three LSTM layers (128, 64 and 32 nodes) coupled with two dense layers (64 and 32 nodes) (Figure S19). Consequently, we selected the least complex architecture (</w:t>
      </w:r>
      <w:r>
        <w:rPr>
          <w:i/>
          <w:iCs/>
        </w:rPr>
        <w:t>i</w:t>
      </w:r>
      <w:r>
        <w:rPr/>
        <w:t>.</w:t>
      </w:r>
      <w:r>
        <w:rPr>
          <w:i/>
          <w:iCs/>
        </w:rPr>
        <w:t>e</w:t>
      </w:r>
      <w:r>
        <w:rPr/>
        <w:t>., the one with two LSTM layers).</w:t>
      </w:r>
    </w:p>
    <w:p>
      <w:pPr>
        <w:pStyle w:val="BodyText"/>
        <w:rPr/>
      </w:pPr>
      <w:r>
        <w:rPr>
          <w:i/>
          <w:iCs/>
        </w:rPr>
        <w:t>Empirical predictions.</w:t>
      </w:r>
      <w:r>
        <w:rPr/>
        <w:t xml:space="preserve"> We made 100 replicates of age assignment for occurrences in our fossil database.</w:t>
      </w:r>
      <w:bookmarkEnd w:id="6"/>
    </w:p>
    <w:p>
      <w:pPr>
        <w:pStyle w:val="Heading2"/>
        <w:rPr/>
      </w:pPr>
      <w:bookmarkStart w:id="7" w:name="Xe57631aa6071154f2080e5d1af65f26f612edcb"/>
      <w:r>
        <w:rPr/>
        <w:t>Drivers behind macroevolutionary patterns</w:t>
      </w:r>
    </w:p>
    <w:p>
      <w:pPr>
        <w:pStyle w:val="FirstParagraph"/>
        <w:rPr/>
      </w:pPr>
      <w:r>
        <w:rPr>
          <w:i/>
          <w:iCs/>
        </w:rPr>
        <w:t>Since insular and continental taxa are not subject to the same evolutionary constraints, we excluded the five West Indian taxa</w:t>
      </w:r>
      <w:r>
        <w:rPr>
          <w:rStyle w:val="FootnoteReference"/>
        </w:rPr>
        <w:footnoteReference w:id="5"/>
      </w:r>
      <w:r>
        <w:rPr/>
        <w:t xml:space="preserve"> from our environment-dependent diversification analyses. In particular, this avoided to test spurious relationships, for instance, the effect of the Andean uplift on the diversification of Caribbean taxa.</w:t>
      </w:r>
    </w:p>
    <w:p>
      <w:pPr>
        <w:pStyle w:val="Heading3"/>
        <w:rPr/>
      </w:pPr>
      <w:bookmarkStart w:id="8" w:name="environmental-variable-selection"/>
      <w:r>
        <w:rPr/>
        <w:t>Environmental variable selection</w:t>
      </w:r>
    </w:p>
    <w:p>
      <w:pPr>
        <w:pStyle w:val="FirstParagraph"/>
        <w:rPr/>
      </w:pPr>
      <w:r>
        <w:rPr/>
        <w:t>To make sense of the macroevolutionary patterns that we reconstructed in terms of environmental process, we incorporated two regional and one global abiotic variables in our workflow (Figure S23). First, as illustrated by many studies, the Andean uplift has often been identified as a key driver for the build-up of South American ecosystems from the Neogene to the present (Hoorn et al. 1995; Antonelli et al. 2009; Hoorn et al. 2010; Tarquini et al. 2022; Vallejos-Garrido et al. 2023; Solórzano et al. 2024). Thus, we incorporated the multi-proxy reconstruction of the pace of the Andean uplift produced by (Boschman 2021) – averaged across the entire continent. Another abiotic factor frequently retrieved as significantly influencing diversification in a wide array of clades is temperature (</w:t>
      </w:r>
      <w:r>
        <w:rPr>
          <w:i/>
          <w:iCs/>
        </w:rPr>
        <w:t>e</w:t>
      </w:r>
      <w:r>
        <w:rPr/>
        <w:t>.</w:t>
      </w:r>
      <w:r>
        <w:rPr>
          <w:i/>
          <w:iCs/>
        </w:rPr>
        <w:t>g</w:t>
      </w:r>
      <w:r>
        <w:rPr/>
        <w:t>., Condamine et al. 2018; 2019; Flannery-Sutherland et al. 2022; Weppe et al. 2023). So far, studies testing the effect of palaeotemperature on clade diversification have often used global proxy-derived temperature reconstructions (</w:t>
      </w:r>
      <w:r>
        <w:rPr>
          <w:i/>
          <w:iCs/>
        </w:rPr>
        <w:t>e</w:t>
      </w:r>
      <w:r>
        <w:rPr/>
        <w:t>.</w:t>
      </w:r>
      <w:r>
        <w:rPr>
          <w:i/>
          <w:iCs/>
        </w:rPr>
        <w:t>g</w:t>
      </w:r>
      <w:r>
        <w:rPr/>
        <w:t>., Westerhold et al. 2020). The main limitation of this approach is that it poorly reflects regional climatic idiosyncrasies. We therefore used the regional South American average temperature reconstructions recently produced by Tardif et al. (2025). Also, South America biomes have been highly influenced by hydrographic reorganisations, tightly related to the Andean orogeny, but also to eustatism (Hoorn et al. 2022; Guayasamin et al. 2024). We therefore incorporated the sea level reconstructions of Miller et al. (2020) in our analyses. Last, diversity-dependent effects have been illustrated many times as important drivers for changes in macroevolutionary rates (</w:t>
      </w:r>
      <w:r>
        <w:rPr>
          <w:i/>
          <w:iCs/>
        </w:rPr>
        <w:t>e</w:t>
      </w:r>
      <w:r>
        <w:rPr/>
        <w:t>.</w:t>
      </w:r>
      <w:r>
        <w:rPr>
          <w:i/>
          <w:iCs/>
        </w:rPr>
        <w:t>g</w:t>
      </w:r>
      <w:r>
        <w:rPr/>
        <w:t>., Etienne et al. 2011; Condamine et al. 2019, 2020) in a wide range of clades. Therefore, we allowed for diversity-dependence in our environment-dependent diversification (EDD) analyses.</w:t>
      </w:r>
      <w:bookmarkEnd w:id="8"/>
    </w:p>
    <w:p>
      <w:pPr>
        <w:pStyle w:val="Heading3"/>
        <w:rPr/>
      </w:pPr>
      <w:bookmarkStart w:id="9" w:name="multivariate-birthdeath-mbd-analyses"/>
      <w:r>
        <w:rPr/>
        <w:t>Multivariate birth–death (MBD) analyses</w:t>
      </w:r>
    </w:p>
    <w:p>
      <w:pPr>
        <w:pStyle w:val="FirstParagraph"/>
        <w:rPr/>
      </w:pPr>
      <w:r>
        <w:rPr/>
        <w:t xml:space="preserve">At first, we carried out EDD analyses using the Multivariate birth–death (MBD) model implemented in PyRate (Lehtonen et al. 2017). Given species-specific origination and extinction times inferred by PyRate (see previous part), the MBD model </w:t>
      </w:r>
      <w:r>
        <w:rPr>
          <w:i/>
          <w:iCs/>
        </w:rPr>
        <w:t>de novo</w:t>
      </w:r>
      <w:r>
        <w:rPr/>
        <w:t xml:space="preserve"> estimates origination and extinction rates (resp. </w:t>
      </w:r>
      <w:r>
        <w:rPr/>
      </w:r>
      <m:oMath xmlns:m="http://schemas.openxmlformats.org/officeDocument/2006/math">
        <m:r>
          <w:rPr>
            <w:rFonts w:ascii="Cambria Math" w:hAnsi="Cambria Math"/>
          </w:rPr>
          <m:t xml:space="preserve">λ</m:t>
        </m:r>
      </m:oMath>
      <w:r>
        <w:rPr/>
        <w:t xml:space="preserve"> and </w:t>
      </w:r>
      <w:r>
        <w:rPr/>
      </w:r>
      <m:oMath xmlns:m="http://schemas.openxmlformats.org/officeDocument/2006/math">
        <m:r>
          <w:rPr>
            <w:rFonts w:ascii="Cambria Math" w:hAnsi="Cambria Math"/>
          </w:rPr>
          <m:t xml:space="preserve">μ</m:t>
        </m:r>
      </m:oMath>
      <w:r>
        <w:rPr/>
        <w:t xml:space="preserve">) using a birth–death process where </w:t>
      </w:r>
      <w:r>
        <w:rPr/>
      </w:r>
      <m:oMath xmlns:m="http://schemas.openxmlformats.org/officeDocument/2006/math">
        <m:r>
          <w:rPr>
            <w:rFonts w:ascii="Cambria Math" w:hAnsi="Cambria Math"/>
          </w:rPr>
          <m:t xml:space="preserve">λ</m:t>
        </m:r>
      </m:oMath>
      <w:r>
        <w:rPr/>
        <w:t xml:space="preserve"> and </w:t>
      </w:r>
      <w:r>
        <w:rPr/>
      </w:r>
      <m:oMath xmlns:m="http://schemas.openxmlformats.org/officeDocument/2006/math">
        <m:r>
          <w:rPr>
            <w:rFonts w:ascii="Cambria Math" w:hAnsi="Cambria Math"/>
          </w:rPr>
          <m:t xml:space="preserve">μ</m:t>
        </m:r>
      </m:oMath>
      <w:r>
        <w:rPr/>
        <w:t xml:space="preserve"> are functions of environmental variables. Given a set of environmental correlates of size </w:t>
      </w:r>
      <w:r>
        <w:rPr/>
      </w:r>
      <m:oMath xmlns:m="http://schemas.openxmlformats.org/officeDocument/2006/math">
        <m:r>
          <w:rPr>
            <w:rFonts w:ascii="Cambria Math" w:hAnsi="Cambria Math"/>
          </w:rPr>
          <m:t xml:space="preserve">n</m:t>
        </m:r>
      </m:oMath>
      <w:r>
        <w:rPr/>
        <w:t xml:space="preserve"> (in our case,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4</m:t>
        </m:r>
      </m:oMath>
      <w:r>
        <w:rPr/>
        <w:t xml:space="preserve">), the model assumes either a linear or an exponential dependency between </w:t>
      </w:r>
      <w:r>
        <w:rPr/>
      </w:r>
      <m:oMath xmlns:m="http://schemas.openxmlformats.org/officeDocument/2006/math">
        <m:r>
          <w:rPr>
            <w:rFonts w:ascii="Cambria Math" w:hAnsi="Cambria Math"/>
          </w:rPr>
          <m:t xml:space="preserve">λ</m:t>
        </m:r>
      </m:oMath>
      <w:r>
        <w:rPr/>
        <w:t xml:space="preserve"> (or </w:t>
      </w:r>
      <w:r>
        <w:rPr/>
      </w:r>
      <m:oMath xmlns:m="http://schemas.openxmlformats.org/officeDocument/2006/math">
        <m:r>
          <w:rPr>
            <w:rFonts w:ascii="Cambria Math" w:hAnsi="Cambria Math"/>
          </w:rPr>
          <m:t xml:space="preserve">μ</m:t>
        </m:r>
      </m:oMath>
      <w:r>
        <w:rPr/>
        <w:t xml:space="preserve">) and the environment correlates – here, we only tested for exponential dependencies. Therefore, to a given rate, </w:t>
      </w:r>
      <w:r>
        <w:rPr/>
      </w:r>
      <m:oMath xmlns:m="http://schemas.openxmlformats.org/officeDocument/2006/math">
        <m:r>
          <w:rPr>
            <w:rFonts w:ascii="Cambria Math" w:hAnsi="Cambria Math"/>
          </w:rPr>
          <m:t xml:space="preserve">n</m:t>
        </m:r>
      </m:oMath>
      <w:r>
        <w:rPr/>
        <w:t xml:space="preserve"> correlation parameters – one per environment variable – are estimated (resp. </w:t>
      </w:r>
      <w:r>
        <w:rPr/>
      </w:r>
      <m:oMath xmlns:m="http://schemas.openxmlformats.org/officeDocument/2006/math">
        <m:sSub>
          <m:e>
            <m:r>
              <w:rPr>
                <w:rFonts w:ascii="Cambria Math" w:hAnsi="Cambria Math"/>
              </w:rPr>
              <m:t xml:space="preserve">G</m:t>
            </m:r>
          </m:e>
          <m:sub>
            <m:r>
              <w:rPr>
                <w:rFonts w:ascii="Cambria Math" w:hAnsi="Cambria Math"/>
              </w:rPr>
              <m:t xml:space="preserve">λ</m:t>
            </m:r>
            <m:r>
              <w:rPr>
                <w:rFonts w:ascii="Cambria Math" w:hAnsi="Cambria Math"/>
              </w:rPr>
              <m:t xml:space="preserve">,</m:t>
            </m:r>
            <m:r>
              <w:rPr>
                <w:rFonts w:ascii="Cambria Math" w:hAnsi="Cambria Math"/>
              </w:rPr>
              <m:t xml:space="preserve">i</m:t>
            </m:r>
          </m:sub>
        </m:sSub>
      </m:oMath>
      <w:r>
        <w:rPr/>
        <w:t xml:space="preserve"> or </w:t>
      </w:r>
      <w:r>
        <w:rPr/>
      </w:r>
      <m:oMath xmlns:m="http://schemas.openxmlformats.org/officeDocument/2006/math">
        <m:sSub>
          <m:e>
            <m:r>
              <w:rPr>
                <w:rFonts w:ascii="Cambria Math" w:hAnsi="Cambria Math"/>
              </w:rPr>
              <m:t xml:space="preserve">G</m:t>
            </m:r>
          </m:e>
          <m:sub>
            <m:r>
              <w:rPr>
                <w:rFonts w:ascii="Cambria Math" w:hAnsi="Cambria Math"/>
              </w:rPr>
              <m:t xml:space="preserve">μ</m:t>
            </m:r>
            <m:r>
              <w:rPr>
                <w:rFonts w:ascii="Cambria Math" w:hAnsi="Cambria Math"/>
              </w:rPr>
              <m:t xml:space="preserve">,</m:t>
            </m:r>
            <m:r>
              <w:rPr>
                <w:rFonts w:ascii="Cambria Math" w:hAnsi="Cambria Math"/>
              </w:rPr>
              <m:t xml:space="preserve">i</m:t>
            </m:r>
          </m:sub>
        </m:sSub>
      </m:oMath>
      <w:r>
        <w:rPr/>
        <w:t xml:space="preserve">), plus a baseline rate. As recommended by Lehtonen et al. (2017), given our low number of predictors, each </w:t>
      </w:r>
      <w:r>
        <w:rPr/>
      </w:r>
      <m:oMath xmlns:m="http://schemas.openxmlformats.org/officeDocument/2006/math">
        <m:sSub>
          <m:e>
            <m:r>
              <w:rPr>
                <w:rFonts w:ascii="Cambria Math" w:hAnsi="Cambria Math"/>
              </w:rPr>
              <m:t xml:space="preserve">G</m:t>
            </m:r>
          </m:e>
          <m:sub>
            <m:r>
              <w:rPr>
                <w:rFonts w:ascii="Cambria Math" w:hAnsi="Cambria Math"/>
              </w:rPr>
              <m:t xml:space="preserve">λ</m:t>
            </m:r>
            <m:r>
              <w:rPr>
                <w:rFonts w:ascii="Cambria Math" w:hAnsi="Cambria Math"/>
              </w:rPr>
              <m:t xml:space="preserve">,</m:t>
            </m:r>
            <m:r>
              <w:rPr>
                <w:rFonts w:ascii="Cambria Math" w:hAnsi="Cambria Math"/>
              </w:rPr>
              <m:t xml:space="preserve">i</m:t>
            </m:r>
          </m:sub>
        </m:sSub>
      </m:oMath>
      <w:r>
        <w:rPr/>
        <w:t xml:space="preserve"> and </w:t>
      </w:r>
      <w:r>
        <w:rPr/>
      </w:r>
      <m:oMath xmlns:m="http://schemas.openxmlformats.org/officeDocument/2006/math">
        <m:sSub>
          <m:e>
            <m:r>
              <w:rPr>
                <w:rFonts w:ascii="Cambria Math" w:hAnsi="Cambria Math"/>
              </w:rPr>
              <m:t xml:space="preserve">G</m:t>
            </m:r>
          </m:e>
          <m:sub>
            <m:r>
              <w:rPr>
                <w:rFonts w:ascii="Cambria Math" w:hAnsi="Cambria Math"/>
              </w:rPr>
              <m:t xml:space="preserve">μ</m:t>
            </m:r>
            <m:r>
              <w:rPr>
                <w:rFonts w:ascii="Cambria Math" w:hAnsi="Cambria Math"/>
              </w:rPr>
              <m:t xml:space="preserve">,</m:t>
            </m:r>
            <m:r>
              <w:rPr>
                <w:rFonts w:ascii="Cambria Math" w:hAnsi="Cambria Math"/>
              </w:rPr>
              <m:t xml:space="preserve">i</m:t>
            </m:r>
          </m:sub>
        </m:sSub>
      </m:oMath>
      <w:r>
        <w:rPr/>
        <w:t xml:space="preserve"> was assigned a gamma prior. An MCMC algorithm approximating the posterior distribution of each model parameter was run across 10 million generations with a sampling frequency of 10,000, and parameter convergence was monitored using pymc.</w:t>
      </w:r>
    </w:p>
    <w:p>
      <w:pPr>
        <w:pStyle w:val="BodyText"/>
        <w:rPr/>
      </w:pPr>
      <w:r>
        <w:rPr/>
        <w:t>Prior to their incorporation as correlates in the MBD model, environmental variables were manually scaled. In addition, we ensured to match them all to the same time scale (last 36 Ma with a 0.5 My time step). Not doing the latter step significantly increased computing time, and the resulting model had lower support than the model incorporating predictors matched to the same time scale. Model support was assessed by approximating 2*log Bayes Factor (BF) as two times the difference in harmonic means of the sampled log likelihood across MCMC iterations (after removing burn-in) of the two models (</w:t>
      </w:r>
      <w:r>
        <w:rPr>
          <w:i/>
          <w:iCs/>
        </w:rPr>
        <w:t>i</w:t>
      </w:r>
      <w:r>
        <w:rPr/>
        <w:t>.</w:t>
      </w:r>
      <w:r>
        <w:rPr>
          <w:i/>
          <w:iCs/>
        </w:rPr>
        <w:t>e</w:t>
      </w:r>
      <w:r>
        <w:rPr/>
        <w:t>., with and without matching predictors’ time scale), as done by Lehtonen et al. (2017). The resulting metric was compared to the thresholds set by Kass and Raftery (1995), and turned out to provide strong support in favour of the model incorporating predictors matched to the same time scales (</w:t>
      </w:r>
      <w:r>
        <w:rPr/>
      </w:r>
      <m:oMath xmlns:m="http://schemas.openxmlformats.org/officeDocument/2006/math">
        <m:r>
          <w:rPr>
            <w:rFonts w:ascii="Cambria Math" w:hAnsi="Cambria Math"/>
          </w:rPr>
          <m:t xml:space="preserve">2</m:t>
        </m:r>
        <m:r>
          <w:rPr>
            <w:rFonts w:ascii="Cambria Math" w:hAnsi="Cambria Math"/>
          </w:rPr>
          <m:t xml:space="preserve">∗</m:t>
        </m:r>
        <m:r>
          <w:rPr>
            <w:rFonts w:ascii="Cambria Math" w:hAnsi="Cambria Math"/>
          </w:rPr>
          <m:t xml:space="preserve">l</m:t>
        </m:r>
        <m:r>
          <w:rPr>
            <w:rFonts w:ascii="Cambria Math" w:hAnsi="Cambria Math"/>
          </w:rPr>
          <m:t xml:space="preserve">o</m:t>
        </m:r>
        <m:r>
          <w:rPr>
            <w:rFonts w:ascii="Cambria Math" w:hAnsi="Cambria Math"/>
          </w:rPr>
          <m:t xml:space="preserve">g</m:t>
        </m:r>
        <m:d>
          <m:dPr>
            <m:begChr m:val="("/>
            <m:endChr m:val=")"/>
          </m:dPr>
          <m:e>
            <m:r>
              <w:rPr>
                <w:rFonts w:ascii="Cambria Math" w:hAnsi="Cambria Math"/>
              </w:rPr>
              <m:t xml:space="preserve">B</m:t>
            </m:r>
            <m:r>
              <w:rPr>
                <w:rFonts w:ascii="Cambria Math" w:hAnsi="Cambria Math"/>
              </w:rPr>
              <m:t xml:space="preserve">F</m:t>
            </m:r>
          </m:e>
        </m:d>
        <m:r>
          <w:rPr>
            <w:rFonts w:ascii="Cambria Math" w:hAnsi="Cambria Math"/>
          </w:rPr>
          <m:t xml:space="preserve">=</m:t>
        </m:r>
        <m:r>
          <w:rPr>
            <w:rFonts w:ascii="Cambria Math" w:hAnsi="Cambria Math"/>
          </w:rPr>
          <m:t xml:space="preserve">7.24</m:t>
        </m:r>
        <m:r>
          <w:rPr>
            <w:rFonts w:ascii="Cambria Math" w:hAnsi="Cambria Math"/>
          </w:rPr>
          <m:t xml:space="preserve">&gt;</m:t>
        </m:r>
        <m:r>
          <w:rPr>
            <w:rFonts w:ascii="Cambria Math" w:hAnsi="Cambria Math"/>
          </w:rPr>
          <m:t xml:space="preserve">6</m:t>
        </m:r>
      </m:oMath>
      <w:r>
        <w:rPr/>
        <w:t xml:space="preserve">, </w:t>
      </w:r>
      <w:r>
        <w:rPr>
          <w:i/>
          <w:iCs/>
        </w:rPr>
        <w:t>Supplementary Data</w:t>
      </w:r>
      <w:r>
        <w:rPr/>
        <w:t>).</w:t>
      </w:r>
      <w:bookmarkEnd w:id="9"/>
    </w:p>
    <w:p>
      <w:pPr>
        <w:pStyle w:val="Heading3"/>
        <w:rPr/>
      </w:pPr>
      <w:bookmarkStart w:id="10" w:name="birthdeath-neural-networks-bdnn-analyses"/>
      <w:r>
        <w:rPr/>
        <w:t>Birth–Death Neural Networks (BDNN) analyses</w:t>
      </w:r>
    </w:p>
    <w:p>
      <w:pPr>
        <w:pStyle w:val="FirstParagraph"/>
        <w:rPr/>
      </w:pPr>
      <w:r>
        <w:rPr/>
        <w:t xml:space="preserve">We consolidated our EDD analyses by using the Birth–Death Neural Networks (BDNN) model (Hauffe et al. 2024). BDNN uses PyRate’s framework to estimate preservation-aware times of origination and extinction for each taxon of the occurrence database. Given these times, it further extends the birth–death process used in PyRate to model origination and extinction rate dynamics by allowing rates to vary not only across time, but also across lineages. One of the key advances of BDNN is that it uses an unsupervised neural network to estimate these rates as a function of a user-provided set of external predictors, such as environmental covariates or biological traits. It therefore does not assume any predefined dependency between diversification rates and the variables tested – contrary to the linear </w:t>
      </w:r>
      <w:r>
        <w:rPr>
          <w:i/>
          <w:iCs/>
        </w:rPr>
        <w:t>vs</w:t>
      </w:r>
      <w:r>
        <w:rPr/>
        <w:t>. exponential dichotomy usually offered by model-based EDD. Consequently, these dependencies can be complex, going beyond linearity. The so-estimated rates are then directly incorporated in the likelihood function of the birth–death process implemented in PyRate. Noteworthy, BDNN provides the ability to test for the combined effect (</w:t>
      </w:r>
      <w:r>
        <w:rPr>
          <w:i/>
          <w:iCs/>
        </w:rPr>
        <w:t>i</w:t>
      </w:r>
      <w:r>
        <w:rPr/>
        <w:t>.</w:t>
      </w:r>
      <w:r>
        <w:rPr>
          <w:i/>
          <w:iCs/>
        </w:rPr>
        <w:t>e</w:t>
      </w:r>
      <w:r>
        <w:rPr/>
        <w:t>., interaction) of multiple variables, and further ranks the predictors according to their respective contribution to the modelled macroevolutionary pattern by using explainable AI metrics (for additional details, see Hauffe et al. 2024).</w:t>
      </w:r>
    </w:p>
    <w:p>
      <w:pPr>
        <w:pStyle w:val="BodyText"/>
        <w:rPr/>
      </w:pPr>
      <w:r>
        <w:rPr/>
        <w:t xml:space="preserve">All model parameters were estimated using an MCMC algorithm that we ran for 50 million generations, sampling every 50,000. As in our PyRate analyses, we used a time-dependent preservation process allowing preservation rate shift between geological stages, and between lineages according to a </w:t>
      </w:r>
      <w:r>
        <w:rPr>
          <w:i/>
          <w:iCs/>
        </w:rPr>
        <w:t>Gamma</w:t>
      </w:r>
      <w:r>
        <w:rPr/>
        <w:t xml:space="preserve"> model. We constrained the time effects of the BDNN to vary between the following set of bins: latest Eocene–Oligocene (35–23.04 Ma), Early Miocene (23.04–15.97 Ma), Middle Miocene (15.97–11.63 Ma), Late Miocene (11.63–6 Ma), latest Miocene–Pliocene (6–2.58 Ma) and Quaternary (&lt;2.58 Ma). The choice of these bins was informed by prior knowledge on rate variation provided by our PyRate analyses, and allowed us to cope with the paucity of our fossil record, particularly in the Early Miocene. Predictors (</w:t>
      </w:r>
      <w:r>
        <w:rPr>
          <w:i/>
          <w:iCs/>
        </w:rPr>
        <w:t>i</w:t>
      </w:r>
      <w:r>
        <w:rPr/>
        <w:t>.</w:t>
      </w:r>
      <w:r>
        <w:rPr>
          <w:i/>
          <w:iCs/>
        </w:rPr>
        <w:t>e</w:t>
      </w:r>
      <w:r>
        <w:rPr/>
        <w:t>., environmental covariates and categorical traits) were scaled prior to their incorporation in the model. All the BDNN results presented thereafter were obtained with the default network architecture (2 layers with 16 and 8 nodes). As BDNN cannot handle missing data, we imputed trait values of taxa for which either body mass and/or crown height category could not be determined</w:t>
      </w:r>
      <w:r>
        <w:rPr>
          <w:rStyle w:val="FootnoteReference"/>
        </w:rPr>
        <w:footnoteReference w:id="6"/>
      </w:r>
      <w:r>
        <w:rPr/>
        <w:t>. For a given species, the imputation procedure consisted of sampling a trait value at random. Since the taxa in question were all nested within clades not having contemporaneous species with small body sizes (XS and S) (</w:t>
      </w:r>
      <w:hyperlink w:anchor="fig-lifespans">
        <w:r>
          <w:rPr>
            <w:rStyle w:val="Hyperlink"/>
          </w:rPr>
          <w:t>Figure 4</w:t>
        </w:r>
      </w:hyperlink>
      <w:r>
        <w:rPr/>
        <w:t>) and low crown heights (brachydont and mesodont) (Figure SX), we only allowed missing taxa to have moderate-to-large body sizes (M, L or XL) with high-crowned (un)rooted cheek teeth (protohypsodont or euhypsodont). Trait drawings were independent between species. Due to the stochasticity of this procedure, we replicated it 10 times. Hence, the results presented thereafter for BDNN were obtained from a consensus of the independent analyses of these 10 imputed datasets, each set of analysis itself replicated 10 times after re-sampling fossil ages within the range of the occurrences.</w:t>
      </w:r>
      <w:bookmarkEnd w:id="10"/>
    </w:p>
    <w:p>
      <w:pPr>
        <w:pStyle w:val="Heading3"/>
        <w:rPr/>
      </w:pPr>
      <w:bookmarkStart w:id="11" w:name="age-dependent-extinction-ade-model"/>
      <w:r>
        <w:rPr/>
        <w:t>Age-Dependent Extinction (ADE) model</w:t>
      </w:r>
    </w:p>
    <w:p>
      <w:pPr>
        <w:pStyle w:val="FirstParagraph"/>
        <w:rPr/>
      </w:pPr>
      <w:r>
        <w:rPr/>
        <w:t>To investigate the potential effect of species age on their extinction probabilities, we used the Age-Dependent Extinction (ADE) model (Hagen et al. 2018). This model uses a Weibull distribution to model the relationship between species age and their probability to go extinct. The shape parameter (</w:t>
      </w:r>
      <w:r>
        <w:rPr/>
      </w:r>
      <m:oMath xmlns:m="http://schemas.openxmlformats.org/officeDocument/2006/math">
        <m:r>
          <w:rPr>
            <w:rFonts w:ascii="Cambria Math" w:hAnsi="Cambria Math"/>
          </w:rPr>
          <m:t xml:space="preserve">ϕ</m:t>
        </m:r>
      </m:oMath>
      <w:r>
        <w:rPr/>
        <w:t xml:space="preserve">) of the distribution informs about the direction of such a relationship, with </w:t>
      </w:r>
      <w:r>
        <w:rPr/>
      </w:r>
      <m:oMath xmlns:m="http://schemas.openxmlformats.org/officeDocument/2006/math">
        <m:r>
          <w:rPr>
            <w:rFonts w:ascii="Cambria Math" w:hAnsi="Cambria Math"/>
          </w:rPr>
          <m:t xml:space="preserve">ϕ</m:t>
        </m:r>
        <m:r>
          <w:rPr>
            <w:rFonts w:ascii="Cambria Math" w:hAnsi="Cambria Math"/>
          </w:rPr>
          <m:t xml:space="preserve">&lt;</m:t>
        </m:r>
        <m:r>
          <w:rPr>
            <w:rFonts w:ascii="Cambria Math" w:hAnsi="Cambria Math"/>
          </w:rPr>
          <m:t xml:space="preserve">1</m:t>
        </m:r>
      </m:oMath>
      <w:r>
        <w:rPr/>
        <w:t xml:space="preserve"> indicating decreasing extinction probability decreases with species age, </w:t>
      </w:r>
      <w:r>
        <w:rPr/>
      </w:r>
      <m:oMath xmlns:m="http://schemas.openxmlformats.org/officeDocument/2006/math">
        <m:r>
          <w:rPr>
            <w:rFonts w:ascii="Cambria Math" w:hAnsi="Cambria Math"/>
          </w:rPr>
          <m:t xml:space="preserve">ϕ</m:t>
        </m:r>
        <m:r>
          <w:rPr>
            <w:rFonts w:ascii="Cambria Math" w:hAnsi="Cambria Math"/>
          </w:rPr>
          <m:t xml:space="preserve">&gt;</m:t>
        </m:r>
        <m:r>
          <w:rPr>
            <w:rFonts w:ascii="Cambria Math" w:hAnsi="Cambria Math"/>
          </w:rPr>
          <m:t xml:space="preserve">1</m:t>
        </m:r>
      </m:oMath>
      <w:r>
        <w:rPr/>
        <w:t xml:space="preserve"> increasing extinction probability with species age, and </w:t>
      </w:r>
      <w:r>
        <w:rPr/>
      </w:r>
      <m:oMath xmlns:m="http://schemas.openxmlformats.org/officeDocument/2006/math">
        <m:r>
          <w:rPr>
            <w:rFonts w:ascii="Cambria Math" w:hAnsi="Cambria Math"/>
          </w:rPr>
          <m:t xml:space="preserve">ϕ</m:t>
        </m:r>
        <m:r>
          <w:rPr>
            <w:rFonts w:ascii="Cambria Math" w:hAnsi="Cambria Math"/>
          </w:rPr>
          <m:t xml:space="preserve">=</m:t>
        </m:r>
        <m:r>
          <w:rPr>
            <w:rFonts w:ascii="Cambria Math" w:hAnsi="Cambria Math"/>
          </w:rPr>
          <m:t xml:space="preserve">1</m:t>
        </m:r>
      </m:oMath>
      <w:r>
        <w:rPr/>
        <w:t xml:space="preserve"> no relationship between species age and extinction probability. We fitted the ADE model to our fossil occurrence database, approximating the posterior distribution of the model parameters with an MCMC algorithm that we ran across 40 million MCMC generations, sampling every 40,000. Parameter convergence was assessed using pymc, and we considered parameters achieved convergence if their ESS was above 200.</w:t>
      </w:r>
      <w:bookmarkEnd w:id="2"/>
      <w:bookmarkEnd w:id="7"/>
      <w:bookmarkEnd w:id="11"/>
    </w:p>
    <w:p>
      <w:pPr>
        <w:pStyle w:val="Heading1"/>
        <w:rPr/>
      </w:pPr>
      <w:bookmarkStart w:id="12" w:name="results"/>
      <w:r>
        <w:rPr/>
        <w:t>Results</w:t>
      </w:r>
    </w:p>
    <w:p>
      <w:pPr>
        <w:pStyle w:val="Heading2"/>
        <w:rPr/>
      </w:pPr>
      <w:bookmarkStart w:id="13" w:name="Xa1af8f99655f7af24f039c0e546ac07b26e5eba"/>
      <w:r>
        <w:rPr/>
        <w:t>The waxing-and-waning diversity and body size evolution of chinchilloid rodents</w:t>
      </w:r>
    </w:p>
    <w:p>
      <w:pPr>
        <w:pStyle w:val="FirstParagraph"/>
        <w:rPr/>
      </w:pPr>
      <w:r>
        <w:rPr/>
        <w:t xml:space="preserve">Either relying on a Bayesian preservation-aware framework (PyRate) or supervised neural networks (DeepDive), macroevolutionary modelling of the fossil record evidenced a Late Miocene increase in chinchilloid diversity followed by a sharp decline from </w:t>
      </w:r>
      <w:r>
        <w:rPr>
          <w:i/>
          <w:iCs/>
        </w:rPr>
        <w:t>ca</w:t>
      </w:r>
      <w:r>
        <w:rPr/>
        <w:t>. 6 Ma (</w:t>
      </w:r>
      <w:hyperlink w:anchor="fig-diversityBM">
        <w:r>
          <w:rPr>
            <w:rStyle w:val="Hyperlink"/>
          </w:rPr>
          <w:t>Figure 3</w:t>
        </w:r>
      </w:hyperlink>
      <w:r>
        <w:rPr/>
        <w:t xml:space="preserve"> A–B). At their maximum, median sampled and corrected diversities exhibit a three-fold difference between each other, respectively peaking at 22 and 62. Four additional – though more attenuated – peaks may be reported from the sampled diversity curve (PyRate) : one in the late Oligocene (Deseadan SALMA), two in the Early Miocene (Colhuehuapian and Santacrucian SALMAs) and one in the late Middle Miocene (Laventan SALMA) (</w:t>
      </w:r>
      <w:hyperlink w:anchor="fig-diversityBM">
        <w:r>
          <w:rPr>
            <w:rStyle w:val="Hyperlink"/>
          </w:rPr>
          <w:t>Figure 3</w:t>
        </w:r>
      </w:hyperlink>
      <w:r>
        <w:rPr/>
        <w:t xml:space="preserve"> A). These peaks are barely recovered from the corrected diversity curve (</w:t>
      </w:r>
      <w:hyperlink w:anchor="fig-diversityBM">
        <w:r>
          <w:rPr>
            <w:rStyle w:val="Hyperlink"/>
          </w:rPr>
          <w:t>Figure 3</w:t>
        </w:r>
      </w:hyperlink>
      <w:r>
        <w:rPr/>
        <w:t xml:space="preserve"> B). The overall pattern of sampled diversity was conserved when conducting genus-level analyses (Figure S10 C) or when excluding singletons from the species-level dataset (Figure S8 C), though we may report that the amplitude of changes in diversity was attenuated in either case when compared to the analysis of the complete species-level dataset.</w:t>
      </w:r>
    </w:p>
    <w:p>
      <w:pPr>
        <w:pStyle w:val="BodyText"/>
        <w:rPr/>
      </w:pPr>
      <w:r>
        <w:rPr/>
        <w:t>This diversity pattern elegantly matched the temporal dynamics of body size across the history of the clade made from the body mass estimations that we obtained for nearly all species (94%) represented in our occurrence dataset (</w:t>
      </w:r>
      <w:hyperlink w:anchor="fig-diversityBM">
        <w:r>
          <w:rPr>
            <w:rStyle w:val="Hyperlink"/>
          </w:rPr>
          <w:t>Figure 3</w:t>
        </w:r>
      </w:hyperlink>
      <w:r>
        <w:rPr/>
        <w:t xml:space="preserve"> C, Dataset SX). Indeed, median chinchilloid body size was slightly above 100 g at the beginning of the evolutionary history of the clade (latest Eocene–earliest Oligocene), peaked around 35 [1.90, 233] kg in the late Miocene and further declined until the present (1.9 [0.45, 12.6] kg). Overlaying body mass estimates with species-specific origination and extinction times reconstructed with PyRate clearly highlights a coordinated temporal trend towards body mass increase among several chinchilloid lineages until the latest Miocene (</w:t>
      </w:r>
      <w:hyperlink w:anchor="fig-lifespans">
        <w:r>
          <w:rPr>
            <w:rStyle w:val="Hyperlink"/>
          </w:rPr>
          <w:t>Figure 4</w:t>
        </w:r>
      </w:hyperlink>
      <w:r>
        <w:rPr/>
        <w:t>). Small-bodied species (&lt; 1kg) are mostly restricted to Palaeogene–Early Miocene basal (‘stem’) forms, with the notable exception of Early Miocene chinchillids (</w:t>
      </w:r>
      <w:r>
        <w:rPr>
          <w:i/>
          <w:iCs/>
        </w:rPr>
        <w:t>Peruchinchilla prima</w:t>
      </w:r>
      <w:r>
        <w:rPr/>
        <w:t xml:space="preserve">, </w:t>
      </w:r>
      <w:r>
        <w:rPr>
          <w:i/>
          <w:iCs/>
        </w:rPr>
        <w:t>Pliolagostomus notatus</w:t>
      </w:r>
      <w:r>
        <w:rPr/>
        <w:t xml:space="preserve"> and </w:t>
      </w:r>
      <w:r>
        <w:rPr>
          <w:i/>
          <w:iCs/>
        </w:rPr>
        <w:t>Pl. obliquidens</w:t>
      </w:r>
      <w:r>
        <w:rPr/>
        <w:t>) and neoepiblemids (</w:t>
      </w:r>
      <w:r>
        <w:rPr>
          <w:i/>
          <w:iCs/>
        </w:rPr>
        <w:t>Perimys dissimilis</w:t>
      </w:r>
      <w:r>
        <w:rPr/>
        <w:t xml:space="preserve">, </w:t>
      </w:r>
      <w:r>
        <w:rPr>
          <w:i/>
          <w:iCs/>
        </w:rPr>
        <w:t>P. erutus</w:t>
      </w:r>
      <w:r>
        <w:rPr/>
        <w:t xml:space="preserve"> and </w:t>
      </w:r>
      <w:r>
        <w:rPr>
          <w:i/>
          <w:iCs/>
        </w:rPr>
        <w:t>P. pacificus</w:t>
      </w:r>
      <w:r>
        <w:rPr/>
        <w:t xml:space="preserve">), and the two extant </w:t>
      </w:r>
      <w:r>
        <w:rPr>
          <w:i/>
          <w:iCs/>
        </w:rPr>
        <w:t>Chinchilla</w:t>
      </w:r>
      <w:r>
        <w:rPr/>
        <w:t xml:space="preserve"> species. From the early Middle to the latest Miocene, a gradual increase in body mass is to be reported, mostly within the two families </w:t>
      </w:r>
      <w:r>
        <w:rPr/>
      </w:r>
      <m:oMath xmlns:m="http://schemas.openxmlformats.org/officeDocument/2006/math">
        <m:r>
          <w:rPr>
            <w:rFonts w:ascii="Cambria Math" w:hAnsi="Cambria Math"/>
          </w:rPr>
          <m:t xml:space="preserve">†</m:t>
        </m:r>
      </m:oMath>
      <w:r>
        <w:rPr/>
        <w:t xml:space="preserve">Neoepiblemidae and Dinomyidae, with the first giant taxa (&gt;100 kg) originating </w:t>
      </w:r>
      <w:r>
        <w:rPr>
          <w:i/>
          <w:iCs/>
        </w:rPr>
        <w:t>ca</w:t>
      </w:r>
      <w:r>
        <w:rPr/>
        <w:t xml:space="preserve">. 10 Ma. Then, in continental South America, most of this flourishing large-sized diversity disappeared at </w:t>
      </w:r>
      <w:r>
        <w:rPr>
          <w:i/>
          <w:iCs/>
        </w:rPr>
        <w:t>ca</w:t>
      </w:r>
      <w:r>
        <w:rPr/>
        <w:t xml:space="preserve">. 6 Ma, and only persisted the lineages that gave birth to the extant moderate-sized representatives of the group. In the West Indies, Quaternary deposits yielded remains of large-sized taxa (grouped into the likely non-monophyletic family </w:t>
      </w:r>
      <w:r>
        <w:rPr/>
      </w:r>
      <m:oMath xmlns:m="http://schemas.openxmlformats.org/officeDocument/2006/math">
        <m:r>
          <w:rPr>
            <w:rFonts w:ascii="Cambria Math" w:hAnsi="Cambria Math"/>
          </w:rPr>
          <m:t xml:space="preserve">†</m:t>
        </m:r>
      </m:oMath>
      <w:r>
        <w:rPr>
          <w:i/>
          <w:iCs/>
        </w:rPr>
        <w:t>?Heptaxodontidae</w:t>
      </w:r>
      <w:r>
        <w:rPr/>
        <w:t>), that went extinct very recently, thus well after the previously reported latest Miocene decline.</w:t>
      </w:r>
      <w:bookmarkEnd w:id="13"/>
    </w:p>
    <w:p>
      <w:pPr>
        <w:pStyle w:val="Heading2"/>
        <w:rPr/>
      </w:pPr>
      <w:bookmarkStart w:id="14" w:name="X3dd8a6b8fe755db649aa27609e7691feaf8d36d"/>
      <w:r>
        <w:rPr/>
        <w:t>Diversification dynamics of Chinchilloidea : a cautionary tale on extant sampling scheme and taxonomy</w:t>
      </w:r>
    </w:p>
    <w:p>
      <w:pPr>
        <w:pStyle w:val="FirstParagraph"/>
        <w:rPr/>
      </w:pPr>
      <w:r>
        <w:rPr/>
        <w:t>Our findings revealed that the aforementioned changes in diversity were due to changes in extinction, not speciation rate during the evolutionary history of the clade.</w:t>
      </w:r>
    </w:p>
    <w:p>
      <w:pPr>
        <w:pStyle w:val="BodyText"/>
        <w:rPr/>
      </w:pPr>
      <w:r>
        <w:rPr/>
        <w:t>Indeed, the analyses we conducted using PyRate (rjMCMC algorithm and BDCS model) suggest that the speciation rate of Chinchilloidea remained constant during their evolutionary history (</w:t>
      </w:r>
      <w:hyperlink w:anchor="fig-diversification">
        <w:r>
          <w:rPr>
            <w:rStyle w:val="Hyperlink"/>
          </w:rPr>
          <w:t>Figure 5</w:t>
        </w:r>
      </w:hyperlink>
      <w:r>
        <w:rPr/>
        <w:t xml:space="preserve"> A and C, Figure S6 A). This result aligns with the output of the MBD model, in which speciation rate estimated with exponential correlations with environmental variables also remained constant across the evolutionary history of the group (</w:t>
      </w:r>
      <w:hyperlink w:anchor="fig-diversification">
        <w:r>
          <w:rPr>
            <w:rStyle w:val="Hyperlink"/>
          </w:rPr>
          <w:t>Figure 5</w:t>
        </w:r>
      </w:hyperlink>
      <w:r>
        <w:rPr/>
        <w:t xml:space="preserve"> G), and was not found significantly associated with any of the variables (Figure S20). The results obtained with the BDNN model also corroborate this conclusion. Indeed, when plotted against time, BDNN-inferred marginal speciation rate remained overall stable across the study period (</w:t>
      </w:r>
      <w:hyperlink w:anchor="fig-diversification">
        <w:r>
          <w:rPr>
            <w:rStyle w:val="Hyperlink"/>
          </w:rPr>
          <w:t>Figure 5</w:t>
        </w:r>
      </w:hyperlink>
      <w:r>
        <w:rPr/>
        <w:t xml:space="preserve"> E, Figure S16-S17). Also, the coefficients of rate variation across the ten imputation replicates, not differing from expectations under a constant-rate birth–death model (0.23 </w:t>
      </w:r>
      <w:r>
        <w:rPr>
          <w:i/>
          <w:iCs/>
        </w:rPr>
        <w:t>vs</w:t>
      </w:r>
      <w:r>
        <w:rPr/>
        <w:t>. 0.23, Table S4), suggest an absence of significant speciation rate variation across lineages.</w:t>
      </w:r>
    </w:p>
    <w:p>
      <w:pPr>
        <w:pStyle w:val="BodyText"/>
        <w:rPr/>
      </w:pPr>
      <w:r>
        <w:rPr/>
        <w:t>On the other hand, we found compelling evidence for extinction rate variation, both across time (</w:t>
      </w:r>
      <w:hyperlink w:anchor="fig-diversification">
        <w:r>
          <w:rPr>
            <w:rStyle w:val="Hyperlink"/>
          </w:rPr>
          <w:t>Figure 5</w:t>
        </w:r>
      </w:hyperlink>
      <w:r>
        <w:rPr/>
        <w:t xml:space="preserve"> B, D, F, H) and lineages (</w:t>
      </w:r>
      <w:hyperlink w:anchor="fig-ExtinctionDrivers">
        <w:r>
          <w:rPr>
            <w:rStyle w:val="Hyperlink"/>
          </w:rPr>
          <w:t>Figure 6</w:t>
        </w:r>
      </w:hyperlink>
      <w:r>
        <w:rPr/>
        <w:t xml:space="preserve"> and Table S5). A single significant extinction rate shift was captured by the rjMCMC model </w:t>
      </w:r>
      <w:r>
        <w:rPr>
          <w:i/>
          <w:iCs/>
        </w:rPr>
        <w:t>ca</w:t>
      </w:r>
      <w:r>
        <w:rPr/>
        <w:t>. 6 Ma (</w:t>
      </w:r>
      <w:hyperlink w:anchor="fig-diversification">
        <w:r>
          <w:rPr>
            <w:rStyle w:val="Hyperlink"/>
          </w:rPr>
          <w:t>Figure 5</w:t>
        </w:r>
      </w:hyperlink>
      <w:r>
        <w:rPr/>
        <w:t xml:space="preserve"> B, Figure S5 B), coinciding with the onset of the diversity decline described in the previous section (</w:t>
      </w:r>
      <w:hyperlink w:anchor="fig-diversityBM">
        <w:r>
          <w:rPr>
            <w:rStyle w:val="Hyperlink"/>
          </w:rPr>
          <w:t>Figure 3</w:t>
        </w:r>
      </w:hyperlink>
      <w:r>
        <w:rPr/>
        <w:t>). The significance of this shift was nevertheless altered as we updated our temporal occurrence dataset accounting for recent taxonomic updates among the Late Miocene rodent fauna of the Ituzaingó formation (Entre Ríos Province, Argentina, Figure S12) (Rasia 2026). This single-shift extinction pattern persisted at the genus level, but with a 2–3 million-year delay towards the present, instead occurring in the late Pliocene (</w:t>
      </w:r>
      <w:r>
        <w:rPr>
          <w:i/>
          <w:iCs/>
        </w:rPr>
        <w:t>ca</w:t>
      </w:r>
      <w:r>
        <w:rPr/>
        <w:t xml:space="preserve">. 3 Ma, Figure S10-S11). This shift was also detected by the BDCS, BDNN and the MBD models, these three models capturing a possible additional increase in extinction rate during the Middle Miocene (labelled ‘?’ on </w:t>
      </w:r>
      <w:hyperlink w:anchor="fig-diversification">
        <w:r>
          <w:rPr>
            <w:rStyle w:val="Hyperlink"/>
          </w:rPr>
          <w:t>Figure 5</w:t>
        </w:r>
      </w:hyperlink>
      <w:r>
        <w:rPr/>
        <w:t xml:space="preserve"> D, F, H). That being said, removing singleton from our diversification analyses totally eroded the pattern that we described (Figures S7-S8).</w:t>
      </w:r>
    </w:p>
    <w:p>
      <w:pPr>
        <w:pStyle w:val="BodyText"/>
        <w:rPr/>
      </w:pPr>
      <w:r>
        <w:rPr/>
        <w:t xml:space="preserve">Following our phylogenetically-informed occurrence sampling for the seven extant species lacking fossil record (see </w:t>
      </w:r>
      <w:r>
        <w:rPr>
          <w:i/>
          <w:iCs/>
        </w:rPr>
        <w:t>Methods</w:t>
      </w:r>
      <w:r>
        <w:rPr/>
        <w:t xml:space="preserve">), the resulting origination ages of the focal species subsequently estimated with PyRate were slightly younger than divergence ages from the phylogeny (Figure S3) – except for </w:t>
      </w:r>
      <w:r>
        <w:rPr>
          <w:i/>
          <w:iCs/>
        </w:rPr>
        <w:t>D. branickii</w:t>
      </w:r>
      <w:r>
        <w:rPr/>
        <w:t xml:space="preserve">, for which the difference was way more pronounced, as we tailored our sampling scheme to (see </w:t>
      </w:r>
      <w:r>
        <w:rPr>
          <w:i/>
          <w:iCs/>
        </w:rPr>
        <w:t>Methods</w:t>
      </w:r>
      <w:r>
        <w:rPr/>
        <w:t>). Incorporating this sampling scheme instead of assigning an occurrence of modern age (</w:t>
      </w:r>
      <w:r>
        <w:rPr>
          <w:i/>
          <w:iCs/>
        </w:rPr>
        <w:t>i</w:t>
      </w:r>
      <w:r>
        <w:rPr/>
        <w:t>.</w:t>
      </w:r>
      <w:r>
        <w:rPr>
          <w:i/>
          <w:iCs/>
        </w:rPr>
        <w:t>e</w:t>
      </w:r>
      <w:r>
        <w:rPr/>
        <w:t xml:space="preserve">., </w:t>
      </w:r>
      <w:r>
        <w:rPr>
          <w:rStyle w:val="VerbatimChar"/>
        </w:rPr>
        <w:t>min_age</w:t>
      </w:r>
      <w:r>
        <w:rPr/>
        <w:t xml:space="preserve"> = </w:t>
      </w:r>
      <w:r>
        <w:rPr>
          <w:rStyle w:val="VerbatimChar"/>
        </w:rPr>
        <w:t>max_age</w:t>
      </w:r>
      <w:r>
        <w:rPr/>
        <w:t xml:space="preserve"> = 0 Ma) to extant taxa had a pronounced effect on diversification rate estimation (Figure S2). In particular, assigning modern-aged occurrences to the seven species lacking fossil evidence yielded to a massive speciation rate increase (going up to 3 events/lineage/Myr) in the early Pleistocene (</w:t>
      </w:r>
      <w:r>
        <w:rPr>
          <w:i/>
          <w:iCs/>
        </w:rPr>
        <w:t>ca</w:t>
      </w:r>
      <w:r>
        <w:rPr/>
        <w:t>. 2.5 Ma, Figure S2 A), which totally disappeared when considering the ages obtained from our sampling scheme (</w:t>
      </w:r>
      <w:hyperlink w:anchor="fig-diversification">
        <w:r>
          <w:rPr>
            <w:rStyle w:val="Hyperlink"/>
          </w:rPr>
          <w:t>Figure 5</w:t>
        </w:r>
      </w:hyperlink>
      <w:r>
        <w:rPr/>
        <w:t xml:space="preserve"> A and Figure S2 B). Also noteworthy, the magnitude of the late Miocene increase in chinchilloid extinction rate was three times higher in the analysis of the dataset in which extant species with no fossil record were assigned a modern-aged occurrence than in our final dataset (</w:t>
      </w:r>
      <w:hyperlink w:anchor="fig-diversification">
        <w:r>
          <w:rPr>
            <w:rStyle w:val="Hyperlink"/>
          </w:rPr>
          <w:t>Figure 5</w:t>
        </w:r>
      </w:hyperlink>
      <w:r>
        <w:rPr/>
        <w:t xml:space="preserve"> B and Figure S2 C-D).</w:t>
      </w:r>
      <w:bookmarkEnd w:id="14"/>
    </w:p>
    <w:p>
      <w:pPr>
        <w:pStyle w:val="Heading2"/>
        <w:rPr/>
      </w:pPr>
      <w:bookmarkStart w:id="15" w:name="Xffd306d3d6128e87a6401c0be9a1d90f4f13144"/>
      <w:r>
        <w:rPr/>
        <w:t>Heterogeneous extinction selectivity across body size classes and latitude, likely enhanced by the Andean uplift and sea-level changes, shaped the decline of Chinchilloidea</w:t>
      </w:r>
    </w:p>
    <w:p>
      <w:pPr>
        <w:pStyle w:val="FirstParagraph"/>
        <w:rPr/>
      </w:pPr>
      <w:r>
        <w:rPr/>
        <w:t xml:space="preserve">Our BDNN analyses revealed that the three best predictors of extinction rate variations across lineages are the (1) Andean uplift, (2) body mass and (3) latitude (Table S6). We document a non-linear relationship between extinction rate and the Andean uplift. Lineages from intervals where average Andean elevation was relatively low (900–1400 m) are indeed associated with nearly stable extinction rates. On the contrary, we report a positive relationship between the Andean elevation and extinction rate of lineages from intervals of higher average elevation (&gt;1500 m, </w:t>
      </w:r>
      <w:hyperlink w:anchor="fig-ExtinctionDrivers">
        <w:r>
          <w:rPr>
            <w:rStyle w:val="Hyperlink"/>
          </w:rPr>
          <w:t>Figure 6</w:t>
        </w:r>
      </w:hyperlink>
      <w:r>
        <w:rPr/>
        <w:t xml:space="preserve"> C). Tropical and extratropical species respectively show a similar response to increasing uplift (Figure S24). This overall pattern of uplift-dependent extinction was also conserved across body size classes, except for the smallest taxa (XS, Figure S25). Furthermore, we evidenced that larger-bodied species had higher extinction rates than smaller-bodied species, with up to a 1.84-fold difference in average values (</w:t>
      </w:r>
      <w:hyperlink w:anchor="fig-ExtinctionDrivers">
        <w:r>
          <w:rPr>
            <w:rStyle w:val="Hyperlink"/>
          </w:rPr>
          <w:t>Figure 6</w:t>
        </w:r>
      </w:hyperlink>
      <w:r>
        <w:rPr/>
        <w:t xml:space="preserve"> A, Table S7). The independent rjMCMC analyses that we conducted for each body size class confirmed the higher susceptibility of large-sized taxa to go extinct (Figure S14 B). These analyses also indicate that the aforementioned Late Miocene increase in chinchilloid extinction rate was mainly driven by these large body-size classes (Figure S15). Note that chinchilloid assemblages at </w:t>
      </w:r>
      <w:r>
        <w:rPr>
          <w:i/>
          <w:iCs/>
        </w:rPr>
        <w:t>ca</w:t>
      </w:r>
      <w:r>
        <w:rPr/>
        <w:t>. 6 Ma were mostly composed of large taxa (</w:t>
      </w:r>
      <w:hyperlink w:anchor="fig-diversityBM">
        <w:r>
          <w:rPr>
            <w:rStyle w:val="Hyperlink"/>
          </w:rPr>
          <w:t>Figure 3</w:t>
        </w:r>
      </w:hyperlink>
      <w:r>
        <w:rPr/>
        <w:t xml:space="preserve"> C and </w:t>
      </w:r>
      <w:hyperlink w:anchor="fig-lifespans">
        <w:r>
          <w:rPr>
            <w:rStyle w:val="Hyperlink"/>
          </w:rPr>
          <w:t>Figure 4</w:t>
        </w:r>
      </w:hyperlink>
      <w:r>
        <w:rPr/>
        <w:t>). Last, on average, tropical species were found to have 1.5-times lower extinction rates than extra-tropical species (</w:t>
      </w:r>
      <w:hyperlink w:anchor="fig-ExtinctionDrivers">
        <w:r>
          <w:rPr>
            <w:rStyle w:val="Hyperlink"/>
          </w:rPr>
          <w:t>Figure 6</w:t>
        </w:r>
      </w:hyperlink>
      <w:r>
        <w:rPr/>
        <w:t xml:space="preserve"> C, Table S8). This difference in extinction rate between tropical and extratropical taxa were particularly pronounced in moderate-to-large classes (</w:t>
      </w:r>
      <w:r>
        <w:rPr>
          <w:i/>
          <w:iCs/>
        </w:rPr>
        <w:t>i</w:t>
      </w:r>
      <w:r>
        <w:rPr/>
        <w:t>.</w:t>
      </w:r>
      <w:r>
        <w:rPr>
          <w:i/>
          <w:iCs/>
        </w:rPr>
        <w:t>e</w:t>
      </w:r>
      <w:r>
        <w:rPr/>
        <w:t>., M, L, XL; Figure S26). We might precise that, in our BDNN analyses, time was always ranked as the least important predictor (Table S6), suggesting our environmental and trait variables effectively captured signals of rate variation.</w:t>
      </w:r>
    </w:p>
    <w:p>
      <w:pPr>
        <w:pStyle w:val="BodyText"/>
        <w:rPr/>
      </w:pPr>
      <w:r>
        <w:rPr/>
        <w:t>Also, depending on the imputation replicate, hypsodonty was sometimes ranked at the third position among the most important extinction rate predictors (Table S6). Our findings indeed highlight differential extinction sensitivities within high-crowned taxa. Extinction rate was indeed on average 1.59 times higher for protohypsodont (rooted) than for euhypsodont (unrooted) species (Table S9, Figure S27). Given their very restricted number of species, it is hard to reliably interpret diversification rate estimations for the two other crown height categories (</w:t>
      </w:r>
      <w:r>
        <w:rPr>
          <w:i/>
          <w:iCs/>
        </w:rPr>
        <w:t>i</w:t>
      </w:r>
      <w:r>
        <w:rPr/>
        <w:t>.</w:t>
      </w:r>
      <w:r>
        <w:rPr>
          <w:i/>
          <w:iCs/>
        </w:rPr>
        <w:t>e</w:t>
      </w:r>
      <w:r>
        <w:rPr/>
        <w:t>., brachydont and mesodont, Figure S7).</w:t>
      </w:r>
    </w:p>
    <w:p>
      <w:pPr>
        <w:pStyle w:val="BodyText"/>
        <w:rPr/>
      </w:pPr>
      <w:r>
        <w:rPr/>
        <w:t>The best predictor for inter-lineage extinction rate variations in the Chinchilloidea drastically differ from the factors identified by the MBD model as most influencing extinction rate variations across time. Indeed, our MBD analyses revealed that the only factor significantly associated to the temporal variations of extinction rate is sea-level changes (</w:t>
      </w:r>
      <w:hyperlink w:anchor="fig-ExtinctionDrivers">
        <w:r>
          <w:rPr>
            <w:rStyle w:val="Hyperlink"/>
          </w:rPr>
          <w:t>Figure 6</w:t>
        </w:r>
      </w:hyperlink>
      <w:r>
        <w:rPr/>
        <w:t xml:space="preserve"> D). This factor was always ranked as the second-to-least important predictor by BDNN (Table S6). On the contrary, our MBD analyses failed at relating the pace of chinchilloid extinction to the Andean uplift, which is yet suggested by our BDNN analyses.</w:t>
      </w:r>
    </w:p>
    <w:p>
      <w:pPr>
        <w:pStyle w:val="BodyText"/>
        <w:rPr/>
      </w:pPr>
      <w:r>
        <w:rPr/>
        <w:t xml:space="preserve">Last, our findings revealed a sustained age-dependent extinction pattern over chinchilloid evolutionary history, in which extinction rate decreases with increasing species age (Weibull shape </w:t>
      </w:r>
      <w:r>
        <w:rPr/>
      </w:r>
      <m:oMath xmlns:m="http://schemas.openxmlformats.org/officeDocument/2006/math">
        <m:r>
          <w:rPr>
            <w:rFonts w:ascii="Cambria Math" w:hAnsi="Cambria Math"/>
          </w:rPr>
          <m:t xml:space="preserve">Φ</m:t>
        </m:r>
        <m:r>
          <w:rPr>
            <w:rFonts w:ascii="Cambria Math" w:hAnsi="Cambria Math"/>
          </w:rPr>
          <m:t xml:space="preserve">&lt;</m:t>
        </m:r>
        <m:r>
          <w:rPr>
            <w:rFonts w:ascii="Cambria Math" w:hAnsi="Cambria Math"/>
          </w:rPr>
          <m:t xml:space="preserve">1</m:t>
        </m:r>
      </m:oMath>
      <w:r>
        <w:rPr/>
        <w:t xml:space="preserve">), both before and after the extinction rate shift that we detected </w:t>
      </w:r>
      <w:r>
        <w:rPr>
          <w:i/>
          <w:iCs/>
        </w:rPr>
        <w:t>ca</w:t>
      </w:r>
      <w:r>
        <w:rPr/>
        <w:t>. 6 Ma (Figure S13 and Table S11).</w:t>
      </w:r>
      <w:bookmarkEnd w:id="12"/>
      <w:bookmarkEnd w:id="15"/>
    </w:p>
    <w:p>
      <w:pPr>
        <w:pStyle w:val="Heading1"/>
        <w:rPr/>
      </w:pPr>
      <w:bookmarkStart w:id="16" w:name="discussion"/>
      <w:r>
        <w:rPr/>
        <w:t>Discussion</w:t>
      </w:r>
    </w:p>
    <w:p>
      <w:pPr>
        <w:pStyle w:val="Heading2"/>
        <w:rPr/>
      </w:pPr>
      <w:bookmarkStart w:id="17" w:name="X45512260c5485d86ae119a012641fc04c0e5c67"/>
      <w:r>
        <w:rPr/>
        <w:t>The coupled dynamics of chinchilloid diversity and body size disparity</w:t>
      </w:r>
    </w:p>
    <w:p>
      <w:pPr>
        <w:pStyle w:val="FirstParagraph"/>
        <w:rPr/>
      </w:pPr>
      <w:r>
        <w:rPr/>
        <w:t>Our findings highlight the coordinated dynamics of body mass evolution and species diversity in the Chinchilloidea. From the late Eocene–early Oligocene to the Late Miocene, chinchilloids experienced a steady increase in median body size and body size range (</w:t>
      </w:r>
      <w:hyperlink w:anchor="fig-diversityBM">
        <w:r>
          <w:rPr>
            <w:rStyle w:val="Hyperlink"/>
          </w:rPr>
          <w:t>Figure 3</w:t>
        </w:r>
      </w:hyperlink>
      <w:r>
        <w:rPr/>
        <w:t xml:space="preserve"> C). Such an increase may elegantly illustrate a long-recognised tendency for lineages to increase in body size over evolutionary time, known as Cope’s rule (Cope 1896). A similar increase is suggested by our reconstructions of diversity through time, particularly from the Middle Miocene (</w:t>
      </w:r>
      <w:hyperlink w:anchor="fig-diversityBM">
        <w:r>
          <w:rPr>
            <w:rStyle w:val="Hyperlink"/>
          </w:rPr>
          <w:t>Figure 3</w:t>
        </w:r>
      </w:hyperlink>
      <w:r>
        <w:rPr/>
        <w:t xml:space="preserve"> A–B). The largest body mass range – together with the largest clade-wise median body mass – were concomitantly achieved when the clade diversity peaked, in the Late Miocene (</w:t>
      </w:r>
      <w:hyperlink w:anchor="fig-diversityBM">
        <w:r>
          <w:rPr>
            <w:rStyle w:val="Hyperlink"/>
          </w:rPr>
          <w:t>Figure 3</w:t>
        </w:r>
      </w:hyperlink>
      <w:r>
        <w:rPr/>
        <w:t>). Species diversity and body mass diversity then subsequently declined (</w:t>
      </w:r>
      <w:hyperlink w:anchor="fig-diversityBM">
        <w:r>
          <w:rPr>
            <w:rStyle w:val="Hyperlink"/>
          </w:rPr>
          <w:t>Figure 3</w:t>
        </w:r>
      </w:hyperlink>
      <w:r>
        <w:rPr/>
        <w:t>). This coupled diversity-disparity pattern aligns with seminal macroevolutionary theories, having long postulated the existence of a positive relationship between the dynamics of clade diversity/diversification and morphological evolution. These notably include the adaptive radiation theory (Simpson 1953), the concept of punctuated equilibria (Gould and Eldredge 1977) or the ‘versatility’ hypothesis (Vermeij 1973a,b). A positive relationship between diversity and disparity was supported by empirical case studies on several vertebrate clades (</w:t>
      </w:r>
      <w:r>
        <w:rPr>
          <w:i/>
          <w:iCs/>
        </w:rPr>
        <w:t>e</w:t>
      </w:r>
      <w:r>
        <w:rPr/>
        <w:t>.</w:t>
      </w:r>
      <w:r>
        <w:rPr>
          <w:i/>
          <w:iCs/>
        </w:rPr>
        <w:t>g</w:t>
      </w:r>
      <w:r>
        <w:rPr/>
        <w:t>., Hughes et al. 2013; Rabosky et al. 2013; Cooney and Thomas 2021). However, evidence from a diverse array of study models, including therapsids (Ruta et al. 2013), muroid rodents (Rowe et al. 2011; Alhajeri et al. 2016; Maestri et al. 2017; Missagia et al. 2023) or equids (Cantalapiedra et al. 2017) challenged such a relationship, illustrating a decoupling between species diversity and morphological disparity. In that respect, though with a more restricted taxonomic sampling (and associated trait reconstructions), a recent study analysed the patterns of diversity and morphological (body size and cranio-dental) evolution of Chinchilloidea and their sister group, Octodontoidea (Carrillo et al. 2026). They evidenced a striking pairwise decoupling between the dynamics of disparity and diversity of the two clades, with chinchilloids always maintaining a larger morphological (and particularly body size) disparity with a lower species diversity than octodontoids. That being said, our occurrence-based chinchilloid diversity-through-time reconstruction does not substantially differ from theirs. Consequently, we propose that, beyond contradiction, our study illustrates the scale-dependence of the disparity-diversity relationship. Despite the fact that, over their evolutionary history, chinchilloids have been unquestionably more morphologically-diverse but less species-diverse than their sister clade (octodontoids), suggesting an inter-clade decoupling between diversity and disparity, at the intra-clade scale, chinchilloid dynamics of species diversity and body size disparity were undoubtedly correlated. The dependence of the diversity-disparity relationship to the phylogenetic scale was already illustrated by Cooney and Thomas (2021), finding that the positive relationship between rates of diversification and morphological evolution preferentially arose from large phylogenetic scales.</w:t>
      </w:r>
      <w:bookmarkEnd w:id="17"/>
    </w:p>
    <w:p>
      <w:pPr>
        <w:pStyle w:val="Heading2"/>
        <w:rPr/>
      </w:pPr>
      <w:bookmarkStart w:id="18" w:name="drivers-of-an-evolutionary-decline"/>
      <w:r>
        <w:rPr/>
        <w:t>Drivers of an evolutionary decline</w:t>
      </w:r>
    </w:p>
    <w:p>
      <w:pPr>
        <w:pStyle w:val="FirstParagraph"/>
        <w:rPr/>
      </w:pPr>
      <w:r>
        <w:rPr/>
        <w:t>Our findings revealed that chinchilloid evolutionary history was best summarised by a birth–death model with constant speciation and time-variable extinction (</w:t>
      </w:r>
      <w:hyperlink w:anchor="fig-diversification">
        <w:r>
          <w:rPr>
            <w:rStyle w:val="Hyperlink"/>
          </w:rPr>
          <w:t>Figure 5</w:t>
        </w:r>
      </w:hyperlink>
      <w:r>
        <w:rPr/>
        <w:t>; Figure S5). The absence of temporal variation in speciation rate suggests that the ‘Ent wives’ model of clade demise due to a decrease in speciation/origination rate (Quental and Marshall 2013) fails to explain the macroevolutionary dynamics of chinchilloids.</w:t>
      </w:r>
    </w:p>
    <w:p>
      <w:pPr>
        <w:pStyle w:val="BodyText"/>
        <w:rPr/>
      </w:pPr>
      <w:r>
        <w:rPr/>
        <w:t xml:space="preserve">The extinction rate increase that we evidenced </w:t>
      </w:r>
      <w:r>
        <w:rPr>
          <w:i/>
          <w:iCs/>
        </w:rPr>
        <w:t>ca</w:t>
      </w:r>
      <w:r>
        <w:rPr/>
        <w:t>. 6 Ma did not apply uniformly to all species of the clade. Rather, extinction rates were higher for larger-bodied and extratropical taxa (</w:t>
      </w:r>
      <w:hyperlink w:anchor="fig-ExtinctionDrivers">
        <w:r>
          <w:rPr>
            <w:rStyle w:val="Hyperlink"/>
          </w:rPr>
          <w:t>Figure 6</w:t>
        </w:r>
      </w:hyperlink>
      <w:r>
        <w:rPr/>
        <w:t xml:space="preserve"> A–B; Figure S14 B, S26). The size selectivity of extinction over chinchilloid evolution explains the 32 kg-decline in median body size quantified from the Late Miocene to the present (</w:t>
      </w:r>
      <w:hyperlink w:anchor="fig-diversityBM">
        <w:r>
          <w:rPr>
            <w:rStyle w:val="Hyperlink"/>
          </w:rPr>
          <w:t>Figure 3</w:t>
        </w:r>
      </w:hyperlink>
      <w:r>
        <w:rPr/>
        <w:t xml:space="preserve"> C). Extinction has traditionally been viewed as a limitation to morphological innovation (</w:t>
      </w:r>
      <w:r>
        <w:rPr>
          <w:i/>
          <w:iCs/>
        </w:rPr>
        <w:t>e</w:t>
      </w:r>
      <w:r>
        <w:rPr/>
        <w:t>.</w:t>
      </w:r>
      <w:r>
        <w:rPr>
          <w:i/>
          <w:iCs/>
        </w:rPr>
        <w:t>g</w:t>
      </w:r>
      <w:r>
        <w:rPr/>
        <w:t>., Foote 1993), though recent findings suggested that it can also act as a creative engine depending on the zones of the morphospace where it operates (Balseiro et al. 2025; Esteve 2025). In the case of Chinchilloidea, our results suggest that extinction eroded large-sized regions of the body mass distribution, in turn echoing the long-recognised tendency for large taxa to have higher extinction rates (Raup 1986; Liow et al. 2008). Regarding the latitudinal selectivity of extinction, our findings provide</w:t>
      </w:r>
      <w:r>
        <w:rPr/>
        <w:t>d</w:t>
      </w:r>
      <w:r>
        <w:rPr/>
        <w:t xml:space="preserve"> support to the historical ‘Tropical stability’ hypothesis, postulating that the environmental stability offered by tropical regions would buffer tropical taxa against extinction (Wallace 1878). Such a hypothesis received substantial support in the recent literature (</w:t>
      </w:r>
      <w:r>
        <w:rPr>
          <w:i/>
          <w:iCs/>
        </w:rPr>
        <w:t>e</w:t>
      </w:r>
      <w:r>
        <w:rPr/>
        <w:t>.</w:t>
      </w:r>
      <w:r>
        <w:rPr>
          <w:i/>
          <w:iCs/>
        </w:rPr>
        <w:t>g</w:t>
      </w:r>
      <w:r>
        <w:rPr/>
        <w:t>., Meseguer and Condamine 2020; Quintero et al. 2023; Buffan et al. 2025).</w:t>
      </w:r>
    </w:p>
    <w:p>
      <w:pPr>
        <w:pStyle w:val="BodyText"/>
        <w:rPr/>
      </w:pPr>
      <w:r>
        <w:rPr/>
        <w:t>We also evidenced heterogeneous extinction rates across hypsodonty classes, with euhypsodont (high-crowned ever-growing cheek teeth</w:t>
      </w:r>
      <w:r>
        <w:rPr/>
        <w:t>)</w:t>
      </w:r>
      <w:r>
        <w:rPr/>
        <w:t xml:space="preserve"> species having attenuated extinction rates compared to protohypsodont (high-crown rooted cheek teeth, with limited growth) species (Figure S27). This results aligns with the assumption that continuously-growing cheek teeth, being more robust than rooted teeth, provide more dietary flexibility. In South America, high-crowned cheek teeth have been acquired several times independently among various lineages of native ungulates (Croft et al. 2020) and caviomorph rodents (Vucetich et al. 2015). Growing evidence increasingly suggests that, instead of being related to grass consumption – as it has been historically proposed (Stebbins 1981) – hypsodonty (at least among South American mammals) might be promoted by external sources of abrasive materials in the diet, such as grit or volcanic dust (</w:t>
      </w:r>
      <w:r>
        <w:rPr>
          <w:i/>
          <w:iCs/>
        </w:rPr>
        <w:t>e</w:t>
      </w:r>
      <w:r>
        <w:rPr/>
        <w:t>.</w:t>
      </w:r>
      <w:r>
        <w:rPr>
          <w:i/>
          <w:iCs/>
        </w:rPr>
        <w:t>g</w:t>
      </w:r>
      <w:r>
        <w:rPr/>
        <w:t>., Billet et al. 2009; Jardine et al. 2012; Selkin et al. 2015; Armella and Croft 2026).</w:t>
      </w:r>
    </w:p>
    <w:p>
      <w:pPr>
        <w:pStyle w:val="Heading3"/>
        <w:rPr/>
      </w:pPr>
      <w:bookmarkStart w:id="19" w:name="andes"/>
      <w:r>
        <w:rPr/>
        <w:t>Andes</w:t>
      </w:r>
    </w:p>
    <w:p>
      <w:pPr>
        <w:pStyle w:val="FirstParagraph"/>
        <w:rPr/>
      </w:pPr>
      <w:r>
        <w:rPr/>
        <w:t>Refugia, limiting extinction (MBD). Effect of increasing magnitude as the mountain chain gets higher. On the other hand, negative effect on origination (BDNN), first driver. “Museum”? Bear in mind that our fossil record is biased westwards, likely exacerbating the prominence of the role of the Andes for Neogene SAM diversification.</w:t>
      </w:r>
    </w:p>
    <w:p>
      <w:pPr>
        <w:pStyle w:val="BodyText"/>
        <w:rPr/>
      </w:pPr>
      <w:r>
        <w:rPr/>
        <w:t>Also, late phases of Andean uplift resulted in major changes in hydrographic patterns in Tropical South America (Pebas -&gt; Acre -&gt; Amazon), which were shown to have been a significant trigger for extinctions (or wax-and-waning) among endemic lacustrine faunal assemblages (</w:t>
      </w:r>
      <w:r>
        <w:rPr>
          <w:i/>
          <w:iCs/>
        </w:rPr>
        <w:t>e</w:t>
      </w:r>
      <w:r>
        <w:rPr/>
        <w:t>.</w:t>
      </w:r>
      <w:r>
        <w:rPr>
          <w:i/>
          <w:iCs/>
        </w:rPr>
        <w:t>g</w:t>
      </w:r>
      <w:r>
        <w:rPr/>
        <w:t>., Salas-Gismondi et al. 2015 + mollusks). Subsequent effects on terrestrial communities?</w:t>
      </w:r>
      <w:bookmarkEnd w:id="19"/>
    </w:p>
    <w:p>
      <w:pPr>
        <w:pStyle w:val="Heading3"/>
        <w:rPr/>
      </w:pPr>
      <w:bookmarkStart w:id="20" w:name="sea-level"/>
      <w:r>
        <w:rPr/>
        <w:t>Sea level</w:t>
      </w:r>
    </w:p>
    <w:p>
      <w:pPr>
        <w:pStyle w:val="FirstParagraph"/>
        <w:rPr/>
      </w:pPr>
      <w:r>
        <w:rPr/>
        <w:t xml:space="preserve">Pebas Hoorn et al. (2022) + river network remodelling that followed the demise of the north Argentinian Miocene marine transgression (‘Paranense Sea,’ </w:t>
      </w:r>
      <w:r>
        <w:rPr>
          <w:i/>
          <w:iCs/>
        </w:rPr>
        <w:t>see</w:t>
      </w:r>
      <w:r>
        <w:rPr/>
        <w:t xml:space="preserve"> Pascual et al. 1996), locally generating environmental heterogeneity, favoured the ecological diversification of dinomyid rodents (Nasif et al. 2013; Candela et al. 2013).</w:t>
      </w:r>
    </w:p>
    <w:p>
      <w:pPr>
        <w:pStyle w:val="BodyText"/>
        <w:rPr/>
      </w:pPr>
      <w:r>
        <w:rPr/>
        <w:t>Giants either from high or low latitudes found in association with estuarine/deltaic forested environments (Carrillo et al. 2026 and literature therein)</w:t>
      </w:r>
    </w:p>
    <w:p>
      <w:pPr>
        <w:pStyle w:val="BodyText"/>
        <w:rPr/>
      </w:pPr>
      <w:bookmarkStart w:id="21" w:name="sea-level"/>
      <w:r>
        <w:rPr/>
        <w:t>Absence of diversity-dependent effect raised by Quintero et al. (2025)</w:t>
      </w:r>
      <w:bookmarkEnd w:id="21"/>
    </w:p>
    <w:p>
      <w:pPr>
        <w:pStyle w:val="Heading3"/>
        <w:rPr/>
      </w:pPr>
      <w:bookmarkStart w:id="22" w:name="body-mass"/>
      <w:r>
        <w:rPr/>
        <w:t>Body mass</w:t>
      </w:r>
    </w:p>
    <w:p>
      <w:pPr>
        <w:pStyle w:val="FirstParagraph"/>
        <w:rPr/>
      </w:pPr>
      <w:r>
        <w:rPr/>
        <w:t>Vucetich et al. (2015) proposed gigantism among caviomorphs to have been promoted by the late Neogene climate cooling and aridification (Westerhold et al. 2020), thought to have expanded open habitats in continental South America (Palazzesi and Barreda 2012). Such climate-induced landscape opening has also traditionally been invoked to explain caviomorphs’ – together with native ungulates’ – increase in hypsodonty (MacFadden 2000). Nevertheless, it should be mentioned that several evidence challenged the relationship between grass consumption and hypsodonty . Other authors proposed that the In the same time frame, a marine incursion analogous to the ‘Paranense Sea’, the ‘Pebas megawetland system’ (PMWS), covered Western Amazonia. Its Late Miocene vanishing triggered massive hydrographic changes, among which the establishment of the Amazon drainage system, in turn massively impacting low-latitude ecosystems in South America (</w:t>
      </w:r>
      <w:r>
        <w:rPr>
          <w:i/>
          <w:iCs/>
        </w:rPr>
        <w:t>e</w:t>
      </w:r>
      <w:r>
        <w:rPr/>
        <w:t>.</w:t>
      </w:r>
      <w:r>
        <w:rPr>
          <w:i/>
          <w:iCs/>
        </w:rPr>
        <w:t>g</w:t>
      </w:r>
      <w:r>
        <w:rPr/>
        <w:t>., Jaramillo et al. 2017; Hoorn et al. 2022). Thus, one can expect the legacy of the PMWS to have also impacted the radiation of Chinchilloidea, the latter peaking as these hydrographic changes occurred. These two marine transgressions were shown to be tectonically- and eustatically-controlled (Hernández et al. 2005). Thus, one can also expect to retrieve a signal of the Andean uplift, as well as from sea-level changes, in the dynamics of chinchilloid diversification.</w:t>
      </w:r>
    </w:p>
    <w:p>
      <w:pPr>
        <w:pStyle w:val="BodyText"/>
        <w:rPr/>
      </w:pPr>
      <w:r>
        <w:rPr/>
        <w:t>Our results suggest a “waxing-and-waning” diversity pattern for chinchilloid rodents, peaking in the late Miocene (Chasicoan SALMA), with XX reconstructed taxa (fig pyrate) (YY corrected diversity, fig deepdive), and declining thereafter until the 7 extant species. This pattern goes in contradiction with the “stagnating” diversity since the Early Oligocene reconstructed by Carrillo et al. (2026), based on a total-evidence phylogeny. Such a mismatch between phylogeny and occurrence-derived patterns probably comes from the poor representativity of extinct chinchilloid lineages in the phylogenetic reconstruction (31 species) when compared to our occurrence database (13X species).</w:t>
      </w:r>
    </w:p>
    <w:p>
      <w:pPr>
        <w:pStyle w:val="BodyText"/>
        <w:rPr/>
      </w:pPr>
      <w:r>
        <w:rPr/>
        <w:t>Caribbean lineages of Quaternary age (</w:t>
      </w:r>
      <w:r>
        <w:rPr>
          <w:i/>
          <w:iCs/>
        </w:rPr>
        <w:t>Elasmodontomys</w:t>
      </w:r>
      <w:r>
        <w:rPr/>
        <w:t xml:space="preserve">, </w:t>
      </w:r>
      <w:r>
        <w:rPr>
          <w:i/>
          <w:iCs/>
        </w:rPr>
        <w:t>Amblyrhiza</w:t>
      </w:r>
      <w:r>
        <w:rPr/>
        <w:t xml:space="preserve">, </w:t>
      </w:r>
      <w:r>
        <w:rPr>
          <w:i/>
          <w:iCs/>
        </w:rPr>
        <w:t>Quemisia</w:t>
      </w:r>
      <w:r>
        <w:rPr/>
        <w:t xml:space="preserve"> and </w:t>
      </w:r>
      <w:r>
        <w:rPr>
          <w:i/>
          <w:iCs/>
        </w:rPr>
        <w:t>Clidomys</w:t>
      </w:r>
      <w:r>
        <w:rPr/>
        <w:t>) descend from at least one (but most likely several, see (MacPhee 2011; Marivaux et al. 2020)) earlier colonisation events of the West Indies by ancestral lineages that could not be preserved in the fossil record (Marivaux et al. 2022).</w:t>
      </w:r>
      <w:bookmarkEnd w:id="18"/>
      <w:bookmarkEnd w:id="22"/>
    </w:p>
    <w:p>
      <w:pPr>
        <w:pStyle w:val="Heading2"/>
        <w:rPr/>
      </w:pPr>
      <w:bookmarkStart w:id="23" w:name="limitations-and-perspectives"/>
      <w:r>
        <w:rPr/>
        <w:t>Limitations and perspectives</w:t>
      </w:r>
    </w:p>
    <w:p>
      <w:pPr>
        <w:pStyle w:val="FirstParagraph"/>
        <w:rPr/>
      </w:pPr>
      <w:r>
        <w:rPr/>
        <w:t>Complete lineage sampling assumption made by PyRate : should we relax it?</w:t>
      </w:r>
    </w:p>
    <w:p>
      <w:pPr>
        <w:pStyle w:val="Heading3"/>
        <w:rPr/>
      </w:pPr>
      <w:bookmarkStart w:id="24" w:name="taxonomic-uncertainties"/>
      <w:r>
        <w:rPr/>
        <w:t>Taxonomic uncertainties</w:t>
      </w:r>
    </w:p>
    <w:p>
      <w:pPr>
        <w:pStyle w:val="FirstParagraph"/>
        <w:rPr/>
      </w:pPr>
      <w:r>
        <w:rPr/>
        <w:t>Cautionary tale on the importance of input data, affecting subsequent pipeline. In our case, incorporating the taxonomic revisions of Rasia (2026) on ‘Mesopotamiense’ fauna (Ituzaingó Fm.), formerely considered hyperdiverse but with many synonymies</w:t>
      </w:r>
    </w:p>
    <w:p>
      <w:pPr>
        <w:pStyle w:val="BodyText"/>
        <w:rPr/>
      </w:pPr>
      <w:r>
        <w:rPr/>
        <w:t>In the framework of Chinchilloidea, taxonomic uncertainties regarding key taxa (or faunas) surely hampers our appreciation of their evolutionary history. As most of the taxa considered in this study were described on the basis of morphological characters, biases such as cryptic diversity or intra-specific variation</w:t>
      </w:r>
    </w:p>
    <w:p>
      <w:pPr>
        <w:pStyle w:val="BodyText"/>
        <w:rPr/>
      </w:pPr>
      <w:r>
        <w:rPr>
          <w:b/>
          <w:bCs/>
        </w:rPr>
        <w:t>A new avenue for combining palaeontological and neontological data</w:t>
      </w:r>
    </w:p>
    <w:p>
      <w:pPr>
        <w:pStyle w:val="BodyText"/>
        <w:rPr/>
      </w:pPr>
      <w:r>
        <w:rPr/>
        <w:t xml:space="preserve">Our method cannot be validated with simulations and has some part of arbitrary in the sense that the user is expected to define the </w:t>
      </w:r>
      <w:r>
        <w:rPr/>
      </w:r>
      <m:oMath xmlns:m="http://schemas.openxmlformats.org/officeDocument/2006/math">
        <m:r>
          <w:rPr>
            <w:rFonts w:ascii="Cambria Math" w:hAnsi="Cambria Math"/>
          </w:rPr>
          <m:t xml:space="preserve">α</m:t>
        </m:r>
      </m:oMath>
      <w:r>
        <w:rPr/>
        <w:t>-threshold</w:t>
      </w:r>
      <w:bookmarkEnd w:id="24"/>
    </w:p>
    <w:p>
      <w:pPr>
        <w:pStyle w:val="Heading3"/>
        <w:rPr/>
      </w:pPr>
      <w:bookmarkStart w:id="25" w:name="phylogeny"/>
      <w:r>
        <w:rPr/>
        <w:t>Phylogeny</w:t>
      </w:r>
    </w:p>
    <w:p>
      <w:pPr>
        <w:pStyle w:val="FirstParagraph"/>
        <w:rPr/>
      </w:pPr>
      <w:r>
        <w:rPr/>
        <w:t>An additional limitation to this study is the absence of integrative phylogenetic reconstruction for our focal clade. To date, existing phylogenies incorporating extinct members of Chinchilloidea have respectively accounted for 26 (Boivin et al. 2019) and 43 (Rasia et al. 2021) taxa, thus only a fraction of the 124 species recognised and used over this work. Future directions towards a better understanding of the macroevolutionary dynamics of Chinchilloidea would greatly benefit from the information provided by a phylogeny of increased completeness (</w:t>
      </w:r>
      <w:r>
        <w:rPr>
          <w:i/>
          <w:iCs/>
        </w:rPr>
        <w:t>work in progress</w:t>
      </w:r>
      <w:r>
        <w:rPr/>
        <w:t>). Information regarding phylogenetic relatedness between taxa was proven relevant in occurrence-based analyses of proboscid diversification dynamics using BDNN (Hauffe et al. 2024). In our case, it cannot be excluded that the trait-diversification relationships that we uncovered are an artefact of phylogenetic inertia (Felsenstein 1985). In addition, phylogeny-based estimates of chinchilloid rate of body size and cranio-dental evolution were already produced by Carrillo et al. (2026), but these findings were limited by the low completeness of the phylogeny that they used (Boivin et al. 2019). A better-resolved phylogeny would thus be of high value to better elucidate the joint dynamics of chinchilloid diversification and body mass evolution. Moreover, State-dependent Speciation and Extinction models (</w:t>
      </w:r>
      <w:r>
        <w:rPr>
          <w:i/>
          <w:iCs/>
        </w:rPr>
        <w:t>reviewed in</w:t>
      </w:r>
      <w:r>
        <w:rPr/>
        <w:t xml:space="preserve"> Morlon et al. 2024) fitted to such a phylogeny could provide an elegant way to validate the extinction selectivity that we raised over this work, with larger extratropical species having greater extinction rates (</w:t>
      </w:r>
      <w:hyperlink w:anchor="fig-ExtinctionDrivers">
        <w:r>
          <w:rPr>
            <w:rStyle w:val="Hyperlink"/>
          </w:rPr>
          <w:t>Figure 6</w:t>
        </w:r>
      </w:hyperlink>
      <w:r>
        <w:rPr/>
        <w:t xml:space="preserve"> A–B and Figure S26). Last, recent development in phylogenetic comparative methods may provide precious insights into the likely abiotic (Clavel and Morlon 2017; Troyer et al. 2022) or biotic (Drury et al. 2016) factors that shaped the dynamics of chinchilloid morphological evolution.</w:t>
      </w:r>
      <w:bookmarkEnd w:id="25"/>
    </w:p>
    <w:p>
      <w:pPr>
        <w:pStyle w:val="Heading3"/>
        <w:rPr/>
      </w:pPr>
      <w:bookmarkStart w:id="26" w:name="size-increase-pattern"/>
      <w:r>
        <w:rPr/>
        <w:t>Size-increase pattern</w:t>
      </w:r>
    </w:p>
    <w:p>
      <w:pPr>
        <w:pStyle w:val="FirstParagraph"/>
        <w:rPr/>
      </w:pPr>
      <w:r>
        <w:rPr/>
        <w:t>Body mass evolution = disparity?</w:t>
      </w:r>
    </w:p>
    <w:p>
      <w:pPr>
        <w:pStyle w:val="BodyText"/>
        <w:rPr/>
      </w:pPr>
      <w:r>
        <w:rPr/>
        <w:t>On the other hand, the trend towards general size increase could also come from a sampling artifact, where larger taxa are easier to spot and sample in the end, whereas sampling smaller taxa is usually more resource-demanding, involves screenwashing, which is not always possible to carry out easily based on the sampling area (</w:t>
      </w:r>
      <w:r>
        <w:rPr>
          <w:i/>
          <w:iCs/>
        </w:rPr>
        <w:t>e</w:t>
      </w:r>
      <w:r>
        <w:rPr/>
        <w:t>.</w:t>
      </w:r>
      <w:r>
        <w:rPr>
          <w:i/>
          <w:iCs/>
        </w:rPr>
        <w:t>g</w:t>
      </w:r>
      <w:r>
        <w:rPr/>
        <w:t>., proximity with a river).</w:t>
      </w:r>
    </w:p>
    <w:p>
      <w:pPr>
        <w:pStyle w:val="BodyText"/>
        <w:rPr/>
      </w:pPr>
      <w:r>
        <w:rPr/>
        <w:t>Challenge to infer body sizes of extinct taxa with little extant representatives =&gt; Estimates can vary significantly based on the proxy or the modelling system used (Boivin et al. 2024; Paiva et al. 2026).</w:t>
      </w:r>
    </w:p>
    <w:p>
      <w:pPr>
        <w:pStyle w:val="BodyText"/>
        <w:rPr/>
      </w:pPr>
      <w:r>
        <w:rPr/>
        <w:t>Size-selectivity of extiction still relevant to consider as small species (XS, S) were absent from Late Miocene faunas? On the other hand, we no longer find large-sized chinchilloids at present.</w:t>
      </w:r>
    </w:p>
    <w:p>
      <w:pPr>
        <w:pStyle w:val="BodyText"/>
        <w:rPr/>
      </w:pPr>
      <w:r>
        <w:rPr/>
        <w:t>Being large implies additional energetic requirements =&gt; diet. Need for additional studies to quantify diet shifts in large forms using quantitative methods like microwear texture analysis (</w:t>
      </w:r>
      <w:r>
        <w:rPr>
          <w:i/>
          <w:iCs/>
        </w:rPr>
        <w:t>e</w:t>
      </w:r>
      <w:r>
        <w:rPr/>
        <w:t>.</w:t>
      </w:r>
      <w:r>
        <w:rPr>
          <w:i/>
          <w:iCs/>
        </w:rPr>
        <w:t>g</w:t>
      </w:r>
      <w:r>
        <w:rPr/>
        <w:t>., Robinet et al. 2020; Hullot et al. 2025).</w:t>
      </w:r>
    </w:p>
    <w:p>
      <w:pPr>
        <w:pStyle w:val="BodyText"/>
        <w:rPr/>
      </w:pPr>
      <w:bookmarkStart w:id="27" w:name="size-increase-pattern"/>
      <w:r>
        <w:rPr/>
        <w:t>Many questions persists, for instance, related to the drivers of the spectacular and unique increase in body mass among this clade. Whether this unique trajectory stems from intrinsic developmental capability, ecological opportunity or a combination of both remains an open question (Vucetich et al. 2015). Generalised size-increase pattern in the Miocene of South America, for instance among sloths (Boscaini et al. 2025), native ungulates (Solórzano and Núñez-Flores 2021)</w:t>
      </w:r>
      <w:bookmarkEnd w:id="27"/>
    </w:p>
    <w:p>
      <w:pPr>
        <w:pStyle w:val="Heading3"/>
        <w:rPr/>
      </w:pPr>
      <w:bookmarkStart w:id="28" w:name="additional-perspectives"/>
      <w:r>
        <w:rPr/>
        <w:t>Additional perspectives</w:t>
      </w:r>
    </w:p>
    <w:p>
      <w:pPr>
        <w:pStyle w:val="FirstParagraph"/>
        <w:rPr/>
      </w:pPr>
      <w:r>
        <w:rPr/>
        <w:t>given that the time frame of the demise of the Chinchilloidea matches the Great American Biotic Interchange (Marshall et al. 1982; Webb 1985), one can also wonder whether such a demise can be related to the arrival of North American migrants, either competing for similar food resources (</w:t>
      </w:r>
      <w:r>
        <w:rPr>
          <w:i/>
          <w:iCs/>
        </w:rPr>
        <w:t>e</w:t>
      </w:r>
      <w:r>
        <w:rPr/>
        <w:t>.</w:t>
      </w:r>
      <w:r>
        <w:rPr>
          <w:i/>
          <w:iCs/>
        </w:rPr>
        <w:t>g</w:t>
      </w:r>
      <w:r>
        <w:rPr/>
        <w:t>., horses, elephants) or preying on native species (</w:t>
      </w:r>
      <w:r>
        <w:rPr>
          <w:i/>
          <w:iCs/>
        </w:rPr>
        <w:t>e</w:t>
      </w:r>
      <w:r>
        <w:rPr/>
        <w:t>.</w:t>
      </w:r>
      <w:r>
        <w:rPr>
          <w:i/>
          <w:iCs/>
        </w:rPr>
        <w:t>g</w:t>
      </w:r>
      <w:r>
        <w:rPr/>
        <w:t>., carnivorans).</w:t>
      </w:r>
      <w:bookmarkEnd w:id="16"/>
      <w:bookmarkEnd w:id="23"/>
      <w:bookmarkEnd w:id="28"/>
    </w:p>
    <w:p>
      <w:pPr>
        <w:pStyle w:val="Heading1"/>
        <w:rPr/>
      </w:pPr>
      <w:bookmarkStart w:id="29" w:name="conclusions"/>
      <w:r>
        <w:rPr/>
        <w:t>Conclusions</w:t>
      </w:r>
      <w:bookmarkEnd w:id="29"/>
    </w:p>
    <w:p>
      <w:pPr>
        <w:pStyle w:val="Heading1"/>
        <w:rPr/>
      </w:pPr>
      <w:bookmarkStart w:id="30" w:name="acknowledgements"/>
      <w:bookmarkEnd w:id="30"/>
      <w:r>
        <w:rPr/>
        <w:t>Acknowledgements</w:t>
      </w:r>
    </w:p>
    <w:p>
      <w:pPr>
        <w:pStyle w:val="FirstParagraph"/>
        <w:rPr/>
      </w:pPr>
      <w:r>
        <w:rPr/>
        <w:t>Torsten Hauffe for his advice regarding the use of BDNN. Rebecca B. Cooper and Bethany J. Allen for their willingness to help with the use of DeepDive and DeepDiveR. L.B. was funded by a grant offered by the École Normale Supérieure de Lyon.</w:t>
      </w:r>
    </w:p>
    <w:p>
      <w:pPr>
        <w:pStyle w:val="Normal"/>
        <w:rPr/>
      </w:pPr>
      <w:r>
        <w:rPr/>
      </w:r>
      <w:bookmarkStart w:id="31" w:name="acknowledgements"/>
      <w:bookmarkStart w:id="32" w:name="acknowledgements"/>
      <w:bookmarkEnd w:id="32"/>
      <w:r>
        <w:br w:type="page"/>
      </w:r>
    </w:p>
    <w:p>
      <w:pPr>
        <w:pStyle w:val="Heading1"/>
        <w:spacing w:before="0" w:after="0"/>
        <w:rPr/>
      </w:pPr>
      <w:bookmarkStart w:id="33" w:name="references"/>
      <w:bookmarkEnd w:id="33"/>
      <w:r>
        <w:rPr/>
        <w:t>References</w:t>
      </w:r>
    </w:p>
    <w:p>
      <w:pPr>
        <w:pStyle w:val="Bibliography"/>
        <w:rPr/>
      </w:pPr>
      <w:bookmarkStart w:id="34" w:name="refs"/>
      <w:bookmarkStart w:id="35" w:name="ref-alhajeri2016"/>
      <w:r>
        <w:rPr/>
        <w:t xml:space="preserve">Alhajeri, B. H., J. J. Schenk, and S. J. Steppan. 2016. </w:t>
      </w:r>
      <w:hyperlink r:id="rId2">
        <w:r>
          <w:rPr>
            <w:rStyle w:val="Hyperlink"/>
          </w:rPr>
          <w:t>Ecomorphological diversification following continental colonization in muroid rodents (rodentia: muroidea)</w:t>
        </w:r>
      </w:hyperlink>
      <w:r>
        <w:rPr/>
        <w:t>. Biological Journal of the Linnean Society 117:463–481.</w:t>
      </w:r>
      <w:bookmarkEnd w:id="35"/>
    </w:p>
    <w:p>
      <w:pPr>
        <w:pStyle w:val="Bibliography"/>
        <w:rPr/>
      </w:pPr>
      <w:bookmarkStart w:id="36" w:name="ref-álvarez2017"/>
      <w:r>
        <w:rPr/>
        <w:t xml:space="preserve">Álvarez, A., R. L. M. Arévalo, and D. H. Verzi. 2017. </w:t>
      </w:r>
      <w:hyperlink r:id="rId3">
        <w:r>
          <w:rPr>
            <w:rStyle w:val="Hyperlink"/>
          </w:rPr>
          <w:t>Diversification patterns and size evolution in caviomorph rodents</w:t>
        </w:r>
      </w:hyperlink>
      <w:r>
        <w:rPr/>
        <w:t>. Biological Journal of the Linnean Society 121:907–922.</w:t>
      </w:r>
      <w:bookmarkEnd w:id="36"/>
    </w:p>
    <w:p>
      <w:pPr>
        <w:pStyle w:val="Bibliography"/>
        <w:rPr/>
      </w:pPr>
      <w:bookmarkStart w:id="37" w:name="ref-antoine2021"/>
      <w:r>
        <w:rPr/>
        <w:t xml:space="preserve">Antoine, P.-O., J. Yans, A. A. Castillo, N. Stutz, M. A. Abello, S. Adnet, M. A. Custódio, A. Benites-Palomino, G. Billet, M. Boivin, F. Herrera, C. Jaramillo, C. Mártinez, F. Moreno, R. E. Navarrete, F. R. Negri, F. Parra, F. Pujos, J.-C. Rage, A. M. Ribeiro, C. Robinet, M. Roddaz, J. V. Tejada-Lara, R. Varas-Malca, R. Ventura Santos, R. Salas-Gismondi, and L. Marivaux. 2021. </w:t>
      </w:r>
      <w:hyperlink r:id="rId4">
        <w:r>
          <w:rPr>
            <w:rStyle w:val="Hyperlink"/>
          </w:rPr>
          <w:t>Biotic community and landscape changes around the EoceneOligocene transition at Shapaja, Peruvian Amazonia: Regional or global drivers?</w:t>
        </w:r>
      </w:hyperlink>
      <w:r>
        <w:rPr/>
        <w:t xml:space="preserve"> Global and Planetary Change 202:103512.</w:t>
      </w:r>
      <w:bookmarkEnd w:id="37"/>
    </w:p>
    <w:p>
      <w:pPr>
        <w:pStyle w:val="Bibliography"/>
        <w:rPr/>
      </w:pPr>
      <w:bookmarkStart w:id="38" w:name="ref-antonelli2009"/>
      <w:r>
        <w:rPr/>
        <w:t xml:space="preserve">Antonelli, A., J. A. A. Nylander, C. Persson, and I. Sanmartín. 2009. </w:t>
      </w:r>
      <w:hyperlink r:id="rId5">
        <w:r>
          <w:rPr>
            <w:rStyle w:val="Hyperlink"/>
          </w:rPr>
          <w:t>Tracing the impact of the andean uplift on neotropical plant evolution</w:t>
        </w:r>
      </w:hyperlink>
      <w:r>
        <w:rPr/>
        <w:t>. Proceedings of the National Academy of Sciences 106:9749–9754.</w:t>
      </w:r>
      <w:bookmarkEnd w:id="38"/>
    </w:p>
    <w:p>
      <w:pPr>
        <w:pStyle w:val="Bibliography"/>
        <w:rPr/>
      </w:pPr>
      <w:bookmarkStart w:id="39" w:name="ref-armella2026"/>
      <w:r>
        <w:rPr/>
        <w:t xml:space="preserve">Armella, M. A., and D. A. Croft. 2026. </w:t>
      </w:r>
      <w:hyperlink r:id="rId6">
        <w:r>
          <w:rPr>
            <w:rStyle w:val="Hyperlink"/>
          </w:rPr>
          <w:t>Pass on the grass? The unexpected “last supper” of hypselodont pachyrukhinae (notoungulata, mammalia) from the late neogene of northwestern argentina</w:t>
        </w:r>
      </w:hyperlink>
      <w:r>
        <w:rPr/>
        <w:t>. Palaeogeography, Palaeoclimatology, Palaeoecology 687:113585.</w:t>
      </w:r>
      <w:bookmarkEnd w:id="39"/>
    </w:p>
    <w:p>
      <w:pPr>
        <w:pStyle w:val="Bibliography"/>
        <w:rPr/>
      </w:pPr>
      <w:bookmarkStart w:id="40" w:name="ref-balseiro2025"/>
      <w:r>
        <w:rPr/>
        <w:t xml:space="preserve">Balseiro, D., F. Serra, and A. Bignon. 2025. Extinction drives both expansion and contraction of morphological disparity in trilobites. Proceedings B, doi: </w:t>
      </w:r>
      <w:hyperlink r:id="rId7">
        <w:r>
          <w:rPr>
            <w:rStyle w:val="Hyperlink"/>
          </w:rPr>
          <w:t>10.1098/rspb.2025.1418</w:t>
        </w:r>
      </w:hyperlink>
      <w:r>
        <w:rPr/>
        <w:t>.</w:t>
      </w:r>
      <w:bookmarkEnd w:id="40"/>
    </w:p>
    <w:p>
      <w:pPr>
        <w:pStyle w:val="Bibliography"/>
        <w:rPr/>
      </w:pPr>
      <w:bookmarkStart w:id="41" w:name="ref-barnosky2001"/>
      <w:r>
        <w:rPr/>
        <w:t xml:space="preserve">Barnosky, A. D. 2001. </w:t>
      </w:r>
      <w:hyperlink r:id="rId8">
        <w:r>
          <w:rPr>
            <w:rStyle w:val="Hyperlink"/>
          </w:rPr>
          <w:t>Distinguishing the effects of the red queen and court jester on miocene mammal evolution in the northern rocky mountains</w:t>
        </w:r>
      </w:hyperlink>
      <w:r>
        <w:rPr/>
        <w:t>. Journal of Vertebrate Paleontology 21:172–185.</w:t>
      </w:r>
      <w:bookmarkEnd w:id="41"/>
    </w:p>
    <w:p>
      <w:pPr>
        <w:pStyle w:val="Bibliography"/>
        <w:rPr/>
      </w:pPr>
      <w:bookmarkStart w:id="42" w:name="ref-benton2009"/>
      <w:r>
        <w:rPr/>
        <w:t xml:space="preserve">Benton, M. J. 2009. </w:t>
      </w:r>
      <w:hyperlink r:id="rId9">
        <w:r>
          <w:rPr>
            <w:rStyle w:val="Hyperlink"/>
          </w:rPr>
          <w:t>The red queen and the court jester: Species diversity and the role of biotic and abiotic factors through time</w:t>
        </w:r>
      </w:hyperlink>
      <w:r>
        <w:rPr/>
        <w:t>. Science 323:728–732.</w:t>
      </w:r>
      <w:bookmarkEnd w:id="42"/>
    </w:p>
    <w:p>
      <w:pPr>
        <w:pStyle w:val="Bibliography"/>
        <w:rPr/>
      </w:pPr>
      <w:bookmarkStart w:id="43" w:name="ref-bianucci2023"/>
      <w:r>
        <w:rPr/>
        <w:t xml:space="preserve">Bianucci, G., O. Lambert, M. Urbina, M. Merella, A. Collareta, R. Bennion, R. Salas-Gismondi, A. Benites-Palomino, K. Post, C. de Muizon, G. Bosio, C. Di Celma, E. Malinverno, P. P. Pierantoni, I. M. Villa, and E. Amson. 2023. </w:t>
      </w:r>
      <w:hyperlink r:id="rId10">
        <w:r>
          <w:rPr>
            <w:rStyle w:val="Hyperlink"/>
          </w:rPr>
          <w:t>A heavyweight early whale pushes the boundaries of vertebrate morphology</w:t>
        </w:r>
      </w:hyperlink>
      <w:r>
        <w:rPr/>
        <w:t>. Nature 620:824–829.</w:t>
      </w:r>
      <w:bookmarkEnd w:id="43"/>
    </w:p>
    <w:p>
      <w:pPr>
        <w:pStyle w:val="Bibliography"/>
        <w:rPr/>
      </w:pPr>
      <w:bookmarkStart w:id="44" w:name="ref-biknevicius1993"/>
      <w:r>
        <w:rPr/>
        <w:t>Biknevicius, A. R., D. A. Macfarlane, and R. D. E. MacPhee. 1993. Body size in amblyrhiza inundata (rodentia: Caviomorpha), an extinct megafaunal rodent from the anguilla bank, west indies: Estimates and implications. American Museum Novitates 1–25.</w:t>
      </w:r>
      <w:bookmarkEnd w:id="44"/>
    </w:p>
    <w:p>
      <w:pPr>
        <w:pStyle w:val="Bibliography"/>
        <w:rPr/>
      </w:pPr>
      <w:bookmarkStart w:id="45" w:name="ref-billet2009"/>
      <w:r>
        <w:rPr/>
        <w:t xml:space="preserve">Billet, G., C. Blondel, and C. de Muizon. 2009. </w:t>
      </w:r>
      <w:hyperlink r:id="rId11">
        <w:r>
          <w:rPr>
            <w:rStyle w:val="Hyperlink"/>
          </w:rPr>
          <w:t>Dental microwear analysis of notoungulates (mammalia) from salla (late oligocene, bolivia) and discussion on their precocious hypsodonty</w:t>
        </w:r>
      </w:hyperlink>
      <w:r>
        <w:rPr/>
        <w:t>. Palaeogeography, Palaeoclimatology, Palaeoecology 274:114–124.</w:t>
      </w:r>
      <w:bookmarkEnd w:id="45"/>
    </w:p>
    <w:p>
      <w:pPr>
        <w:pStyle w:val="Bibliography"/>
        <w:rPr/>
      </w:pPr>
      <w:bookmarkStart w:id="46" w:name="ref-boessenecker2019"/>
      <w:r>
        <w:rPr/>
        <w:t xml:space="preserve">Boessenecker, R. W., D. J. Ehret, D. J. Long, M. Churchill, E. Martin, and S. J. Boessenecker. 2019. </w:t>
      </w:r>
      <w:hyperlink r:id="rId12">
        <w:r>
          <w:rPr>
            <w:rStyle w:val="Hyperlink"/>
          </w:rPr>
          <w:t>The Early Pliocene extinction of the mega-toothed shark Otodus megalodon: a view from the eastern North Pacific</w:t>
        </w:r>
      </w:hyperlink>
      <w:r>
        <w:rPr/>
        <w:t>. PeerJ 7:e6088.</w:t>
      </w:r>
      <w:bookmarkEnd w:id="46"/>
    </w:p>
    <w:p>
      <w:pPr>
        <w:pStyle w:val="Bibliography"/>
        <w:rPr/>
      </w:pPr>
      <w:bookmarkStart w:id="47" w:name="ref-boivin2024"/>
      <w:r>
        <w:rPr/>
        <w:t xml:space="preserve">Boivin, M., A. Álvarez, M. D. Ercoli, S. R. Moyano, J. S. Salgado-Ahumada, A. M. O. Tejerina, and G. H. Cassini. 2024. </w:t>
      </w:r>
      <w:hyperlink r:id="rId13">
        <w:r>
          <w:rPr>
            <w:rStyle w:val="Hyperlink"/>
          </w:rPr>
          <w:t>Body mass estimation from cheek tooth measurements in extinct caviomorphs (Ctenohystrica, Hystricognathi): the importance of predictor, reference sample and method</w:t>
        </w:r>
      </w:hyperlink>
      <w:r>
        <w:rPr/>
        <w:t>. Journal of Mammalian Evolution 31:43.</w:t>
      </w:r>
      <w:bookmarkEnd w:id="47"/>
    </w:p>
    <w:p>
      <w:pPr>
        <w:pStyle w:val="Bibliography"/>
        <w:rPr/>
      </w:pPr>
      <w:bookmarkStart w:id="48" w:name="ref-boivin2019"/>
      <w:r>
        <w:rPr/>
        <w:t xml:space="preserve">Boivin, M., L. Marivaux, and P.-O. Antoine. 2019. </w:t>
      </w:r>
      <w:hyperlink r:id="rId14">
        <w:r>
          <w:rPr>
            <w:rStyle w:val="Hyperlink"/>
          </w:rPr>
          <w:t>L’apport du registre paléogène d’amazonie sur la diversification initiale des caviomorpha (hystricognathi, rodentia): Implications phylogénétiques, macroévolutives et paléobiogéographiques</w:t>
        </w:r>
      </w:hyperlink>
      <w:r>
        <w:rPr/>
        <w:t>. Geodiversitas 41:143–245.</w:t>
      </w:r>
      <w:bookmarkEnd w:id="48"/>
    </w:p>
    <w:p>
      <w:pPr>
        <w:pStyle w:val="Bibliography"/>
        <w:rPr/>
      </w:pPr>
      <w:bookmarkStart w:id="49" w:name="ref-boscaini2025"/>
      <w:r>
        <w:rPr/>
        <w:t xml:space="preserve">Boscaini, A., D. M. Casali, N. Toledo, J. L. Cantalapiedra, M. S. Bargo, G. De Iuliis, T. J. Gaudin, M. C. Langer, R. Narducci, F. Pujos, E. M. Soto, S. F. Vizcaíno, and I. M. Soto. 2025. </w:t>
      </w:r>
      <w:hyperlink r:id="rId15">
        <w:r>
          <w:rPr>
            <w:rStyle w:val="Hyperlink"/>
          </w:rPr>
          <w:t>The emergence and demise of giant sloths</w:t>
        </w:r>
      </w:hyperlink>
      <w:r>
        <w:rPr/>
        <w:t>. Science 388:864–868.</w:t>
      </w:r>
      <w:bookmarkEnd w:id="49"/>
    </w:p>
    <w:p>
      <w:pPr>
        <w:pStyle w:val="Bibliography"/>
        <w:rPr/>
      </w:pPr>
      <w:bookmarkStart w:id="50" w:name="ref-boschman2021"/>
      <w:r>
        <w:rPr/>
        <w:t xml:space="preserve">Boschman, L. M. 2021. </w:t>
      </w:r>
      <w:hyperlink r:id="rId16">
        <w:r>
          <w:rPr>
            <w:rStyle w:val="Hyperlink"/>
          </w:rPr>
          <w:t>Andean mountain building since the late cretaceous: A paleoelevation reconstruction</w:t>
        </w:r>
      </w:hyperlink>
      <w:r>
        <w:rPr/>
        <w:t>. Earth-Science Reviews 220:103640.</w:t>
      </w:r>
      <w:bookmarkEnd w:id="50"/>
    </w:p>
    <w:p>
      <w:pPr>
        <w:pStyle w:val="Bibliography"/>
        <w:rPr/>
      </w:pPr>
      <w:bookmarkStart w:id="51" w:name="ref-brandoni2016"/>
      <w:r>
        <w:rPr/>
        <w:t xml:space="preserve">Brandoni, D., L. G. Ruiz, M. F. Tejedor, G. Martin, and J. G. Fleagle. 2016. </w:t>
      </w:r>
      <w:hyperlink r:id="rId17">
        <w:r>
          <w:rPr>
            <w:rStyle w:val="Hyperlink"/>
          </w:rPr>
          <w:t>Megatherioidea (Mammalia, Xenarthra, Tardigrada) from the Pinturas Formation (Early Miocene), Santa Cruz Province (Argentina) and their chronological implications</w:t>
        </w:r>
      </w:hyperlink>
      <w:r>
        <w:rPr/>
        <w:t>. PalZ 90:619–628.</w:t>
      </w:r>
      <w:bookmarkEnd w:id="51"/>
    </w:p>
    <w:p>
      <w:pPr>
        <w:pStyle w:val="Bibliography"/>
        <w:rPr/>
      </w:pPr>
      <w:bookmarkStart w:id="52" w:name="ref-brée2022"/>
      <w:r>
        <w:rPr/>
        <w:t xml:space="preserve">Brée, B., F. L. Condamine, and G. Guinot. 2022. </w:t>
      </w:r>
      <w:hyperlink r:id="rId18">
        <w:r>
          <w:rPr>
            <w:rStyle w:val="Hyperlink"/>
          </w:rPr>
          <w:t>Combining palaeontological and neontological data shows a delayed diversification burst of carcharhiniform sharks likely mediated by environmental change</w:t>
        </w:r>
      </w:hyperlink>
      <w:r>
        <w:rPr/>
        <w:t>. Scientific Reports 12:21906.</w:t>
      </w:r>
      <w:bookmarkEnd w:id="52"/>
    </w:p>
    <w:p>
      <w:pPr>
        <w:pStyle w:val="Bibliography"/>
        <w:rPr/>
      </w:pPr>
      <w:bookmarkStart w:id="53" w:name="ref-buffan2025"/>
      <w:r>
        <w:rPr/>
        <w:t xml:space="preserve">Buffan, L., F. L. Condamine, N. S. Stutz, F. Pujos, P.-O. Antoine, and L. Marivaux. 2025. </w:t>
      </w:r>
      <w:hyperlink r:id="rId19">
        <w:r>
          <w:rPr>
            <w:rStyle w:val="Hyperlink"/>
          </w:rPr>
          <w:t>The fate of south america’s endemic mammalian fauna in response to the most dramatic cenozoic climate disruption</w:t>
        </w:r>
      </w:hyperlink>
      <w:r>
        <w:rPr/>
        <w:t>. Proceedings of the National Academy of Sciences 122:e2419520122.</w:t>
      </w:r>
      <w:bookmarkEnd w:id="53"/>
    </w:p>
    <w:p>
      <w:pPr>
        <w:pStyle w:val="Bibliography"/>
        <w:rPr/>
      </w:pPr>
      <w:bookmarkStart w:id="54" w:name="ref-candela2005"/>
      <w:r>
        <w:rPr/>
        <w:t>Candela, A. M. 2005. Los roedores del mesopotamiense (mioceno tardí</w:t>
        <w:softHyphen/>
        <w:t>o, formación ituzaingó) de la provincia de entre rí</w:t>
        <w:softHyphen/>
        <w:t>os (argentina). Temas de la Biodiversidad del Litoral fluvial argentino II 37–48.</w:t>
      </w:r>
      <w:bookmarkEnd w:id="54"/>
    </w:p>
    <w:p>
      <w:pPr>
        <w:pStyle w:val="Bibliography"/>
        <w:rPr/>
      </w:pPr>
      <w:bookmarkStart w:id="55" w:name="ref-candela2013"/>
      <w:r>
        <w:rPr/>
        <w:t xml:space="preserve">Candela, A. M., G. H. Cassini, and N. L. Nasif. 2013. </w:t>
      </w:r>
      <w:hyperlink r:id="rId20">
        <w:r>
          <w:rPr>
            <w:rStyle w:val="Hyperlink"/>
          </w:rPr>
          <w:t>Fractal dimension and cheek teeth crown complexity in the giant rodent eumegamys paranensis</w:t>
        </w:r>
      </w:hyperlink>
      <w:r>
        <w:rPr/>
        <w:t>. Lethaia 46:369–377.</w:t>
      </w:r>
      <w:bookmarkEnd w:id="55"/>
    </w:p>
    <w:p>
      <w:pPr>
        <w:pStyle w:val="Bibliography"/>
        <w:rPr/>
      </w:pPr>
      <w:bookmarkStart w:id="56" w:name="ref-cantalapiedra2017"/>
      <w:r>
        <w:rPr/>
        <w:t xml:space="preserve">Cantalapiedra, J. L., J. L. Prado, M. Hernández Fernández, and M. T. Alberdi. 2017. </w:t>
      </w:r>
      <w:hyperlink r:id="rId21">
        <w:r>
          <w:rPr>
            <w:rStyle w:val="Hyperlink"/>
          </w:rPr>
          <w:t>Decoupled ecomorphological evolution and diversification in neogene-quaternary horses</w:t>
        </w:r>
      </w:hyperlink>
      <w:r>
        <w:rPr/>
        <w:t>. Science 355:627–630.</w:t>
      </w:r>
      <w:bookmarkEnd w:id="56"/>
    </w:p>
    <w:p>
      <w:pPr>
        <w:pStyle w:val="Bibliography"/>
        <w:rPr/>
      </w:pPr>
      <w:bookmarkStart w:id="57" w:name="ref-carrillo2026"/>
      <w:r>
        <w:rPr/>
        <w:t xml:space="preserve">Carrillo, J. D., M. F. Torres Jimenez, F. J. Urrea-Barreto, K. Pino, R. B. Cooper, A. Antonelli, C. D. Bacon, S. Faurby, and D. Silvestro. 2026. </w:t>
      </w:r>
      <w:hyperlink r:id="rId22">
        <w:r>
          <w:rPr>
            <w:rStyle w:val="Hyperlink"/>
          </w:rPr>
          <w:t>Decoupled diversity and disparity after faunistic turnover in caviomorph rodents</w:t>
        </w:r>
      </w:hyperlink>
      <w:r>
        <w:rPr/>
        <w:t>. Proceedings of the Royal Society B: Biological Sciences 293:20252586.</w:t>
      </w:r>
      <w:bookmarkEnd w:id="57"/>
    </w:p>
    <w:p>
      <w:pPr>
        <w:pStyle w:val="Bibliography"/>
        <w:rPr/>
      </w:pPr>
      <w:bookmarkStart w:id="58" w:name="ref-chiarenza2020"/>
      <w:r>
        <w:rPr/>
        <w:t xml:space="preserve">Chiarenza, A. A., A. Farnsworth, P. D. Mannion, D. J. Lunt, P. J. Valdes, J. V. Morgan, and P. A. Allison. 2020. </w:t>
      </w:r>
      <w:hyperlink r:id="rId23">
        <w:r>
          <w:rPr>
            <w:rStyle w:val="Hyperlink"/>
          </w:rPr>
          <w:t>Asteroid impact, not volcanism, caused the end-cretaceous dinosaur extinction</w:t>
        </w:r>
      </w:hyperlink>
      <w:r>
        <w:rPr/>
        <w:t>. Proceedings of the National Academy of Sciences 117:17084–17093.</w:t>
      </w:r>
      <w:bookmarkEnd w:id="58"/>
    </w:p>
    <w:p>
      <w:pPr>
        <w:pStyle w:val="Bibliography"/>
        <w:rPr/>
      </w:pPr>
      <w:bookmarkStart w:id="59" w:name="ref-clavel2017"/>
      <w:r>
        <w:rPr/>
        <w:t xml:space="preserve">Clavel, J., and H. Morlon. 2017. </w:t>
      </w:r>
      <w:hyperlink r:id="rId24">
        <w:r>
          <w:rPr>
            <w:rStyle w:val="Hyperlink"/>
          </w:rPr>
          <w:t>Accelerated body size evolution during cold climatic periods in the cenozoic</w:t>
        </w:r>
      </w:hyperlink>
      <w:r>
        <w:rPr/>
        <w:t>. Proceedings of the National Academy of Sciences 114:4183–4188.</w:t>
      </w:r>
      <w:bookmarkEnd w:id="59"/>
    </w:p>
    <w:p>
      <w:pPr>
        <w:pStyle w:val="Bibliography"/>
        <w:rPr/>
      </w:pPr>
      <w:bookmarkStart w:id="60" w:name="ref-cohen2025"/>
      <w:r>
        <w:rPr/>
        <w:t xml:space="preserve">Cohen, K., D. Harper, P. Gibbard, and N. Car. 2025. </w:t>
      </w:r>
      <w:hyperlink r:id="rId25">
        <w:r>
          <w:rPr>
            <w:rStyle w:val="Hyperlink"/>
          </w:rPr>
          <w:t>The ICS international chronostratigraphic chart this decade</w:t>
        </w:r>
      </w:hyperlink>
      <w:r>
        <w:rPr/>
        <w:t>. Episodes Journal of International Geoscience 48:105–115.</w:t>
      </w:r>
      <w:bookmarkEnd w:id="60"/>
    </w:p>
    <w:p>
      <w:pPr>
        <w:pStyle w:val="Bibliography"/>
        <w:rPr/>
      </w:pPr>
      <w:bookmarkStart w:id="61" w:name="ref-condamine2018"/>
      <w:r>
        <w:rPr/>
        <w:t xml:space="preserve">Condamine, F. L., J. Rolland, S. Höhna, F. A. H. Sperling, and I. Sanmartín. 2018. </w:t>
      </w:r>
      <w:hyperlink r:id="rId26">
        <w:r>
          <w:rPr>
            <w:rStyle w:val="Hyperlink"/>
          </w:rPr>
          <w:t>Testing the role of the red queen and court jester as drivers of the macroevolution of apollo butterflies</w:t>
        </w:r>
      </w:hyperlink>
      <w:r>
        <w:rPr/>
        <w:t>. Systematic Biology 67:940–964.</w:t>
      </w:r>
      <w:bookmarkEnd w:id="61"/>
    </w:p>
    <w:p>
      <w:pPr>
        <w:pStyle w:val="Bibliography"/>
        <w:rPr/>
      </w:pPr>
      <w:bookmarkStart w:id="62" w:name="ref-condamine2019"/>
      <w:r>
        <w:rPr/>
        <w:t xml:space="preserve">Condamine, F. L., J. Rolland, and H. Morlon. 2019. </w:t>
      </w:r>
      <w:hyperlink r:id="rId27">
        <w:r>
          <w:rPr>
            <w:rStyle w:val="Hyperlink"/>
          </w:rPr>
          <w:t>Assessing the causes of diversification slowdowns: temperature-dependent and diversity-dependent models receive equivalent support</w:t>
        </w:r>
      </w:hyperlink>
      <w:r>
        <w:rPr/>
        <w:t>. Ecology Letters 22:1900–1912.</w:t>
      </w:r>
      <w:bookmarkEnd w:id="62"/>
    </w:p>
    <w:p>
      <w:pPr>
        <w:pStyle w:val="Bibliography"/>
        <w:rPr/>
      </w:pPr>
      <w:bookmarkStart w:id="63" w:name="ref-condamine2020"/>
      <w:r>
        <w:rPr/>
        <w:t xml:space="preserve">Condamine, F. L., D. Silvestro, E. B. Koppelhus, and A. Antonelli. 2020. </w:t>
      </w:r>
      <w:hyperlink r:id="rId28">
        <w:r>
          <w:rPr>
            <w:rStyle w:val="Hyperlink"/>
          </w:rPr>
          <w:t>The rise of angiosperms pushed conifers to decline during global cooling</w:t>
        </w:r>
      </w:hyperlink>
      <w:r>
        <w:rPr/>
        <w:t>. Proceedings of the National Academy of Sciences 117:28867–28875.</w:t>
      </w:r>
      <w:bookmarkEnd w:id="63"/>
    </w:p>
    <w:p>
      <w:pPr>
        <w:pStyle w:val="Bibliography"/>
        <w:rPr/>
      </w:pPr>
      <w:bookmarkStart w:id="64" w:name="ref-cooney2021"/>
      <w:r>
        <w:rPr/>
        <w:t xml:space="preserve">Cooney, C. R., and G. H. Thomas. 2021. </w:t>
      </w:r>
      <w:hyperlink r:id="rId29">
        <w:r>
          <w:rPr>
            <w:rStyle w:val="Hyperlink"/>
          </w:rPr>
          <w:t>Heterogeneous relationships between rates of speciation and body size evolution across vertebrate clades</w:t>
        </w:r>
      </w:hyperlink>
      <w:r>
        <w:rPr/>
        <w:t>. Nature Ecology &amp; Evolution 5:101–110.</w:t>
      </w:r>
      <w:bookmarkEnd w:id="64"/>
    </w:p>
    <w:p>
      <w:pPr>
        <w:pStyle w:val="Bibliography"/>
        <w:rPr/>
      </w:pPr>
      <w:bookmarkStart w:id="65" w:name="ref-cooper2025"/>
      <w:r>
        <w:rPr/>
        <w:t xml:space="preserve">Cooper, R. B., B. J. Allen, and D. Silvestro. 2025. </w:t>
      </w:r>
      <w:hyperlink r:id="rId30">
        <w:r>
          <w:rPr>
            <w:rStyle w:val="Hyperlink"/>
          </w:rPr>
          <w:t>DeepDiveRA software for deep learning estimation of palaeodiversity from fossil occurrences</w:t>
        </w:r>
      </w:hyperlink>
      <w:r>
        <w:rPr/>
        <w:t>. Methods in Ecology and Evolution 16:1923–1934.</w:t>
      </w:r>
      <w:bookmarkEnd w:id="65"/>
    </w:p>
    <w:p>
      <w:pPr>
        <w:pStyle w:val="Bibliography"/>
        <w:rPr/>
      </w:pPr>
      <w:bookmarkStart w:id="66" w:name="ref-cooper2024"/>
      <w:r>
        <w:rPr/>
        <w:t xml:space="preserve">Cooper, R. B., J. T. Flannery-Sutherland, and D. Silvestro. 2024. </w:t>
      </w:r>
      <w:hyperlink r:id="rId31">
        <w:r>
          <w:rPr>
            <w:rStyle w:val="Hyperlink"/>
          </w:rPr>
          <w:t>DeepDive: estimating global biodiversity patterns through time using deep learning</w:t>
        </w:r>
      </w:hyperlink>
      <w:r>
        <w:rPr/>
        <w:t>. Nature Communications 15:4199.</w:t>
      </w:r>
      <w:bookmarkEnd w:id="66"/>
    </w:p>
    <w:p>
      <w:pPr>
        <w:pStyle w:val="Bibliography"/>
        <w:rPr/>
      </w:pPr>
      <w:bookmarkStart w:id="67" w:name="ref-cope1896"/>
      <w:r>
        <w:rPr/>
        <w:t>Cope, E. D. 1896. The primary factors of organic evolution. The Open Court Publishing Company.</w:t>
      </w:r>
      <w:bookmarkEnd w:id="67"/>
    </w:p>
    <w:p>
      <w:pPr>
        <w:pStyle w:val="Bibliography"/>
        <w:rPr/>
      </w:pPr>
      <w:bookmarkStart w:id="68" w:name="ref-croft2020"/>
      <w:r>
        <w:rPr/>
        <w:t xml:space="preserve">Croft, D. A., J. N. Gelfo, and G. M. López. 2020. </w:t>
      </w:r>
      <w:hyperlink r:id="rId32">
        <w:r>
          <w:rPr>
            <w:rStyle w:val="Hyperlink"/>
          </w:rPr>
          <w:t>Splendid innovation: The extinct south american native ungulates</w:t>
        </w:r>
      </w:hyperlink>
      <w:r>
        <w:rPr/>
        <w:t>. Annual Review of Earth and Planetary Sciences 48:259–290.</w:t>
      </w:r>
      <w:bookmarkEnd w:id="68"/>
    </w:p>
    <w:p>
      <w:pPr>
        <w:pStyle w:val="Bibliography"/>
        <w:rPr/>
      </w:pPr>
      <w:bookmarkStart w:id="69" w:name="ref-cuitiño2021"/>
      <w:r>
        <w:rPr/>
        <w:t xml:space="preserve">Cuitiño, J. I., M. Sol Raigemborn, M. Susana Bargo, S. F. Vizcaíno, N. A. Muñoz, M. J. Kohn, and R. F. Kay. 2021. </w:t>
      </w:r>
      <w:hyperlink r:id="rId33">
        <w:r>
          <w:rPr>
            <w:rStyle w:val="Hyperlink"/>
          </w:rPr>
          <w:t>Insights on the controls on floodplain-dominated fluvial successions: A perspective from the earlymiddle miocene santa cruz formation in río chalía (patagonia, argentina)</w:t>
        </w:r>
      </w:hyperlink>
      <w:r>
        <w:rPr/>
        <w:t>. Journal of the Geological Society 178:jgs2020–188.</w:t>
      </w:r>
      <w:bookmarkEnd w:id="69"/>
    </w:p>
    <w:p>
      <w:pPr>
        <w:pStyle w:val="Bibliography"/>
        <w:rPr/>
      </w:pPr>
      <w:bookmarkStart w:id="70" w:name="ref-dacunha2023"/>
      <w:r>
        <w:rPr/>
        <w:t xml:space="preserve">Da Cunha, L., L. W. Viñola-López, R. D. E. MacPhee, L. Kerber, J. Vélez-Juarbe, P.-O. Antoine, M. Boivin, L. Hautier, R. Lebrun, L. Marivaux, and P.-H. Fabre. 2023. </w:t>
      </w:r>
      <w:hyperlink r:id="rId34">
        <w:r>
          <w:rPr>
            <w:rStyle w:val="Hyperlink"/>
          </w:rPr>
          <w:t>The inner ear of caviomorph rodents: Phylogenetic implications and application to extinct West Indian taxa</w:t>
        </w:r>
      </w:hyperlink>
      <w:r>
        <w:rPr/>
        <w:t>. Journal of Mammalian Evolution 30:1155–1176.</w:t>
      </w:r>
      <w:bookmarkEnd w:id="70"/>
    </w:p>
    <w:p>
      <w:pPr>
        <w:pStyle w:val="Bibliography"/>
        <w:rPr/>
      </w:pPr>
      <w:bookmarkStart w:id="71" w:name="ref-drury2016"/>
      <w:r>
        <w:rPr/>
        <w:t xml:space="preserve">Drury, J., J. Clavel, M. Manceau, and H. Morlon. 2016. </w:t>
      </w:r>
      <w:hyperlink r:id="rId35">
        <w:r>
          <w:rPr>
            <w:rStyle w:val="Hyperlink"/>
          </w:rPr>
          <w:t>Estimating the effect of competition on trait evolution using maximum likelihood inference</w:t>
        </w:r>
      </w:hyperlink>
      <w:r>
        <w:rPr/>
        <w:t>. Systematic Biology 65:700–710.</w:t>
      </w:r>
      <w:bookmarkEnd w:id="71"/>
    </w:p>
    <w:p>
      <w:pPr>
        <w:pStyle w:val="Bibliography"/>
        <w:rPr/>
      </w:pPr>
      <w:bookmarkStart w:id="72" w:name="ref-dunn2013"/>
      <w:r>
        <w:rPr/>
        <w:t xml:space="preserve">Dunn, R. E., R. H. Madden, M. J. Kohn, M. D. Schmitz, C. A. E. Strömberg, A. A. Carlini, G. H. Ré, and J. Crowley. 2013. </w:t>
      </w:r>
      <w:hyperlink r:id="rId36">
        <w:r>
          <w:rPr>
            <w:rStyle w:val="Hyperlink"/>
          </w:rPr>
          <w:t>A new chronology for middle eoceneearly miocene south american land mammal ages</w:t>
        </w:r>
      </w:hyperlink>
      <w:r>
        <w:rPr/>
        <w:t>. GSA Bulletin 125:539–555.</w:t>
      </w:r>
      <w:bookmarkEnd w:id="72"/>
    </w:p>
    <w:p>
      <w:pPr>
        <w:pStyle w:val="Bibliography"/>
        <w:rPr/>
      </w:pPr>
      <w:bookmarkStart w:id="73" w:name="ref-esteve2025"/>
      <w:r>
        <w:rPr/>
        <w:t xml:space="preserve">Esteve, J. 2025. </w:t>
      </w:r>
      <w:hyperlink r:id="rId37">
        <w:r>
          <w:rPr>
            <w:rStyle w:val="Hyperlink"/>
          </w:rPr>
          <w:t>When extinction expands morphospace: Lessons from trilobites</w:t>
        </w:r>
      </w:hyperlink>
      <w:r>
        <w:rPr/>
        <w:t>. Proceedings of the Royal Society B: Biological Sciences 292:20252245.</w:t>
      </w:r>
      <w:bookmarkEnd w:id="73"/>
    </w:p>
    <w:p>
      <w:pPr>
        <w:pStyle w:val="Bibliography"/>
        <w:rPr/>
      </w:pPr>
      <w:bookmarkStart w:id="74" w:name="ref-etienne2011"/>
      <w:r>
        <w:rPr/>
        <w:t xml:space="preserve">Etienne, R. S., B. Haegeman, T. Stadler, T. Aze, P. N. Pearson, A. Purvis, and A. B. Phillimore. 2011. </w:t>
      </w:r>
      <w:hyperlink r:id="rId38">
        <w:r>
          <w:rPr>
            <w:rStyle w:val="Hyperlink"/>
          </w:rPr>
          <w:t>Diversity-dependence brings molecular phylogenies closer to agreement with the fossil record</w:t>
        </w:r>
      </w:hyperlink>
      <w:r>
        <w:rPr/>
        <w:t>. Proceedings of the Royal Society B: Biological Sciences 279:1300–1309.</w:t>
      </w:r>
      <w:bookmarkEnd w:id="74"/>
    </w:p>
    <w:p>
      <w:pPr>
        <w:pStyle w:val="Bibliography"/>
        <w:rPr/>
      </w:pPr>
      <w:bookmarkStart w:id="75" w:name="ref-felsenstein1985"/>
      <w:r>
        <w:rPr/>
        <w:t xml:space="preserve">Felsenstein, J. 1985. </w:t>
      </w:r>
      <w:hyperlink r:id="rId39">
        <w:r>
          <w:rPr>
            <w:rStyle w:val="Hyperlink"/>
          </w:rPr>
          <w:t>Phylogenies and the comparative method</w:t>
        </w:r>
      </w:hyperlink>
      <w:r>
        <w:rPr/>
        <w:t>. The American Naturalist 125:1–15.</w:t>
      </w:r>
      <w:bookmarkEnd w:id="75"/>
    </w:p>
    <w:p>
      <w:pPr>
        <w:pStyle w:val="Bibliography"/>
        <w:rPr/>
      </w:pPr>
      <w:bookmarkStart w:id="76" w:name="ref-fernicola2019"/>
      <w:r>
        <w:rPr/>
        <w:t xml:space="preserve">Fernicola, J. C., S. F. Vizcaíno, M. S. Bargo, R. F. Kay, and J. I. Cuitiño. 2019. </w:t>
      </w:r>
      <w:hyperlink r:id="rId40">
        <w:r>
          <w:rPr>
            <w:rStyle w:val="Hyperlink"/>
          </w:rPr>
          <w:t>Analysis of the EarlyMiddle Miocene mammal associations at the río Santa Cruz (Patagonia, Argentina)</w:t>
        </w:r>
      </w:hyperlink>
      <w:r>
        <w:rPr/>
        <w:t>. Publicación Electrónica de la Asociación Paleontológica Argentina 19.</w:t>
      </w:r>
      <w:bookmarkEnd w:id="76"/>
    </w:p>
    <w:p>
      <w:pPr>
        <w:pStyle w:val="Bibliography"/>
        <w:rPr/>
      </w:pPr>
      <w:bookmarkStart w:id="77" w:name="ref-flannery-sutherland2022"/>
      <w:r>
        <w:rPr/>
        <w:t xml:space="preserve">Flannery-Sutherland, J. T., D. Silvestro, and M. J. Benton. 2022. </w:t>
      </w:r>
      <w:hyperlink r:id="rId41">
        <w:r>
          <w:rPr>
            <w:rStyle w:val="Hyperlink"/>
          </w:rPr>
          <w:t>Global diversity dynamics in the fossil record are regionally heterogeneous</w:t>
        </w:r>
      </w:hyperlink>
      <w:r>
        <w:rPr/>
        <w:t>. Nature Communications 13:2751.</w:t>
      </w:r>
      <w:bookmarkEnd w:id="77"/>
    </w:p>
    <w:p>
      <w:pPr>
        <w:pStyle w:val="Bibliography"/>
        <w:rPr/>
      </w:pPr>
      <w:bookmarkStart w:id="78" w:name="ref-foote1993"/>
      <w:r>
        <w:rPr/>
        <w:t xml:space="preserve">Foote, M. 1993. </w:t>
      </w:r>
      <w:hyperlink r:id="rId42">
        <w:r>
          <w:rPr>
            <w:rStyle w:val="Hyperlink"/>
          </w:rPr>
          <w:t>Discordance and concordance between morphological and taxonomic diversity</w:t>
        </w:r>
      </w:hyperlink>
      <w:r>
        <w:rPr/>
        <w:t>. Paleobiology 19:185–204.</w:t>
      </w:r>
      <w:bookmarkEnd w:id="78"/>
    </w:p>
    <w:p>
      <w:pPr>
        <w:pStyle w:val="Bibliography"/>
        <w:rPr/>
      </w:pPr>
      <w:bookmarkStart w:id="79" w:name="ref-gould1977"/>
      <w:r>
        <w:rPr/>
        <w:t xml:space="preserve">Gould, S. J., and N. Eldredge. 1977. </w:t>
      </w:r>
      <w:hyperlink r:id="rId43">
        <w:r>
          <w:rPr>
            <w:rStyle w:val="Hyperlink"/>
          </w:rPr>
          <w:t>Punctuated equilibria: the tempo and mode of evolution reconsidered</w:t>
        </w:r>
      </w:hyperlink>
      <w:r>
        <w:rPr/>
        <w:t>. Paleobiology 3:115–151.</w:t>
      </w:r>
      <w:bookmarkEnd w:id="79"/>
    </w:p>
    <w:p>
      <w:pPr>
        <w:pStyle w:val="Bibliography"/>
        <w:rPr/>
      </w:pPr>
      <w:bookmarkStart w:id="80" w:name="ref-guayasamin2024"/>
      <w:r>
        <w:rPr/>
        <w:t xml:space="preserve">Guayasamin, J. M., C. C. Ribas, A. C. Carnaval, J. D. Carrillo, C. Hoorn, L. G. Lohmann, D. Riff, C. Ulloa Ulloa, and J. S. Albert. 2024. </w:t>
      </w:r>
      <w:hyperlink r:id="rId44">
        <w:r>
          <w:rPr>
            <w:rStyle w:val="Hyperlink"/>
          </w:rPr>
          <w:t>Evolution of Amazonian biodiversity: A review</w:t>
        </w:r>
      </w:hyperlink>
      <w:r>
        <w:rPr/>
        <w:t>. Acta Amazonica 54:e54bc21360.</w:t>
      </w:r>
      <w:bookmarkEnd w:id="80"/>
    </w:p>
    <w:p>
      <w:pPr>
        <w:pStyle w:val="Bibliography"/>
        <w:rPr/>
      </w:pPr>
      <w:bookmarkStart w:id="81" w:name="ref-hagen2018"/>
      <w:r>
        <w:rPr/>
        <w:t xml:space="preserve">Hagen, O., T. Andermann, T. B. Quental, A. Antonelli, and D. Silvestro. 2018. </w:t>
      </w:r>
      <w:hyperlink r:id="rId45">
        <w:r>
          <w:rPr>
            <w:rStyle w:val="Hyperlink"/>
          </w:rPr>
          <w:t>Estimating age-dependent extinction: Contrasting evidence from fossils and phylogenies</w:t>
        </w:r>
      </w:hyperlink>
      <w:r>
        <w:rPr/>
        <w:t>. Systematic Biology 67:458–474.</w:t>
      </w:r>
      <w:bookmarkEnd w:id="81"/>
    </w:p>
    <w:p>
      <w:pPr>
        <w:pStyle w:val="Bibliography"/>
        <w:rPr/>
      </w:pPr>
      <w:bookmarkStart w:id="82" w:name="ref-hauffe2024"/>
      <w:r>
        <w:rPr/>
        <w:t xml:space="preserve">Hauffe, T., J. L. Cantalapiedra, and D. Silvestro. 2024. </w:t>
      </w:r>
      <w:hyperlink r:id="rId46">
        <w:r>
          <w:rPr>
            <w:rStyle w:val="Hyperlink"/>
          </w:rPr>
          <w:t>Trait-mediated speciation and human-driven extinctions in proboscideans revealed by unsupervised bayesian neural networks</w:t>
        </w:r>
      </w:hyperlink>
      <w:r>
        <w:rPr/>
        <w:t>. Science Advances 10:eadl2643. American Association for the Advancement of Science.</w:t>
      </w:r>
      <w:bookmarkEnd w:id="82"/>
    </w:p>
    <w:p>
      <w:pPr>
        <w:pStyle w:val="Bibliography"/>
        <w:rPr/>
      </w:pPr>
      <w:bookmarkStart w:id="83" w:name="ref-hernández2005"/>
      <w:r>
        <w:rPr/>
        <w:t xml:space="preserve">Hernández, R. M., T. E. Jordan, A. Dalenz Farjat, L. Echavarría, B. D. Idleman, and J. H. Reynolds. 2005. </w:t>
      </w:r>
      <w:hyperlink r:id="rId47">
        <w:r>
          <w:rPr>
            <w:rStyle w:val="Hyperlink"/>
          </w:rPr>
          <w:t>Age, distribution, tectonics, and eustatic controls of the paranense and caribbean marine transgressions in southern bolivia and argentina</w:t>
        </w:r>
      </w:hyperlink>
      <w:r>
        <w:rPr/>
        <w:t>. Journal of South American Earth Sciences 19:495–512.</w:t>
      </w:r>
      <w:bookmarkEnd w:id="83"/>
    </w:p>
    <w:p>
      <w:pPr>
        <w:pStyle w:val="Bibliography"/>
        <w:rPr/>
      </w:pPr>
      <w:bookmarkStart w:id="84" w:name="ref-hoorn2022"/>
      <w:r>
        <w:rPr/>
        <w:t xml:space="preserve">Hoorn, C., L. M. Boschman, T. Kukla, M. Sciumbata, and P. Val. 2022. </w:t>
      </w:r>
      <w:hyperlink r:id="rId48">
        <w:r>
          <w:rPr>
            <w:rStyle w:val="Hyperlink"/>
          </w:rPr>
          <w:t>The miocene wetland of western amazonia and its role in neotropical biogeography</w:t>
        </w:r>
      </w:hyperlink>
      <w:r>
        <w:rPr/>
        <w:t>. Botanical Journal of the Linnean Society 199:25–35.</w:t>
      </w:r>
      <w:bookmarkEnd w:id="84"/>
    </w:p>
    <w:p>
      <w:pPr>
        <w:pStyle w:val="Bibliography"/>
        <w:rPr/>
      </w:pPr>
      <w:bookmarkStart w:id="85" w:name="ref-hoorn1995"/>
      <w:r>
        <w:rPr/>
        <w:t xml:space="preserve">Hoorn, C., J. Guerrero, G. A. Sarmiento, and M. A. Lorente. 1995. </w:t>
      </w:r>
      <w:hyperlink r:id="rId49">
        <w:r>
          <w:rPr>
            <w:rStyle w:val="Hyperlink"/>
          </w:rPr>
          <w:t>Andean tectonics as a cause for changing drainage patterns in Miocene northern South America</w:t>
        </w:r>
      </w:hyperlink>
      <w:r>
        <w:rPr/>
        <w:t>. Geology 23:237.</w:t>
      </w:r>
      <w:bookmarkEnd w:id="85"/>
    </w:p>
    <w:p>
      <w:pPr>
        <w:pStyle w:val="Bibliography"/>
        <w:rPr/>
      </w:pPr>
      <w:bookmarkStart w:id="86" w:name="ref-hoorn2010"/>
      <w:r>
        <w:rPr/>
        <w:t xml:space="preserve">Hoorn, C., F. P. Wesselingh, H. ter Steege, M. A. Bermudez, A. Mora, J. Sevink, I. Sanmartín, A. Sanchez-Meseguer, C. L. Anderson, J. P. Figueiredo, C. Jaramillo, D. Riff, F. R. Negri, H. Hooghiemstra, J. Lundberg, T. Stadler, T. Särkinen, and A. Antonelli. 2010. </w:t>
      </w:r>
      <w:hyperlink r:id="rId50">
        <w:r>
          <w:rPr>
            <w:rStyle w:val="Hyperlink"/>
          </w:rPr>
          <w:t>Amazonia through time: Andean uplift, climate change, landscape evolution, and biodiversity</w:t>
        </w:r>
      </w:hyperlink>
      <w:r>
        <w:rPr/>
        <w:t>. Science 330:927–931.</w:t>
      </w:r>
      <w:bookmarkEnd w:id="86"/>
    </w:p>
    <w:p>
      <w:pPr>
        <w:pStyle w:val="Bibliography"/>
        <w:rPr/>
      </w:pPr>
      <w:bookmarkStart w:id="87" w:name="ref-hughes2013"/>
      <w:r>
        <w:rPr/>
        <w:t xml:space="preserve">Hughes, M., S. Gerber, and M. A. Wills. 2013. </w:t>
      </w:r>
      <w:hyperlink r:id="rId51">
        <w:r>
          <w:rPr>
            <w:rStyle w:val="Hyperlink"/>
          </w:rPr>
          <w:t>Clades reach highest morphological disparity early in their evolution</w:t>
        </w:r>
      </w:hyperlink>
      <w:r>
        <w:rPr/>
        <w:t>. Proceedings of the National Academy of Sciences 110:13875–13879.</w:t>
      </w:r>
      <w:bookmarkEnd w:id="87"/>
    </w:p>
    <w:p>
      <w:pPr>
        <w:pStyle w:val="Bibliography"/>
        <w:rPr/>
      </w:pPr>
      <w:bookmarkStart w:id="88" w:name="ref-hullot2025"/>
      <w:r>
        <w:rPr/>
        <w:t xml:space="preserve">Hullot, M., C. Robinet, Q. Vautrin, R. Tabuce, P.-O. Antoine, G. Merceron, and F. Lihoreau. 2025. </w:t>
      </w:r>
      <w:hyperlink r:id="rId52">
        <w:r>
          <w:rPr>
            <w:rStyle w:val="Hyperlink"/>
          </w:rPr>
          <w:t>Evolution of dietary preferences of the lophiodontidae (mammalia, perissodactyla) from southern france</w:t>
        </w:r>
      </w:hyperlink>
      <w:r>
        <w:rPr/>
        <w:t>. Palaeogeography, Palaeoclimatology, Palaeoecology 675:113076.</w:t>
      </w:r>
      <w:bookmarkEnd w:id="88"/>
    </w:p>
    <w:p>
      <w:pPr>
        <w:pStyle w:val="Bibliography"/>
        <w:rPr/>
      </w:pPr>
      <w:bookmarkStart w:id="89" w:name="ref-jablonski2017"/>
      <w:r>
        <w:rPr/>
        <w:t xml:space="preserve">Jablonski, D. 2017. </w:t>
      </w:r>
      <w:hyperlink r:id="rId53">
        <w:r>
          <w:rPr>
            <w:rStyle w:val="Hyperlink"/>
          </w:rPr>
          <w:t>Approaches to Macroevolution: 2. Sorting of Variation, Some Overarching Issues, and General Conclusions</w:t>
        </w:r>
      </w:hyperlink>
      <w:r>
        <w:rPr/>
        <w:t>. Evolutionary Biology 44:451–475.</w:t>
      </w:r>
      <w:bookmarkEnd w:id="89"/>
    </w:p>
    <w:p>
      <w:pPr>
        <w:pStyle w:val="Bibliography"/>
        <w:rPr/>
      </w:pPr>
      <w:bookmarkStart w:id="90" w:name="ref-janis1988"/>
      <w:r>
        <w:rPr/>
        <w:t>Janis, C. M. 1988. An estimation of tooth volume and hypsodonty indices in ungulate mammals, and the correlation of these factors with dietary preferences. Mémoires du Moséum d’Histoire Naturelle de Paris 367–387.</w:t>
      </w:r>
      <w:bookmarkEnd w:id="90"/>
    </w:p>
    <w:p>
      <w:pPr>
        <w:pStyle w:val="Bibliography"/>
        <w:rPr/>
      </w:pPr>
      <w:bookmarkStart w:id="91" w:name="ref-jaramillo2017"/>
      <w:r>
        <w:rPr/>
        <w:t xml:space="preserve">Jaramillo, C., I. Romero, C. D’Apolito, G. Bayona, E. Duarte, S. Louwye, J. Escobar, J. Luque, J. D. Carrillo-Briceño, V. Zapata, A. Mora, S. Schouten, M. Zavada, G. Harrington, J. Ortiz, and F. P. Wesselingh. 2017. </w:t>
      </w:r>
      <w:hyperlink r:id="rId54">
        <w:r>
          <w:rPr>
            <w:rStyle w:val="Hyperlink"/>
          </w:rPr>
          <w:t>Miocene flooding events of western amazonia</w:t>
        </w:r>
      </w:hyperlink>
      <w:r>
        <w:rPr/>
        <w:t>. Science Advances 3:e1601693.</w:t>
      </w:r>
      <w:bookmarkEnd w:id="91"/>
    </w:p>
    <w:p>
      <w:pPr>
        <w:pStyle w:val="Bibliography"/>
        <w:rPr/>
      </w:pPr>
      <w:bookmarkStart w:id="92" w:name="ref-jardine2012"/>
      <w:r>
        <w:rPr/>
        <w:t xml:space="preserve">Jardine, P. E., C. M. Janis, S. Sahney, and M. J. Benton. 2012. </w:t>
      </w:r>
      <w:hyperlink r:id="rId55">
        <w:r>
          <w:rPr>
            <w:rStyle w:val="Hyperlink"/>
          </w:rPr>
          <w:t>Grit not grass: Concordant patterns of early origin of hypsodonty in great plains ungulates and glires</w:t>
        </w:r>
      </w:hyperlink>
      <w:r>
        <w:rPr/>
        <w:t>. Palaeogeography, Palaeoclimatology, Palaeoecology 365-366:1–10.</w:t>
      </w:r>
      <w:bookmarkEnd w:id="92"/>
    </w:p>
    <w:p>
      <w:pPr>
        <w:pStyle w:val="Bibliography"/>
        <w:rPr/>
      </w:pPr>
      <w:bookmarkStart w:id="93" w:name="ref-jouault_ants_2024"/>
      <w:r>
        <w:rPr/>
        <w:t xml:space="preserve">Jouault, C., F. L. Condamine, F. Legendre, and V. Perrichot. 2024. </w:t>
      </w:r>
      <w:hyperlink r:id="rId56">
        <w:r>
          <w:rPr>
            <w:rStyle w:val="Hyperlink"/>
          </w:rPr>
          <w:t>The angiosperm terrestrial revolution buffered ants against extinction</w:t>
        </w:r>
      </w:hyperlink>
      <w:r>
        <w:rPr/>
        <w:t>. Proc. Nat. Acad. Sc. U.S.A 121:e2317795121. Proceedings of the National Academy of Sciences.</w:t>
      </w:r>
      <w:bookmarkEnd w:id="93"/>
    </w:p>
    <w:p>
      <w:pPr>
        <w:pStyle w:val="Bibliography"/>
        <w:rPr/>
      </w:pPr>
      <w:bookmarkStart w:id="94" w:name="ref-kass1995"/>
      <w:r>
        <w:rPr/>
        <w:t xml:space="preserve">Kass, R. E., and A. E. Raftery. 1995. </w:t>
      </w:r>
      <w:hyperlink r:id="rId57">
        <w:r>
          <w:rPr>
            <w:rStyle w:val="Hyperlink"/>
          </w:rPr>
          <w:t>Bayes factors</w:t>
        </w:r>
      </w:hyperlink>
      <w:r>
        <w:rPr/>
        <w:t>. Journal of the American Statistical Association 90:773–795.</w:t>
      </w:r>
      <w:bookmarkEnd w:id="94"/>
    </w:p>
    <w:p>
      <w:pPr>
        <w:pStyle w:val="Bibliography"/>
        <w:rPr/>
      </w:pPr>
      <w:bookmarkStart w:id="95" w:name="ref-lehtonen2017"/>
      <w:r>
        <w:rPr/>
        <w:t xml:space="preserve">Lehtonen, S., D. Silvestro, D. N. Karger, C. Scotese, H. Tuomisto, M. Kessler, C. Peña, N. Wahlberg, and A. Antonelli. 2017. </w:t>
      </w:r>
      <w:hyperlink r:id="rId58">
        <w:r>
          <w:rPr>
            <w:rStyle w:val="Hyperlink"/>
          </w:rPr>
          <w:t>Environmentally driven extinction and opportunistic origination explain fern diversification patterns</w:t>
        </w:r>
      </w:hyperlink>
      <w:r>
        <w:rPr/>
        <w:t>. Scientific Reports 7:4831.</w:t>
      </w:r>
      <w:bookmarkEnd w:id="95"/>
    </w:p>
    <w:p>
      <w:pPr>
        <w:pStyle w:val="Bibliography"/>
        <w:rPr/>
      </w:pPr>
      <w:bookmarkStart w:id="96" w:name="ref-liow2008"/>
      <w:r>
        <w:rPr/>
        <w:t xml:space="preserve">Liow, L. H., M. Fortelius, E. Bingham, K. Lintulaakso, H. Mannila, L. Flynn, and N. Chr. Stenseth. 2008. </w:t>
      </w:r>
      <w:hyperlink r:id="rId59">
        <w:r>
          <w:rPr>
            <w:rStyle w:val="Hyperlink"/>
          </w:rPr>
          <w:t>Higher origination and extinction rates in larger mammals</w:t>
        </w:r>
      </w:hyperlink>
      <w:r>
        <w:rPr/>
        <w:t>. Proceedings of the National Academy of Sciences 105:6097–6102.</w:t>
      </w:r>
      <w:bookmarkEnd w:id="96"/>
    </w:p>
    <w:p>
      <w:pPr>
        <w:pStyle w:val="Bibliography"/>
        <w:rPr/>
      </w:pPr>
      <w:bookmarkStart w:id="97" w:name="ref-liow2010"/>
      <w:r>
        <w:rPr/>
        <w:t xml:space="preserve">Liow, L. H., T. B. Quental, and C. R. Marshall. 2010. </w:t>
      </w:r>
      <w:hyperlink r:id="rId60">
        <w:r>
          <w:rPr>
            <w:rStyle w:val="Hyperlink"/>
          </w:rPr>
          <w:t>When can decreasing diversification rates be detected with molecular phylogenies and the fossil record?</w:t>
        </w:r>
      </w:hyperlink>
      <w:r>
        <w:rPr/>
        <w:t xml:space="preserve"> Systematic Biology 59:646–659.</w:t>
      </w:r>
      <w:bookmarkEnd w:id="97"/>
    </w:p>
    <w:p>
      <w:pPr>
        <w:pStyle w:val="Bibliography"/>
        <w:rPr/>
      </w:pPr>
      <w:bookmarkStart w:id="98" w:name="ref-macfadden2000"/>
      <w:r>
        <w:rPr/>
        <w:t xml:space="preserve">MacFadden, B. J. 2000. </w:t>
      </w:r>
      <w:hyperlink r:id="rId61">
        <w:r>
          <w:rPr>
            <w:rStyle w:val="Hyperlink"/>
          </w:rPr>
          <w:t>Cenozoic mammalian herbivores from the americas: Reconstructing ancient diets and terrestrial communities</w:t>
        </w:r>
      </w:hyperlink>
      <w:r>
        <w:rPr/>
        <w:t>. Annual Review of Ecology and Systematics 31:33–59.</w:t>
      </w:r>
      <w:bookmarkEnd w:id="98"/>
    </w:p>
    <w:p>
      <w:pPr>
        <w:pStyle w:val="Bibliography"/>
        <w:rPr/>
      </w:pPr>
      <w:bookmarkStart w:id="99" w:name="ref-macphee2011"/>
      <w:r>
        <w:rPr/>
        <w:t xml:space="preserve">MacPhee, R. D. E. 2011. </w:t>
      </w:r>
      <w:hyperlink r:id="rId62">
        <w:r>
          <w:rPr>
            <w:rStyle w:val="Hyperlink"/>
          </w:rPr>
          <w:t>Basicranial morphology and relationships of antillean heptaxodontidae (rodentia, ctenohystrica, caviomorpha)</w:t>
        </w:r>
      </w:hyperlink>
      <w:r>
        <w:rPr/>
        <w:t>. Bulletin of the American Museum of Natural History 2011:1–70.</w:t>
      </w:r>
      <w:bookmarkEnd w:id="99"/>
    </w:p>
    <w:p>
      <w:pPr>
        <w:pStyle w:val="Bibliography"/>
        <w:rPr/>
      </w:pPr>
      <w:bookmarkStart w:id="100" w:name="ref-maestri2017"/>
      <w:r>
        <w:rPr/>
        <w:t xml:space="preserve">Maestri, R., L. R. Monteiro, R. Fornel, N. S. Upham, B. D. Patterson, and T. R. O. de Freitas. 2017. </w:t>
      </w:r>
      <w:hyperlink r:id="rId63">
        <w:r>
          <w:rPr>
            <w:rStyle w:val="Hyperlink"/>
          </w:rPr>
          <w:t>The ecology of a continental evolutionary radiation: Is the radiation of sigmodontine rodents adaptive?</w:t>
        </w:r>
      </w:hyperlink>
      <w:r>
        <w:rPr/>
        <w:t xml:space="preserve"> Evolution 71:610–632.</w:t>
      </w:r>
      <w:bookmarkEnd w:id="100"/>
    </w:p>
    <w:p>
      <w:pPr>
        <w:pStyle w:val="Bibliography"/>
        <w:rPr/>
      </w:pPr>
      <w:bookmarkStart w:id="101" w:name="ref-marion_bioluminescence_2025"/>
      <w:r>
        <w:rPr/>
        <w:t xml:space="preserve">Marion, A. F. P., F. L. Condamine, and G. Guinot. 2025. </w:t>
      </w:r>
      <w:hyperlink r:id="rId64">
        <w:r>
          <w:rPr>
            <w:rStyle w:val="Hyperlink"/>
          </w:rPr>
          <w:t>Bioluminescence and repeated deep-sea colonization shaped the diversification and body size evolution of squaliform sharks</w:t>
        </w:r>
      </w:hyperlink>
      <w:r>
        <w:rPr/>
        <w:t>. Proceedings of the Royal Society B: Biological Sciences 292:20242932. Royal Society.</w:t>
      </w:r>
      <w:bookmarkEnd w:id="101"/>
    </w:p>
    <w:p>
      <w:pPr>
        <w:pStyle w:val="Bibliography"/>
        <w:rPr/>
      </w:pPr>
      <w:bookmarkStart w:id="102" w:name="ref-marivaux2022"/>
      <w:r>
        <w:rPr/>
        <w:t xml:space="preserve">Marivaux, L., L. W. V. López, M. Boivin, L. Da Cunha, P.-H. Fabre, R. Joannes-Boyau, G. Maincent, P. Münch, N. S. Stutz, J. Vélez-Juarbe, and P.-O. Antoine. 2022. </w:t>
      </w:r>
      <w:hyperlink r:id="rId65">
        <w:r>
          <w:rPr>
            <w:rStyle w:val="Hyperlink"/>
          </w:rPr>
          <w:t>Incisor enamel microstructure of West Indian caviomorph hystricognathous rodents (Octodontoidea and Chinchilloidea)</w:t>
        </w:r>
      </w:hyperlink>
      <w:r>
        <w:rPr/>
        <w:t>. Journal of Mammalian Evolution 29:969–995.</w:t>
      </w:r>
      <w:bookmarkEnd w:id="102"/>
    </w:p>
    <w:p>
      <w:pPr>
        <w:pStyle w:val="Bibliography"/>
        <w:rPr/>
      </w:pPr>
      <w:bookmarkStart w:id="103" w:name="ref-marivaux_early_2020"/>
      <w:r>
        <w:rPr/>
        <w:t xml:space="preserve">Marivaux, L., J. Vélez-Juarbe, G. Merzeraud, F. Pujos, L. W. Viñola López, M. Boivin, H. Santos-Mercado, E. J. Cruz, A. Grajales, J. Padilla, K. I. Vélez-Rosado, M. Philippon, J.-L. Léticée, P. Münch, and P.-O. Antoine. 2020. </w:t>
      </w:r>
      <w:hyperlink r:id="rId66">
        <w:r>
          <w:rPr>
            <w:rStyle w:val="Hyperlink"/>
          </w:rPr>
          <w:t>Early oligocene chinchilloid caviomorphs from puerto rico and the initial rodent colonization of the west indies</w:t>
        </w:r>
      </w:hyperlink>
      <w:r>
        <w:rPr/>
        <w:t>. Proceedings of the Royal Society B: Biological Sciences 287:20192806.</w:t>
      </w:r>
      <w:bookmarkEnd w:id="103"/>
    </w:p>
    <w:p>
      <w:pPr>
        <w:pStyle w:val="Bibliography"/>
        <w:rPr/>
      </w:pPr>
      <w:bookmarkStart w:id="104" w:name="ref-marshall1982"/>
      <w:r>
        <w:rPr/>
        <w:t xml:space="preserve">Marshall, L. G., S. D. Webb, J. J. Sepkoski, and D. M. Raup. 1982. </w:t>
      </w:r>
      <w:hyperlink r:id="rId67">
        <w:r>
          <w:rPr>
            <w:rStyle w:val="Hyperlink"/>
          </w:rPr>
          <w:t>Mammalian evolution and the great american interchange</w:t>
        </w:r>
      </w:hyperlink>
      <w:r>
        <w:rPr/>
        <w:t>. Science 215:1351–1357.</w:t>
      </w:r>
      <w:bookmarkEnd w:id="104"/>
    </w:p>
    <w:p>
      <w:pPr>
        <w:pStyle w:val="Bibliography"/>
        <w:rPr/>
      </w:pPr>
      <w:bookmarkStart w:id="105" w:name="ref-mcfarlane1998"/>
      <w:r>
        <w:rPr/>
        <w:t xml:space="preserve">McFarlane, D. A., R. D. E. MacPhee, and D. C. Ford. 1998. </w:t>
      </w:r>
      <w:hyperlink r:id="rId68">
        <w:r>
          <w:rPr>
            <w:rStyle w:val="Hyperlink"/>
          </w:rPr>
          <w:t>Body Size Variability and a Sangamonian Extinction Model for Amblyrhiza,a West Indian Megafaunal Rodent</w:t>
        </w:r>
      </w:hyperlink>
      <w:r>
        <w:rPr/>
        <w:t>. Quaternary Research 50:80–89.</w:t>
      </w:r>
      <w:bookmarkEnd w:id="105"/>
    </w:p>
    <w:p>
      <w:pPr>
        <w:pStyle w:val="Bibliography"/>
        <w:rPr/>
      </w:pPr>
      <w:bookmarkStart w:id="106" w:name="ref-meiri2007"/>
      <w:r>
        <w:rPr/>
        <w:t xml:space="preserve">Meiri, S., N. Cooper, and A. Purvis. 2007. </w:t>
      </w:r>
      <w:hyperlink r:id="rId69">
        <w:r>
          <w:rPr>
            <w:rStyle w:val="Hyperlink"/>
          </w:rPr>
          <w:t>The island rule: Made to be broken?</w:t>
        </w:r>
      </w:hyperlink>
      <w:r>
        <w:rPr/>
        <w:t xml:space="preserve"> Proceedings of the Royal Society B: Biological Sciences 275:141–148.</w:t>
      </w:r>
      <w:bookmarkEnd w:id="106"/>
    </w:p>
    <w:p>
      <w:pPr>
        <w:pStyle w:val="Bibliography"/>
        <w:rPr/>
      </w:pPr>
      <w:bookmarkStart w:id="107" w:name="ref-meseguer2020"/>
      <w:r>
        <w:rPr/>
        <w:t xml:space="preserve">Meseguer, A. S., and F. L. Condamine. 2020. </w:t>
      </w:r>
      <w:hyperlink r:id="rId70">
        <w:r>
          <w:rPr>
            <w:rStyle w:val="Hyperlink"/>
          </w:rPr>
          <w:t>Ancient tropical extinctions at high latitudes contributed to the latitudinal diversity gradient</w:t>
        </w:r>
      </w:hyperlink>
      <w:r>
        <w:rPr/>
        <w:t>. Evolution 74:1966–1987.</w:t>
      </w:r>
      <w:bookmarkEnd w:id="107"/>
    </w:p>
    <w:p>
      <w:pPr>
        <w:pStyle w:val="Bibliography"/>
        <w:rPr/>
      </w:pPr>
      <w:bookmarkStart w:id="108" w:name="ref-miller2020"/>
      <w:r>
        <w:rPr/>
        <w:t xml:space="preserve">Miller, K. G., J. V. Browning, W. J. Schmelz, R. E. Kopp, G. S. Mountain, and J. D. Wright. 2020. </w:t>
      </w:r>
      <w:hyperlink r:id="rId71">
        <w:r>
          <w:rPr>
            <w:rStyle w:val="Hyperlink"/>
          </w:rPr>
          <w:t>Cenozoic sea-level and cryospheric evolution from deep-sea geochemical and continental margin records</w:t>
        </w:r>
      </w:hyperlink>
      <w:r>
        <w:rPr/>
        <w:t>. Science Advances 6:eaaz1346.</w:t>
      </w:r>
      <w:bookmarkEnd w:id="108"/>
    </w:p>
    <w:p>
      <w:pPr>
        <w:pStyle w:val="Bibliography"/>
        <w:rPr/>
      </w:pPr>
      <w:bookmarkStart w:id="109" w:name="ref-missagia2023"/>
      <w:r>
        <w:rPr/>
        <w:t xml:space="preserve">Missagia, R. V., D. M. Casali, B. D. Patterson, and F. A. Perini. 2023. </w:t>
      </w:r>
      <w:hyperlink r:id="rId72">
        <w:r>
          <w:rPr>
            <w:rStyle w:val="Hyperlink"/>
          </w:rPr>
          <w:t>Decoupled Patterns of Diversity and Disparity Characterize an Ecologically Specialized Lineage of Neotropical Cricetids</w:t>
        </w:r>
      </w:hyperlink>
      <w:r>
        <w:rPr/>
        <w:t>. Evolutionary Biology 50:181–196.</w:t>
      </w:r>
      <w:bookmarkEnd w:id="109"/>
    </w:p>
    <w:p>
      <w:pPr>
        <w:pStyle w:val="Bibliography"/>
        <w:rPr/>
      </w:pPr>
      <w:bookmarkStart w:id="110" w:name="ref-mones1982"/>
      <w:r>
        <w:rPr/>
        <w:t xml:space="preserve">Mones, A. 1982. </w:t>
      </w:r>
      <w:hyperlink r:id="rId73">
        <w:r>
          <w:rPr>
            <w:rStyle w:val="Hyperlink"/>
          </w:rPr>
          <w:t>An equivocal nomenclature: What means hypsodonty?</w:t>
        </w:r>
      </w:hyperlink>
      <w:r>
        <w:rPr/>
        <w:t xml:space="preserve"> Paläontologische Zeitschrift 56:107–111.</w:t>
      </w:r>
      <w:bookmarkEnd w:id="110"/>
    </w:p>
    <w:p>
      <w:pPr>
        <w:pStyle w:val="Bibliography"/>
        <w:rPr/>
      </w:pPr>
      <w:bookmarkStart w:id="111" w:name="ref-morlon2024"/>
      <w:r>
        <w:rPr/>
        <w:t xml:space="preserve">Morlon, H., J. Andréoletti, J. Barido-Sottani, S. Lambert, B. Perez-Lamarque, I. Quintero, V. Senderov, and P. Veron. 2024. Phylogenetic Insights into Diversification. Annual Review of Ecology, Evolution, and Systematics, doi: </w:t>
      </w:r>
      <w:hyperlink r:id="rId74">
        <w:r>
          <w:rPr>
            <w:rStyle w:val="Hyperlink"/>
          </w:rPr>
          <w:t>10.1146/annurev-ecolsys-102722-020508</w:t>
        </w:r>
      </w:hyperlink>
      <w:r>
        <w:rPr/>
        <w:t>.</w:t>
      </w:r>
      <w:bookmarkEnd w:id="111"/>
    </w:p>
    <w:p>
      <w:pPr>
        <w:pStyle w:val="Bibliography"/>
        <w:rPr/>
      </w:pPr>
      <w:bookmarkStart w:id="112" w:name="ref-muñoz2023"/>
      <w:r>
        <w:rPr/>
        <w:t xml:space="preserve">Muñoz, C. O. R., R. Bonini, S. Hemming, M. Cenizo, U. F. J. Pardiñas, and F. J. Prevosti. 2023. </w:t>
      </w:r>
      <w:hyperlink r:id="rId75">
        <w:r>
          <w:rPr>
            <w:rStyle w:val="Hyperlink"/>
          </w:rPr>
          <w:t>Advances in the understanding of Neogene mammalian fauna in the pampean region (Central Argentina) through revising “biozone” hypotheses based on new dates and biochronological analyses</w:t>
        </w:r>
      </w:hyperlink>
      <w:r>
        <w:rPr/>
        <w:t>. Ameghiniana 60:465–491.</w:t>
      </w:r>
      <w:bookmarkEnd w:id="112"/>
    </w:p>
    <w:p>
      <w:pPr>
        <w:pStyle w:val="Bibliography"/>
        <w:rPr/>
      </w:pPr>
      <w:bookmarkStart w:id="113" w:name="ref-nasif2013"/>
      <w:r>
        <w:rPr/>
        <w:t xml:space="preserve">Nasif, N. L., A. M. Candela, L. Rasia, and M. C. M. Jaén. 2013. Actualización del conocimiento de los roedores del Mioceno tardío de la Mesopotamia argentina: aspectos sistemáticos, evolutivos y paleobiogeográficos. Pp. 147–163 </w:t>
      </w:r>
      <w:r>
        <w:rPr>
          <w:i/>
          <w:iCs/>
        </w:rPr>
        <w:t>in</w:t>
      </w:r>
      <w:r>
        <w:rPr/>
        <w:t>.</w:t>
      </w:r>
      <w:bookmarkEnd w:id="113"/>
    </w:p>
    <w:p>
      <w:pPr>
        <w:pStyle w:val="Bibliography"/>
        <w:rPr/>
      </w:pPr>
      <w:bookmarkStart w:id="114" w:name="ref-ogg2020"/>
      <w:r>
        <w:rPr/>
        <w:t xml:space="preserve">Ogg, J. G. 2020. </w:t>
      </w:r>
      <w:hyperlink r:id="rId76">
        <w:r>
          <w:rPr>
            <w:rStyle w:val="Hyperlink"/>
          </w:rPr>
          <w:t>Geomagnetic polarity time scale</w:t>
        </w:r>
      </w:hyperlink>
      <w:r>
        <w:rPr/>
        <w:t xml:space="preserve">. Pp. 159–192 </w:t>
      </w:r>
      <w:r>
        <w:rPr>
          <w:i/>
          <w:iCs/>
        </w:rPr>
        <w:t>in</w:t>
      </w:r>
      <w:r>
        <w:rPr/>
        <w:t xml:space="preserve"> F. M. Gradstein, J. G. Ogg, M. D. Schmitz, and G. M. Ogg, eds. Geologic time scale 2020. Elsevier.</w:t>
      </w:r>
      <w:bookmarkEnd w:id="114"/>
    </w:p>
    <w:p>
      <w:pPr>
        <w:pStyle w:val="Bibliography"/>
        <w:rPr/>
      </w:pPr>
      <w:bookmarkStart w:id="115" w:name="ref-paiva2026"/>
      <w:r>
        <w:rPr/>
        <w:t xml:space="preserve">Paiva, A. L., P. Godoy, D. dos Santos, M. Langer, and P. Mannion. 2026. </w:t>
      </w:r>
      <w:hyperlink r:id="rId77">
        <w:r>
          <w:rPr>
            <w:rStyle w:val="Hyperlink"/>
          </w:rPr>
          <w:t>Phylogenetically-informed estimates of notosuchian (Archosauria, Crocodylomorpha) body size and the challenges of inferring macroevolutionary patterns in extinct groups</w:t>
        </w:r>
      </w:hyperlink>
      <w:r>
        <w:rPr/>
        <w:t>. Palaeontology.</w:t>
      </w:r>
      <w:bookmarkEnd w:id="115"/>
    </w:p>
    <w:p>
      <w:pPr>
        <w:pStyle w:val="Bibliography"/>
        <w:rPr/>
      </w:pPr>
      <w:bookmarkStart w:id="116" w:name="ref-palazzesi2012"/>
      <w:r>
        <w:rPr/>
        <w:t xml:space="preserve">Palazzesi, L., and V. Barreda. 2012. </w:t>
      </w:r>
      <w:hyperlink r:id="rId78">
        <w:r>
          <w:rPr>
            <w:rStyle w:val="Hyperlink"/>
          </w:rPr>
          <w:t>Fossil pollen records reveal a late rise of open-habitat ecosystems in Patagonia</w:t>
        </w:r>
      </w:hyperlink>
      <w:r>
        <w:rPr/>
        <w:t>. Nature Communications 3:1294.</w:t>
      </w:r>
      <w:bookmarkEnd w:id="116"/>
    </w:p>
    <w:p>
      <w:pPr>
        <w:pStyle w:val="Bibliography"/>
        <w:rPr/>
      </w:pPr>
      <w:bookmarkStart w:id="117" w:name="ref-pascual1996"/>
      <w:r>
        <w:rPr/>
        <w:t xml:space="preserve">Pascual, R., E. Ortiz-Jaureguizar, and J. L. Prado. 1996. Land mammals: Paradigm for cenozoic south american geobiotic evolution. Pp. 265–319 </w:t>
      </w:r>
      <w:r>
        <w:rPr>
          <w:i/>
          <w:iCs/>
        </w:rPr>
        <w:t>in</w:t>
      </w:r>
      <w:r>
        <w:rPr/>
        <w:t>.</w:t>
      </w:r>
      <w:bookmarkEnd w:id="117"/>
    </w:p>
    <w:p>
      <w:pPr>
        <w:pStyle w:val="Bibliography"/>
        <w:rPr/>
      </w:pPr>
      <w:bookmarkStart w:id="118" w:name="ref-patton2015"/>
      <w:r>
        <w:rPr/>
        <w:t xml:space="preserve">Patton, J. L., U. F. J. Pardiñas, and G. D’Elía. 2015. </w:t>
      </w:r>
      <w:hyperlink r:id="rId79">
        <w:r>
          <w:rPr>
            <w:rStyle w:val="Hyperlink"/>
          </w:rPr>
          <w:t>Mammals of South America, Volume 2: Rodents</w:t>
        </w:r>
      </w:hyperlink>
      <w:r>
        <w:rPr/>
        <w:t>. University of Chicago Press, Chicago, IL.</w:t>
      </w:r>
      <w:bookmarkEnd w:id="118"/>
    </w:p>
    <w:p>
      <w:pPr>
        <w:pStyle w:val="Bibliography"/>
        <w:rPr/>
      </w:pPr>
      <w:bookmarkStart w:id="119" w:name="ref-pérez_new_2010"/>
      <w:r>
        <w:rPr/>
        <w:t xml:space="preserve">Pérez, M. E. 2010. </w:t>
      </w:r>
      <w:hyperlink r:id="rId80">
        <w:r>
          <w:rPr>
            <w:rStyle w:val="Hyperlink"/>
          </w:rPr>
          <w:t>A new rodent (cavioidea, hystricognathi) from the middle miocene of patagonia, mandibular homologies, and the origin of the crown group cavioidea sensu stricto</w:t>
        </w:r>
      </w:hyperlink>
      <w:r>
        <w:rPr/>
        <w:t>. Journal of Vertebrate Paleontology 30:1848–1859.</w:t>
      </w:r>
      <w:bookmarkEnd w:id="119"/>
    </w:p>
    <w:p>
      <w:pPr>
        <w:pStyle w:val="Bibliography"/>
        <w:rPr/>
      </w:pPr>
      <w:bookmarkStart w:id="120" w:name="ref-pimiento2019"/>
      <w:r>
        <w:rPr/>
        <w:t xml:space="preserve">Pimiento, C., J. L. Cantalapiedra, K. Shimada, D. J. Field, and J. B. Smaers. 2019. </w:t>
      </w:r>
      <w:hyperlink r:id="rId81">
        <w:r>
          <w:rPr>
            <w:rStyle w:val="Hyperlink"/>
          </w:rPr>
          <w:t>Evolutionary pathways toward gigantism in sharks and rays</w:t>
        </w:r>
      </w:hyperlink>
      <w:r>
        <w:rPr/>
        <w:t>. Evolution 73:588–599.</w:t>
      </w:r>
      <w:bookmarkEnd w:id="120"/>
    </w:p>
    <w:p>
      <w:pPr>
        <w:pStyle w:val="Bibliography"/>
        <w:rPr/>
      </w:pPr>
      <w:bookmarkStart w:id="121" w:name="ref-quental2013"/>
      <w:r>
        <w:rPr/>
        <w:t xml:space="preserve">Quental, T. B., and C. R. Marshall. 2013. </w:t>
      </w:r>
      <w:hyperlink r:id="rId82">
        <w:r>
          <w:rPr>
            <w:rStyle w:val="Hyperlink"/>
          </w:rPr>
          <w:t>How the red queen drives terrestrial mammals to extinction</w:t>
        </w:r>
      </w:hyperlink>
      <w:r>
        <w:rPr/>
        <w:t>. Science 341:290–292.</w:t>
      </w:r>
      <w:bookmarkEnd w:id="121"/>
    </w:p>
    <w:p>
      <w:pPr>
        <w:pStyle w:val="Bibliography"/>
        <w:rPr/>
      </w:pPr>
      <w:bookmarkStart w:id="122" w:name="ref-quintero_loss_2025"/>
      <w:r>
        <w:rPr/>
        <w:t xml:space="preserve">Quintero, I., J. Andréoletti, D. Silvestro, and H. Morlon. 2025. </w:t>
      </w:r>
      <w:hyperlink r:id="rId83">
        <w:r>
          <w:rPr>
            <w:rStyle w:val="Hyperlink"/>
          </w:rPr>
          <w:t>Loss of macroevolutionary species fitness explains the rise and fall of clades</w:t>
        </w:r>
      </w:hyperlink>
      <w:r>
        <w:rPr/>
        <w:t>. Nat Ecol Evol 1–12. Nature Publishing Group.</w:t>
      </w:r>
      <w:bookmarkEnd w:id="122"/>
    </w:p>
    <w:p>
      <w:pPr>
        <w:pStyle w:val="Bibliography"/>
        <w:rPr/>
      </w:pPr>
      <w:bookmarkStart w:id="123" w:name="ref-quintero2023"/>
      <w:r>
        <w:rPr/>
        <w:t xml:space="preserve">Quintero, I., M. J. Landis, W. Jetz, and H. Morlon. 2023. </w:t>
      </w:r>
      <w:hyperlink r:id="rId84">
        <w:r>
          <w:rPr>
            <w:rStyle w:val="Hyperlink"/>
          </w:rPr>
          <w:t>The build-up of the present-day tropical diversity of tetrapods</w:t>
        </w:r>
      </w:hyperlink>
      <w:r>
        <w:rPr/>
        <w:t>. Proceedings of the National Academy of Sciences 120:e2220672120.</w:t>
      </w:r>
      <w:bookmarkEnd w:id="123"/>
    </w:p>
    <w:p>
      <w:pPr>
        <w:pStyle w:val="Bibliography"/>
        <w:rPr/>
      </w:pPr>
      <w:bookmarkStart w:id="124" w:name="ref-rabosky2013"/>
      <w:r>
        <w:rPr/>
        <w:t xml:space="preserve">Rabosky, D. L., F. Santini, J. Eastman, S. A. Smith, B. Sidlauskas, J. Chang, and M. E. Alfaro. 2013. </w:t>
      </w:r>
      <w:hyperlink r:id="rId85">
        <w:r>
          <w:rPr>
            <w:rStyle w:val="Hyperlink"/>
          </w:rPr>
          <w:t>Rates of speciation and morphological evolution are correlated across the largest vertebrate radiation</w:t>
        </w:r>
      </w:hyperlink>
      <w:r>
        <w:rPr/>
        <w:t>. Nature Communications 4:1958.</w:t>
      </w:r>
      <w:bookmarkEnd w:id="124"/>
    </w:p>
    <w:p>
      <w:pPr>
        <w:pStyle w:val="Bibliography"/>
        <w:rPr/>
      </w:pPr>
      <w:bookmarkStart w:id="125" w:name="ref-rasia2026"/>
      <w:r>
        <w:rPr/>
        <w:t>Rasia, L. L. 2026. Reassessing the hyperdiverse dinomyid (rodentia, caviomorpha) assemblage from the late miocene ituzaingó formation (entre ríos province, argentina). Ameghiniana.</w:t>
      </w:r>
      <w:bookmarkEnd w:id="125"/>
    </w:p>
    <w:p>
      <w:pPr>
        <w:pStyle w:val="Bibliography"/>
        <w:rPr/>
      </w:pPr>
      <w:bookmarkStart w:id="126" w:name="ref-rasia_comprehensive_2021"/>
      <w:r>
        <w:rPr/>
        <w:t xml:space="preserve">Rasia, L. L., A. M. Candela, and C. Cañón. 2021. </w:t>
      </w:r>
      <w:hyperlink r:id="rId86">
        <w:r>
          <w:rPr>
            <w:rStyle w:val="Hyperlink"/>
          </w:rPr>
          <w:t>Comprehensive total evidence phylogeny of chinchillids (rodentia, caviomorpha): Cheek teeth anatomy and evolution</w:t>
        </w:r>
      </w:hyperlink>
      <w:r>
        <w:rPr/>
        <w:t>. Journal of Anatomy 239:405–423.</w:t>
      </w:r>
      <w:bookmarkEnd w:id="126"/>
    </w:p>
    <w:p>
      <w:pPr>
        <w:pStyle w:val="Bibliography"/>
        <w:rPr/>
      </w:pPr>
      <w:bookmarkStart w:id="127" w:name="ref-rasia2024"/>
      <w:r>
        <w:rPr/>
        <w:t xml:space="preserve">Rasia, L. L., C. I. Montalvo, R. Sostillo, L. Kerber, and R. L. Tomassini. 2024. </w:t>
      </w:r>
      <w:hyperlink r:id="rId87">
        <w:r>
          <w:rPr>
            <w:rStyle w:val="Hyperlink"/>
          </w:rPr>
          <w:t>Dinomyid (rodentia, caviomorpha) diversity from the late miocene (chasicoan stage/age) cerro azul formation at the classical arroyo chasicó locality (argentina)</w:t>
        </w:r>
      </w:hyperlink>
      <w:r>
        <w:rPr/>
        <w:t>. Historical Biology 37:1902–1914.</w:t>
      </w:r>
      <w:bookmarkEnd w:id="127"/>
    </w:p>
    <w:p>
      <w:pPr>
        <w:pStyle w:val="Bibliography"/>
        <w:rPr/>
      </w:pPr>
      <w:bookmarkStart w:id="128" w:name="ref-raup1986"/>
      <w:r>
        <w:rPr/>
        <w:t xml:space="preserve">Raup, D. M. 1986. </w:t>
      </w:r>
      <w:hyperlink r:id="rId88">
        <w:r>
          <w:rPr>
            <w:rStyle w:val="Hyperlink"/>
          </w:rPr>
          <w:t>Biological extinction in earth history</w:t>
        </w:r>
      </w:hyperlink>
      <w:r>
        <w:rPr/>
        <w:t>. Science 231:1528–1533.</w:t>
      </w:r>
      <w:bookmarkEnd w:id="128"/>
    </w:p>
    <w:p>
      <w:pPr>
        <w:pStyle w:val="Bibliography"/>
        <w:rPr/>
      </w:pPr>
      <w:bookmarkStart w:id="129" w:name="ref-rinderknecht2008"/>
      <w:r>
        <w:rPr/>
        <w:t xml:space="preserve">Rinderknecht, A., and R. E. Blanco. 2008. </w:t>
      </w:r>
      <w:hyperlink r:id="rId89">
        <w:r>
          <w:rPr>
            <w:rStyle w:val="Hyperlink"/>
          </w:rPr>
          <w:t>The largest fossil rodent</w:t>
        </w:r>
      </w:hyperlink>
      <w:r>
        <w:rPr/>
        <w:t>. Proceedings of the Royal Society B: Biological Sciences 275:923–928.</w:t>
      </w:r>
      <w:bookmarkEnd w:id="129"/>
    </w:p>
    <w:p>
      <w:pPr>
        <w:pStyle w:val="Bibliography"/>
        <w:rPr/>
      </w:pPr>
      <w:bookmarkStart w:id="130" w:name="ref-robinet2020"/>
      <w:r>
        <w:rPr/>
        <w:t xml:space="preserve">Robinet, C., G. Merceron, A. M. Candela, and L. Marivaux. 2020. </w:t>
      </w:r>
      <w:hyperlink r:id="rId90">
        <w:r>
          <w:rPr>
            <w:rStyle w:val="Hyperlink"/>
          </w:rPr>
          <w:t>Dental microwear texture analysis and diet in caviomorphs (rodentia) from the serra do mar atlantic forest (brazil)</w:t>
        </w:r>
      </w:hyperlink>
      <w:r>
        <w:rPr/>
        <w:t>. Journal of Mammalogy 101:386–402.</w:t>
      </w:r>
      <w:bookmarkEnd w:id="130"/>
    </w:p>
    <w:p>
      <w:pPr>
        <w:pStyle w:val="Bibliography"/>
        <w:rPr/>
      </w:pPr>
      <w:bookmarkStart w:id="131" w:name="ref-rowe2011"/>
      <w:r>
        <w:rPr/>
        <w:t xml:space="preserve">Rowe, K. C., K. P. Aplin, P. R. Baverstock, and C. Moritz. 2011. </w:t>
      </w:r>
      <w:hyperlink r:id="rId91">
        <w:r>
          <w:rPr>
            <w:rStyle w:val="Hyperlink"/>
          </w:rPr>
          <w:t>Recent and rapid speciation with limited morphological disparity in the genus rattus</w:t>
        </w:r>
      </w:hyperlink>
      <w:r>
        <w:rPr/>
        <w:t>. Systematic Biology 60:188–203.</w:t>
      </w:r>
      <w:bookmarkEnd w:id="131"/>
    </w:p>
    <w:p>
      <w:pPr>
        <w:pStyle w:val="Bibliography"/>
        <w:rPr/>
      </w:pPr>
      <w:bookmarkStart w:id="132" w:name="ref-ruta2013"/>
      <w:r>
        <w:rPr/>
        <w:t xml:space="preserve">Ruta, M., K. D. Angielczyk, J. Fröbisch, and M. J. Benton. 2013. </w:t>
      </w:r>
      <w:hyperlink r:id="rId92">
        <w:r>
          <w:rPr>
            <w:rStyle w:val="Hyperlink"/>
          </w:rPr>
          <w:t>Decoupling of morphological disparity and taxic diversity during the adaptive radiation of anomodont therapsids</w:t>
        </w:r>
      </w:hyperlink>
      <w:r>
        <w:rPr/>
        <w:t>. Proceedings of the Royal Society B: Biological Sciences 280:20131071.</w:t>
      </w:r>
      <w:bookmarkEnd w:id="132"/>
    </w:p>
    <w:p>
      <w:pPr>
        <w:pStyle w:val="Bibliography"/>
        <w:rPr/>
      </w:pPr>
      <w:bookmarkStart w:id="133" w:name="ref-salas-gismondi2015"/>
      <w:r>
        <w:rPr/>
        <w:t xml:space="preserve">Salas-Gismondi, R., J. J. Flynn, P. Baby, J. V. Tejada-Lara, F. P. Wesselingh, and P.-O. Antoine. 2015. </w:t>
      </w:r>
      <w:hyperlink r:id="rId93">
        <w:r>
          <w:rPr>
            <w:rStyle w:val="Hyperlink"/>
          </w:rPr>
          <w:t>A miocene hyperdiverse crocodylian community reveals peculiar trophic dynamics in proto-amazonian mega-wetlands</w:t>
        </w:r>
      </w:hyperlink>
      <w:r>
        <w:rPr/>
        <w:t>. Proceedings of the Royal Society B: Biological Sciences 282:20142490.</w:t>
      </w:r>
      <w:bookmarkEnd w:id="133"/>
    </w:p>
    <w:p>
      <w:pPr>
        <w:pStyle w:val="Bibliography"/>
        <w:rPr/>
      </w:pPr>
      <w:bookmarkStart w:id="134" w:name="ref-sánchez-villagra2003"/>
      <w:r>
        <w:rPr/>
        <w:t xml:space="preserve">Sánchez-Villagra, M. R., O. Aguilera, and I. Horovitz. 2003. </w:t>
      </w:r>
      <w:hyperlink r:id="rId94">
        <w:r>
          <w:rPr>
            <w:rStyle w:val="Hyperlink"/>
          </w:rPr>
          <w:t>The anatomy of the world’s largest extinct rodent</w:t>
        </w:r>
      </w:hyperlink>
      <w:r>
        <w:rPr/>
        <w:t>. Science 301:1708–1710.</w:t>
      </w:r>
      <w:bookmarkEnd w:id="134"/>
    </w:p>
    <w:p>
      <w:pPr>
        <w:pStyle w:val="Bibliography"/>
        <w:rPr/>
      </w:pPr>
      <w:bookmarkStart w:id="135" w:name="ref-sander2011"/>
      <w:r>
        <w:rPr/>
        <w:t xml:space="preserve">Sander, P. M., A. Christian, M. Clauss, R. Fechner, C. T. Gee, E.-M. Griebeler, H.-C. Gunga, J. Hummel, H. Mallison, S. F. Perry, H. Preuschoft, O. W. M. Rauhut, K. Remes, T. Tütken, O. Wings, and U. Witzel. 2011. </w:t>
      </w:r>
      <w:hyperlink r:id="rId95">
        <w:r>
          <w:rPr>
            <w:rStyle w:val="Hyperlink"/>
          </w:rPr>
          <w:t>Biology of the sauropod dinosaurs: the evolution of gigantism</w:t>
        </w:r>
      </w:hyperlink>
      <w:r>
        <w:rPr/>
        <w:t>. Biological Reviews 86:117–155.</w:t>
      </w:r>
      <w:bookmarkEnd w:id="135"/>
    </w:p>
    <w:p>
      <w:pPr>
        <w:pStyle w:val="Bibliography"/>
        <w:rPr/>
      </w:pPr>
      <w:bookmarkStart w:id="136" w:name="ref-selkin2015"/>
      <w:r>
        <w:rPr/>
        <w:t xml:space="preserve">Selkin, P. A., C. A. E. Strömberg, R. Dunn, M. J. Kohn, A. A. Carlini, K. S. Davies-Vollum, and R. H. Madden. 2015. </w:t>
      </w:r>
      <w:hyperlink r:id="rId96">
        <w:r>
          <w:rPr>
            <w:rStyle w:val="Hyperlink"/>
          </w:rPr>
          <w:t>Climate, dust, and fire across the eocene-oligocene transition, patagonia</w:t>
        </w:r>
      </w:hyperlink>
      <w:r>
        <w:rPr/>
        <w:t>. Geology 43:567–570.</w:t>
      </w:r>
      <w:bookmarkEnd w:id="136"/>
    </w:p>
    <w:p>
      <w:pPr>
        <w:pStyle w:val="Bibliography"/>
        <w:rPr/>
      </w:pPr>
      <w:bookmarkStart w:id="137" w:name="ref-silvestro_angiosperm_2015"/>
      <w:r>
        <w:rPr/>
        <w:t xml:space="preserve">Silvestro, D., B. Cascales-Miñana, C. D. Bacon, and A. Antonelli. 2015. </w:t>
      </w:r>
      <w:hyperlink r:id="rId97">
        <w:r>
          <w:rPr>
            <w:rStyle w:val="Hyperlink"/>
          </w:rPr>
          <w:t>Revisiting the origin and diversification of vascular plants through a comprehensive bayesian analysis of the fossil record</w:t>
        </w:r>
      </w:hyperlink>
      <w:r>
        <w:rPr/>
        <w:t>. New Phytologist 207:425–436.</w:t>
      </w:r>
      <w:bookmarkEnd w:id="137"/>
    </w:p>
    <w:p>
      <w:pPr>
        <w:pStyle w:val="Bibliography"/>
        <w:rPr/>
      </w:pPr>
      <w:bookmarkStart w:id="138" w:name="ref-silvestro2019"/>
      <w:r>
        <w:rPr/>
        <w:t xml:space="preserve">Silvestro, D., N. Salamin, A. Antonelli, and X. Meyer. 2019. </w:t>
      </w:r>
      <w:hyperlink r:id="rId98">
        <w:r>
          <w:rPr>
            <w:rStyle w:val="Hyperlink"/>
          </w:rPr>
          <w:t>Improved estimation of macroevolutionary rates from fossil data using a Bayesian framework</w:t>
        </w:r>
      </w:hyperlink>
      <w:r>
        <w:rPr/>
        <w:t>. Paleobiology 45:546–570.</w:t>
      </w:r>
      <w:bookmarkEnd w:id="138"/>
    </w:p>
    <w:p>
      <w:pPr>
        <w:pStyle w:val="Bibliography"/>
        <w:rPr/>
      </w:pPr>
      <w:bookmarkStart w:id="139" w:name="ref-silvestro2014"/>
      <w:r>
        <w:rPr/>
        <w:t xml:space="preserve">Silvestro, D., N. Salamin, and J. Schnitzler. 2014. </w:t>
      </w:r>
      <w:hyperlink r:id="rId99">
        <w:r>
          <w:rPr>
            <w:rStyle w:val="Hyperlink"/>
          </w:rPr>
          <w:t>PyRate: a new program to estimate speciation and extinction rates from incomplete fossil data</w:t>
        </w:r>
      </w:hyperlink>
      <w:r>
        <w:rPr/>
        <w:t>. Methods in Ecology and Evolution 5:1126–1131.</w:t>
      </w:r>
      <w:bookmarkEnd w:id="139"/>
    </w:p>
    <w:p>
      <w:pPr>
        <w:pStyle w:val="Bibliography"/>
        <w:rPr/>
      </w:pPr>
      <w:bookmarkStart w:id="140" w:name="ref-simpson1980"/>
      <w:r>
        <w:rPr/>
        <w:t>Simpson, G. G. 1980. Splendid isolation : The curious history of south american mammals. Yale University Press, New Haven.</w:t>
      </w:r>
      <w:bookmarkEnd w:id="140"/>
    </w:p>
    <w:p>
      <w:pPr>
        <w:pStyle w:val="Bibliography"/>
        <w:rPr/>
      </w:pPr>
      <w:bookmarkStart w:id="141" w:name="ref-simpson1953"/>
      <w:r>
        <w:rPr/>
        <w:t>Simpson, G. G. 1953. The major features of evolution. Columbia University Press.</w:t>
      </w:r>
      <w:bookmarkEnd w:id="141"/>
    </w:p>
    <w:p>
      <w:pPr>
        <w:pStyle w:val="Bibliography"/>
        <w:rPr/>
      </w:pPr>
      <w:bookmarkStart w:id="142" w:name="ref-solórzano2021"/>
      <w:r>
        <w:rPr/>
        <w:t xml:space="preserve">Solórzano, A., and M. Núñez-Flores. 2021. </w:t>
      </w:r>
      <w:hyperlink r:id="rId100">
        <w:r>
          <w:rPr>
            <w:rStyle w:val="Hyperlink"/>
          </w:rPr>
          <w:t>Evolutionary trends of body size and hypsodonty in notoungulates and their probable drivers</w:t>
        </w:r>
      </w:hyperlink>
      <w:r>
        <w:rPr/>
        <w:t>. Palaeogeography, Palaeoclimatology, Palaeoecology 568:110306.</w:t>
      </w:r>
      <w:bookmarkEnd w:id="142"/>
    </w:p>
    <w:p>
      <w:pPr>
        <w:pStyle w:val="Bibliography"/>
        <w:rPr/>
      </w:pPr>
      <w:bookmarkStart w:id="143" w:name="ref-solórzano2024"/>
      <w:r>
        <w:rPr/>
        <w:t xml:space="preserve">Solórzano, A., M. Núñez-Flores, and E. Rodríguez-Serrano. 2024. </w:t>
      </w:r>
      <w:hyperlink r:id="rId101">
        <w:r>
          <w:rPr>
            <w:rStyle w:val="Hyperlink"/>
          </w:rPr>
          <w:t>The rise and fall of notoungulates: How andean uplift, available land area, competition, and depredation driven its diversification dynamics</w:t>
        </w:r>
      </w:hyperlink>
      <w:r>
        <w:rPr/>
        <w:t>. Gondwana Research 116–132.</w:t>
      </w:r>
      <w:bookmarkEnd w:id="143"/>
    </w:p>
    <w:p>
      <w:pPr>
        <w:pStyle w:val="Bibliography"/>
        <w:rPr/>
      </w:pPr>
      <w:bookmarkStart w:id="144" w:name="ref-stebbins1981"/>
      <w:r>
        <w:rPr/>
        <w:t xml:space="preserve">Stebbins, G. L. 1981. </w:t>
      </w:r>
      <w:hyperlink r:id="rId102">
        <w:r>
          <w:rPr>
            <w:rStyle w:val="Hyperlink"/>
          </w:rPr>
          <w:t>Coevolution of grasses and herbivores</w:t>
        </w:r>
      </w:hyperlink>
      <w:r>
        <w:rPr/>
        <w:t>. Annals of the Missouri Botanical Garden 68:75–86.</w:t>
      </w:r>
      <w:bookmarkEnd w:id="144"/>
    </w:p>
    <w:p>
      <w:pPr>
        <w:pStyle w:val="Bibliography"/>
        <w:rPr/>
      </w:pPr>
      <w:bookmarkStart w:id="145" w:name="ref-tardif2025"/>
      <w:r>
        <w:rPr/>
        <w:t xml:space="preserve">Tardif, D., F. L. Condamine, S. J. R. Streiff, P. Sepulchre, and T. L. P. Couvreur. 2025. </w:t>
      </w:r>
      <w:hyperlink r:id="rId103">
        <w:r>
          <w:rPr>
            <w:rStyle w:val="Hyperlink"/>
          </w:rPr>
          <w:t>Generating Spatialised and Seasonal Deep-Time Palaeoclimatic Information: Integration Into an Environmental-Dependent Diversification Model</w:t>
        </w:r>
      </w:hyperlink>
      <w:r>
        <w:rPr/>
        <w:t>. Global Ecology and Biogeography 34:e70024.</w:t>
      </w:r>
      <w:bookmarkEnd w:id="145"/>
    </w:p>
    <w:p>
      <w:pPr>
        <w:pStyle w:val="Bibliography"/>
        <w:rPr/>
      </w:pPr>
      <w:bookmarkStart w:id="146" w:name="ref-tarquini2022"/>
      <w:r>
        <w:rPr/>
        <w:t xml:space="preserve">Tarquini, S. D., S. Ladevèze, and F. J. Prevosti. 2022. </w:t>
      </w:r>
      <w:hyperlink r:id="rId104">
        <w:r>
          <w:rPr>
            <w:rStyle w:val="Hyperlink"/>
          </w:rPr>
          <w:t>The multicausal twilight of South American native mammalian predators (Metatheria, Sparassodonta)</w:t>
        </w:r>
      </w:hyperlink>
      <w:r>
        <w:rPr/>
        <w:t>. Scientific Reports 12:1224.</w:t>
      </w:r>
      <w:bookmarkEnd w:id="146"/>
    </w:p>
    <w:p>
      <w:pPr>
        <w:pStyle w:val="Bibliography"/>
        <w:rPr/>
      </w:pPr>
      <w:bookmarkStart w:id="147" w:name="ref-troyer2022"/>
      <w:r>
        <w:rPr/>
        <w:t xml:space="preserve">Troyer, E. M., R. Betancur-R, L. C. Hughes, M. Westneat, G. Carnevale, W. T. White, J. J. Pogonoski, J. C. Tyler, C. C. Baldwin, G. Ortí, A. Brinkworth, J. Clavel, and D. Arcila. 2022. </w:t>
      </w:r>
      <w:hyperlink r:id="rId105">
        <w:r>
          <w:rPr>
            <w:rStyle w:val="Hyperlink"/>
          </w:rPr>
          <w:t>The impact of paleoclimatic changes on body size evolution in marine fishes</w:t>
        </w:r>
      </w:hyperlink>
      <w:r>
        <w:rPr/>
        <w:t>. Proceedings of the National Academy of Sciences 119:e2122486119.</w:t>
      </w:r>
      <w:bookmarkEnd w:id="147"/>
    </w:p>
    <w:p>
      <w:pPr>
        <w:pStyle w:val="Bibliography"/>
        <w:rPr/>
      </w:pPr>
      <w:bookmarkStart w:id="148" w:name="ref-upham2019"/>
      <w:r>
        <w:rPr/>
        <w:t xml:space="preserve">Upham, N. S., J. A. Esselstyn, and W. Jetz. 2019. </w:t>
      </w:r>
      <w:hyperlink r:id="rId106">
        <w:r>
          <w:rPr>
            <w:rStyle w:val="Hyperlink"/>
          </w:rPr>
          <w:t>Inferring the mammal tree: Species-level sets of phylogenies for questions in ecology, evolution, and conservation</w:t>
        </w:r>
      </w:hyperlink>
      <w:r>
        <w:rPr/>
        <w:t>. PLOS Biology 17:e3000494.</w:t>
      </w:r>
      <w:bookmarkEnd w:id="148"/>
    </w:p>
    <w:p>
      <w:pPr>
        <w:pStyle w:val="Bibliography"/>
        <w:rPr/>
      </w:pPr>
      <w:bookmarkStart w:id="149" w:name="ref-upham2026"/>
      <w:r>
        <w:rPr/>
        <w:t xml:space="preserve">Upham, N., C. Burgin, J. Widness, S. Liphardt, C. Parker, M. Becker, I. Rochon, D. Huckaby, and J. Zijlstra. 2026. </w:t>
      </w:r>
      <w:hyperlink r:id="rId107">
        <w:r>
          <w:rPr>
            <w:rStyle w:val="Hyperlink"/>
          </w:rPr>
          <w:t>Mammal Diversity Database v2.4</w:t>
        </w:r>
      </w:hyperlink>
      <w:r>
        <w:rPr/>
        <w:t>.</w:t>
      </w:r>
      <w:bookmarkEnd w:id="149"/>
    </w:p>
    <w:p>
      <w:pPr>
        <w:pStyle w:val="Bibliography"/>
        <w:rPr/>
      </w:pPr>
      <w:bookmarkStart w:id="150" w:name="ref-vallejos-garrido2023"/>
      <w:r>
        <w:rPr/>
        <w:t xml:space="preserve">Vallejos-Garrido, P., K. Pino, N. Espinoza-Aravena, A. Pari, O. Inostroza-Michael, M. Toledo-Muñoz, B. Castillo-Ravanal, V. Romero-Alarcón, C. E. Hernández, R. E. Palma, and E. Rodríguez-Serrano. 2023. </w:t>
      </w:r>
      <w:hyperlink r:id="rId108">
        <w:r>
          <w:rPr>
            <w:rStyle w:val="Hyperlink"/>
          </w:rPr>
          <w:t>The importance of the Andes in the evolutionary radiation of Sigmodontinae (Rodentia, Cricetidae), the most diverse group of mammals in the Neotropics</w:t>
        </w:r>
      </w:hyperlink>
      <w:r>
        <w:rPr/>
        <w:t>. Scientific Reports 13:2207.</w:t>
      </w:r>
      <w:bookmarkEnd w:id="150"/>
    </w:p>
    <w:p>
      <w:pPr>
        <w:pStyle w:val="Bibliography"/>
        <w:rPr/>
      </w:pPr>
      <w:bookmarkStart w:id="151" w:name="ref-vanvalen1960"/>
      <w:r>
        <w:rPr/>
        <w:t xml:space="preserve">Van Valen, L. 1960. </w:t>
      </w:r>
      <w:hyperlink r:id="rId109">
        <w:r>
          <w:rPr>
            <w:rStyle w:val="Hyperlink"/>
          </w:rPr>
          <w:t>A functional index of hypsodonty</w:t>
        </w:r>
      </w:hyperlink>
      <w:r>
        <w:rPr/>
        <w:t>. Evolution 14:531–532.</w:t>
      </w:r>
      <w:bookmarkEnd w:id="151"/>
    </w:p>
    <w:p>
      <w:pPr>
        <w:pStyle w:val="Bibliography"/>
        <w:rPr/>
      </w:pPr>
      <w:bookmarkStart w:id="152" w:name="ref-vanvalen1973"/>
      <w:r>
        <w:rPr/>
        <w:t>Van Valen, L. 1973. A new evolutionary law. Evolutionary Theory 1–30.</w:t>
      </w:r>
      <w:bookmarkEnd w:id="152"/>
    </w:p>
    <w:p>
      <w:pPr>
        <w:pStyle w:val="Bibliography"/>
        <w:rPr/>
      </w:pPr>
      <w:bookmarkStart w:id="153" w:name="ref-vermeij1973"/>
      <w:r>
        <w:rPr/>
        <w:t xml:space="preserve">Vermeij, G. J. 1973a. </w:t>
      </w:r>
      <w:hyperlink r:id="rId110">
        <w:r>
          <w:rPr>
            <w:rStyle w:val="Hyperlink"/>
          </w:rPr>
          <w:t>Adaptation, versatility, and evolution</w:t>
        </w:r>
      </w:hyperlink>
      <w:r>
        <w:rPr/>
        <w:t>. Systematic Zoology 22:466–477.</w:t>
      </w:r>
      <w:bookmarkEnd w:id="153"/>
    </w:p>
    <w:p>
      <w:pPr>
        <w:pStyle w:val="Bibliography"/>
        <w:rPr/>
      </w:pPr>
      <w:bookmarkStart w:id="154" w:name="ref-vermeij_pnas_1973"/>
      <w:r>
        <w:rPr/>
        <w:t xml:space="preserve">Vermeij, G. J. 1973b. </w:t>
      </w:r>
      <w:hyperlink r:id="rId111">
        <w:r>
          <w:rPr>
            <w:rStyle w:val="Hyperlink"/>
          </w:rPr>
          <w:t>Biological versatility and earth history</w:t>
        </w:r>
      </w:hyperlink>
      <w:r>
        <w:rPr/>
        <w:t>. Proceedings of the National Academy of Sciences 70:1936–1938. Proceedings of the National Academy of Sciences.</w:t>
      </w:r>
      <w:bookmarkEnd w:id="154"/>
    </w:p>
    <w:p>
      <w:pPr>
        <w:pStyle w:val="Bibliography"/>
        <w:rPr/>
      </w:pPr>
      <w:bookmarkStart w:id="155" w:name="ref-vucetich2015"/>
      <w:r>
        <w:rPr/>
        <w:t xml:space="preserve">Vucetich, M. G., M. Arnal, C. M. Deschamps, and M. E. Pérez. 2015. A brief history of caviomorph rodents as told by the fossil record. Pp. 11–62 </w:t>
      </w:r>
      <w:r>
        <w:rPr>
          <w:i/>
          <w:iCs/>
        </w:rPr>
        <w:t>in</w:t>
      </w:r>
      <w:r>
        <w:rPr/>
        <w:t xml:space="preserve"> A. I. Vassalo and D. Antenucci, eds. Biology of caviomorph rodents: Diversity and evolution. Sociedad Argentina para el Estudio de los Mammíferos (SAREM), Buenos Aires, Argentina.</w:t>
      </w:r>
      <w:bookmarkEnd w:id="155"/>
    </w:p>
    <w:p>
      <w:pPr>
        <w:pStyle w:val="Bibliography"/>
        <w:rPr/>
      </w:pPr>
      <w:bookmarkStart w:id="156" w:name="ref-wallace1878"/>
      <w:r>
        <w:rPr/>
        <w:t>Wallace, A. R. 1878. Tropical Nature, and Other Essays. Macmillan; Company.</w:t>
      </w:r>
      <w:bookmarkEnd w:id="156"/>
    </w:p>
    <w:p>
      <w:pPr>
        <w:pStyle w:val="Bibliography"/>
        <w:rPr/>
      </w:pPr>
      <w:bookmarkStart w:id="157" w:name="ref-webb1985"/>
      <w:r>
        <w:rPr/>
        <w:t xml:space="preserve">Webb, S. D. 1985. Late cenozoic mammal dispersals between the americas. </w:t>
      </w:r>
      <w:r>
        <w:rPr>
          <w:i/>
          <w:iCs/>
        </w:rPr>
        <w:t>in</w:t>
      </w:r>
      <w:r>
        <w:rPr/>
        <w:t xml:space="preserve"> F. G. Stehli and S. D. Webb, eds. The great american biotic interchange.</w:t>
      </w:r>
      <w:bookmarkEnd w:id="157"/>
    </w:p>
    <w:p>
      <w:pPr>
        <w:pStyle w:val="Bibliography"/>
        <w:rPr/>
      </w:pPr>
      <w:bookmarkStart w:id="158" w:name="ref-weppe2023"/>
      <w:r>
        <w:rPr/>
        <w:t xml:space="preserve">Weppe, R., F. L. Condamine, G. Guinot, J. Maugoust, and M. J. Orliac. 2023. </w:t>
      </w:r>
      <w:hyperlink r:id="rId112">
        <w:r>
          <w:rPr>
            <w:rStyle w:val="Hyperlink"/>
          </w:rPr>
          <w:t>Drivers of the artiodactyl turnover in insular western europe at the eoceneoligocene transition</w:t>
        </w:r>
      </w:hyperlink>
      <w:r>
        <w:rPr/>
        <w:t>. Proceedings of the National Academy of Sciences 120:e2309945120.</w:t>
      </w:r>
      <w:bookmarkEnd w:id="158"/>
    </w:p>
    <w:p>
      <w:pPr>
        <w:pStyle w:val="Bibliography"/>
        <w:rPr/>
      </w:pPr>
      <w:bookmarkStart w:id="159" w:name="ref-westerhold2020"/>
      <w:r>
        <w:rPr/>
        <w:t xml:space="preserve">Westerhold, T., N. Marwan, A. J. Drury, D. Liebrand, C. Agnini, E. Anagnostou, J. S. K. Barnet, S. M. Bohaty, D. De Vleeschouwer, F. Florindo, T. Frederichs, D. A. Hodell, A. E. Holbourn, D. Kroon, V. Lauretano, K. Littler, L. J. Lourens, M. Lyle, H. Pälike, U. Röhl, J. Tian, R. H. Wilkens, P. A. Wilson, and J. C. Zachos. 2020. </w:t>
      </w:r>
      <w:hyperlink r:id="rId113">
        <w:r>
          <w:rPr>
            <w:rStyle w:val="Hyperlink"/>
          </w:rPr>
          <w:t>An astronomically dated record of earth’s climate and its predictability over the last 66 million years</w:t>
        </w:r>
      </w:hyperlink>
      <w:r>
        <w:rPr/>
        <w:t>. Science 369:1383–1387.</w:t>
      </w:r>
      <w:bookmarkEnd w:id="159"/>
    </w:p>
    <w:p>
      <w:pPr>
        <w:pStyle w:val="Bibliography"/>
        <w:rPr/>
      </w:pPr>
      <w:bookmarkStart w:id="160" w:name="ref-woods2021"/>
      <w:r>
        <w:rPr/>
        <w:t xml:space="preserve">Woods, R., I. Barnes, S. Brace, and S. T. Turvey. 2021. </w:t>
      </w:r>
      <w:hyperlink r:id="rId114">
        <w:r>
          <w:rPr>
            <w:rStyle w:val="Hyperlink"/>
          </w:rPr>
          <w:t>Ancient DNA suggests single colonization and within-archipelago diversification of caribbean caviomorph rodents</w:t>
        </w:r>
      </w:hyperlink>
      <w:r>
        <w:rPr/>
        <w:t>. Molecular Biology and Evolution 38:84–95.</w:t>
      </w:r>
      <w:bookmarkEnd w:id="34"/>
      <w:bookmarkEnd w:id="160"/>
    </w:p>
    <w:p>
      <w:pPr>
        <w:pStyle w:val="Normal"/>
        <w:rPr/>
      </w:pPr>
      <w:r>
        <w:rPr/>
      </w:r>
      <w:bookmarkStart w:id="161" w:name="references"/>
      <w:bookmarkStart w:id="162" w:name="references"/>
      <w:bookmarkEnd w:id="162"/>
      <w:r>
        <w:br w:type="page"/>
      </w:r>
    </w:p>
    <w:p>
      <w:pPr>
        <w:pStyle w:val="Heading1"/>
        <w:spacing w:before="0" w:after="0"/>
        <w:rPr/>
      </w:pPr>
      <w:r>
        <w:rPr/>
        <w:t>Figures</w:t>
      </w:r>
    </w:p>
    <w:tbl>
      <w:tblPr>
        <w:tblStyle w:val="Table"/>
        <w:tblW w:w="5000" w:type="pct"/>
        <w:jc w:val="left"/>
        <w:tblInd w:w="0" w:type="dxa"/>
        <w:tblLayout w:type="fixed"/>
        <w:tblCellMar>
          <w:top w:w="0" w:type="dxa"/>
          <w:left w:w="108" w:type="dxa"/>
          <w:bottom w:w="0" w:type="dxa"/>
          <w:right w:w="108" w:type="dxa"/>
        </w:tblCellMar>
        <w:tblLook w:val="0000" w:noHBand="0" w:noVBand="0" w:firstColumn="0" w:lastRow="0" w:lastColumn="0" w:firstRow="0"/>
      </w:tblPr>
      <w:tblGrid>
        <w:gridCol w:w="9360"/>
      </w:tblGrid>
      <w:tr>
        <w:trPr/>
        <w:tc>
          <w:tcPr>
            <w:tcW w:w="9360" w:type="dxa"/>
            <w:tcBorders/>
          </w:tcPr>
          <w:p>
            <w:pPr>
              <w:pStyle w:val="Compact"/>
              <w:spacing w:before="36" w:after="36"/>
              <w:jc w:val="center"/>
              <w:rPr/>
            </w:pPr>
            <w:bookmarkStart w:id="163" w:name="fig-context"/>
            <w:r>
              <w:rPr/>
              <w:drawing>
                <wp:inline distT="0" distB="0" distL="0" distR="0">
                  <wp:extent cx="4679950" cy="5400040"/>
                  <wp:effectExtent l="0" t="0" r="0" b="0"/>
                  <wp:docPr id="1"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
                          <pic:cNvPicPr>
                            <a:picLocks noChangeAspect="1" noChangeArrowheads="1"/>
                          </pic:cNvPicPr>
                        </pic:nvPicPr>
                        <pic:blipFill>
                          <a:blip r:embed="rId115"/>
                          <a:stretch>
                            <a:fillRect/>
                          </a:stretch>
                        </pic:blipFill>
                        <pic:spPr bwMode="auto">
                          <a:xfrm>
                            <a:off x="0" y="0"/>
                            <a:ext cx="4679950" cy="5400040"/>
                          </a:xfrm>
                          <a:prstGeom prst="rect">
                            <a:avLst/>
                          </a:prstGeom>
                        </pic:spPr>
                      </pic:pic>
                    </a:graphicData>
                  </a:graphic>
                </wp:inline>
              </w:drawing>
            </w:r>
          </w:p>
          <w:p>
            <w:pPr>
              <w:pStyle w:val="ImageCaption"/>
              <w:spacing w:before="200" w:after="200"/>
              <w:jc w:val="left"/>
              <w:rPr/>
            </w:pPr>
            <w:r>
              <w:rPr/>
              <w:t xml:space="preserve">Figure 1: A glimpse into the evolutionary history of Chinchilloidea : combined perspectives from dated phylogenies and the fossil record. On the top left corner, we represented the extant caviomorph tree of life, encompassing four superfamilies: Octodontoidea, Cavioidea, Erethizontoidea and Chinchilloidea. At present, Chinchilloidea encompass eight species, represented on their dated sub-tree along with a few silhouettes (credits in Table S3). Purple bars represent node age 95% Confidence Interval. On the bottom part of the figure, we plotted the raw chinchilloid species count across 5-Myr time bins from the fossil occurrence dataset that we built </w:t>
            </w:r>
            <w:r>
              <w:rPr>
                <w:i/>
                <w:iCs/>
              </w:rPr>
              <w:t>de novo</w:t>
            </w:r>
            <w:r>
              <w:rPr/>
              <w:t xml:space="preserve">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124</m:t>
              </m:r>
            </m:oMath>
            <w:r>
              <w:rPr/>
              <w:t xml:space="preserve"> species). In the Late Miocene, up to 37 chinchilloid species were co-existing in a 5-Myr frame, contrasting with the extant diversity of the group. This paper seeks to understand the causes of this striking diversity decline.</w:t>
            </w:r>
            <w:bookmarkEnd w:id="163"/>
          </w:p>
        </w:tc>
      </w:tr>
      <w:tr>
        <w:trPr/>
        <w:tc>
          <w:tcPr>
            <w:tcW w:w="9360" w:type="dxa"/>
            <w:tcBorders/>
          </w:tcPr>
          <w:p>
            <w:pPr>
              <w:pStyle w:val="Compact"/>
              <w:spacing w:before="36" w:after="36"/>
              <w:jc w:val="center"/>
              <w:rPr/>
            </w:pPr>
            <w:bookmarkStart w:id="164" w:name="fig-ExtSampl"/>
            <w:r>
              <w:rPr/>
              <w:drawing>
                <wp:inline distT="0" distB="0" distL="0" distR="0">
                  <wp:extent cx="5400040" cy="1485900"/>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116"/>
                          <a:stretch>
                            <a:fillRect/>
                          </a:stretch>
                        </pic:blipFill>
                        <pic:spPr bwMode="auto">
                          <a:xfrm>
                            <a:off x="0" y="0"/>
                            <a:ext cx="5400040" cy="1485900"/>
                          </a:xfrm>
                          <a:prstGeom prst="rect">
                            <a:avLst/>
                          </a:prstGeom>
                        </pic:spPr>
                      </pic:pic>
                    </a:graphicData>
                  </a:graphic>
                </wp:inline>
              </w:drawing>
            </w:r>
          </w:p>
          <w:p>
            <w:pPr>
              <w:pStyle w:val="ImageCaption"/>
              <w:spacing w:before="200" w:after="200"/>
              <w:jc w:val="left"/>
              <w:rPr/>
            </w:pPr>
            <w:r>
              <w:rPr/>
              <w:t xml:space="preserve">Figure 2: Visual representation of the occurrence sampling scheme that we implemented for extant species lacking fossil record. We approximated the posterior distribution of the divergence times leading to a given extant species </w:t>
            </w:r>
            <w:r>
              <w:rPr/>
            </w:r>
            <m:oMath xmlns:m="http://schemas.openxmlformats.org/officeDocument/2006/math">
              <m:r>
                <w:rPr>
                  <w:rFonts w:ascii="Cambria Math" w:hAnsi="Cambria Math"/>
                </w:rPr>
                <m:t xml:space="preserve">i</m:t>
              </m:r>
            </m:oMath>
            <w:r>
              <w:rPr/>
              <w:t xml:space="preserve"> (denoted </w:t>
            </w:r>
            <w:r>
              <w:rPr/>
            </w:r>
            <m:oMath xmlns:m="http://schemas.openxmlformats.org/officeDocument/2006/math">
              <m:sSub>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Sub>
            </m:oMath>
            <w:r>
              <w:rPr/>
              <w:t xml:space="preserve">) with a gaussian of mean and variance determined by the lower and upper boundaries of the empirical 95% HPD of </w:t>
            </w:r>
            <w:r>
              <w:rPr/>
            </w:r>
            <m:oMath xmlns:m="http://schemas.openxmlformats.org/officeDocument/2006/math">
              <m:sSub>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Sub>
            </m:oMath>
            <w:r>
              <w:rPr/>
              <w:t xml:space="preserve"> (resp. </w:t>
            </w:r>
            <w:r>
              <w:rPr/>
            </w:r>
            <m:oMath xmlns:m="http://schemas.openxmlformats.org/officeDocument/2006/math">
              <m:sSubSup>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up>
                  <m:r>
                    <w:rPr>
                      <w:rFonts w:ascii="Cambria Math" w:hAnsi="Cambria Math"/>
                    </w:rPr>
                    <m:t xml:space="preserve">2.5</m:t>
                  </m:r>
                  <m:r>
                    <m:rPr>
                      <m:lit/>
                      <m:nor/>
                    </m:rPr>
                    <w:rPr>
                      <w:rFonts w:ascii="Cambria Math" w:hAnsi="Cambria Math"/>
                    </w:rPr>
                    <m:t xml:space="preserve">%</m:t>
                  </m:r>
                </m:sup>
              </m:sSubSup>
            </m:oMath>
            <w:r>
              <w:rPr/>
              <w:t xml:space="preserve"> and </w:t>
            </w:r>
            <w:r>
              <w:rPr/>
            </w:r>
            <m:oMath xmlns:m="http://schemas.openxmlformats.org/officeDocument/2006/math">
              <m:sSubSup>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up>
                  <m:r>
                    <w:rPr>
                      <w:rFonts w:ascii="Cambria Math" w:hAnsi="Cambria Math"/>
                    </w:rPr>
                    <m:t xml:space="preserve">97.5</m:t>
                  </m:r>
                  <m:r>
                    <m:rPr>
                      <m:lit/>
                      <m:nor/>
                    </m:rPr>
                    <w:rPr>
                      <w:rFonts w:ascii="Cambria Math" w:hAnsi="Cambria Math"/>
                    </w:rPr>
                    <m:t xml:space="preserve">%</m:t>
                  </m:r>
                </m:sup>
              </m:sSubSup>
            </m:oMath>
            <w:r>
              <w:rPr/>
              <w:t>) (</w:t>
            </w:r>
            <w:r>
              <w:rPr>
                <w:b/>
                <w:bCs/>
              </w:rPr>
              <w:t>A</w:t>
            </w:r>
            <w:r>
              <w:rPr/>
              <w:t xml:space="preserve">). Then, we randomly drew a value </w:t>
            </w:r>
            <w:r>
              <w:rPr/>
            </w:r>
            <m:oMath xmlns:m="http://schemas.openxmlformats.org/officeDocument/2006/math">
              <m:sSubSup>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up>
                  <m:r>
                    <w:rPr>
                      <w:rFonts w:ascii="Cambria Math" w:hAnsi="Cambria Math"/>
                    </w:rPr>
                    <m:t xml:space="preserve">⋆</m:t>
                  </m:r>
                </m:sup>
              </m:sSubSup>
            </m:oMath>
            <w:r>
              <w:rPr/>
              <w:t xml:space="preserve"> from this distribution, serving as a lower boundary for the species’ origination time (</w:t>
            </w:r>
            <w:r>
              <w:rPr>
                <w:b/>
                <w:bCs/>
              </w:rPr>
              <w:t>B</w:t>
            </w:r>
            <w:r>
              <w:rPr/>
              <w:t>). We then drew simulated occurrence’s minimum and maximum ages (resp. ‘MinAge’ and ‘MaxAge’) from a truncated exponential distribution (</w:t>
            </w:r>
            <w:r>
              <w:rPr/>
            </w:r>
            <m:oMath xmlns:m="http://schemas.openxmlformats.org/officeDocument/2006/math">
              <m:sSup>
                <m:e/>
                <m:sup>
                  <m:r>
                    <w:rPr>
                      <w:rFonts w:ascii="Cambria Math" w:hAnsi="Cambria Math"/>
                    </w:rPr>
                    <m:t xml:space="preserve">t</m:t>
                  </m:r>
                  <m:r>
                    <w:rPr>
                      <w:rFonts w:ascii="Cambria Math" w:hAnsi="Cambria Math"/>
                    </w:rPr>
                    <m:t xml:space="preserve">r</m:t>
                  </m:r>
                </m:sup>
              </m:sSup>
              <m:r>
                <w:rPr>
                  <w:rFonts w:ascii="Cambria Math" w:hAnsi="Cambria Math"/>
                </w:rPr>
                <m:t xml:space="preserve">ϵ</m:t>
              </m:r>
            </m:oMath>
            <w:r>
              <w:rPr/>
              <w:t xml:space="preserve">) of rate </w:t>
            </w:r>
            <w:r>
              <w:rPr/>
            </w:r>
            <m:oMath xmlns:m="http://schemas.openxmlformats.org/officeDocument/2006/math">
              <m:r>
                <w:rPr>
                  <w:rFonts w:ascii="Cambria Math" w:hAnsi="Cambria Math"/>
                </w:rPr>
                <m:t xml:space="preserve">γ</m:t>
              </m:r>
            </m:oMath>
            <w:r>
              <w:rPr/>
              <w:t xml:space="preserve"> determined so that a proportion </w:t>
            </w:r>
            <w:r>
              <w:rPr/>
            </w:r>
            <m:oMath xmlns:m="http://schemas.openxmlformats.org/officeDocument/2006/math">
              <m:r>
                <w:rPr>
                  <w:rFonts w:ascii="Cambria Math" w:hAnsi="Cambria Math"/>
                </w:rPr>
                <m:t xml:space="preserve">α</m:t>
              </m:r>
            </m:oMath>
            <w:r>
              <w:rPr/>
              <w:t xml:space="preserve"> of the non-truncated distribution lies between </w:t>
            </w:r>
            <w:r>
              <w:rPr/>
            </w:r>
            <m:oMath xmlns:m="http://schemas.openxmlformats.org/officeDocument/2006/math">
              <m:r>
                <w:rPr>
                  <w:rFonts w:ascii="Cambria Math" w:hAnsi="Cambria Math"/>
                </w:rPr>
                <m:t xml:space="preserve">0</m:t>
              </m:r>
            </m:oMath>
            <w:r>
              <w:rPr/>
              <w:t xml:space="preserve"> and </w:t>
            </w:r>
            <w:r>
              <w:rPr/>
            </w:r>
            <m:oMath xmlns:m="http://schemas.openxmlformats.org/officeDocument/2006/math">
              <m:sSubSup>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up>
                  <m:r>
                    <w:rPr>
                      <w:rFonts w:ascii="Cambria Math" w:hAnsi="Cambria Math"/>
                    </w:rPr>
                    <m:t xml:space="preserve">⋆</m:t>
                  </m:r>
                </m:sup>
              </m:sSubSup>
            </m:oMath>
            <w:r>
              <w:rPr/>
              <w:t xml:space="preserve"> (</w:t>
            </w:r>
            <w:r>
              <w:rPr>
                <w:b/>
                <w:bCs/>
              </w:rPr>
              <w:t>C–D</w:t>
            </w:r>
            <w:r>
              <w:rPr/>
              <w:t xml:space="preserve">). Steps </w:t>
            </w:r>
            <w:r>
              <w:rPr>
                <w:b/>
                <w:bCs/>
              </w:rPr>
              <w:t>B–D</w:t>
            </w:r>
            <w:r>
              <w:rPr/>
              <w:t xml:space="preserve"> were repeated </w:t>
            </w:r>
            <w:r>
              <w:rPr/>
            </w:r>
            <m:oMath xmlns:m="http://schemas.openxmlformats.org/officeDocument/2006/math">
              <m:r>
                <w:rPr>
                  <w:rFonts w:ascii="Cambria Math" w:hAnsi="Cambria Math"/>
                </w:rPr>
                <m:t xml:space="preserve">n</m:t>
              </m:r>
            </m:oMath>
            <w:r>
              <w:rPr/>
              <w:t xml:space="preserve"> times, so we finally ended up with </w:t>
            </w:r>
            <w:r>
              <w:rPr/>
            </w:r>
            <m:oMath xmlns:m="http://schemas.openxmlformats.org/officeDocument/2006/math">
              <m:r>
                <w:rPr>
                  <w:rFonts w:ascii="Cambria Math" w:hAnsi="Cambria Math"/>
                </w:rPr>
                <m:t xml:space="preserve">n</m:t>
              </m:r>
            </m:oMath>
            <w:r>
              <w:rPr/>
              <w:t xml:space="preserve"> simulated occurrences per extant species lacking fossil record. In practise, we set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10</m:t>
              </m:r>
            </m:oMath>
            <w:r>
              <w:rPr/>
              <w:t xml:space="preserve"> and </w:t>
            </w:r>
            <w:r>
              <w:rPr/>
            </w:r>
            <m:oMath xmlns:m="http://schemas.openxmlformats.org/officeDocument/2006/math">
              <m:r>
                <w:rPr>
                  <w:rFonts w:ascii="Cambria Math" w:hAnsi="Cambria Math"/>
                </w:rPr>
                <m:t xml:space="preserve">α</m:t>
              </m:r>
              <m:r>
                <w:rPr>
                  <w:rFonts w:ascii="Cambria Math" w:hAnsi="Cambria Math"/>
                </w:rPr>
                <m:t xml:space="preserve">=</m:t>
              </m:r>
              <m:r>
                <w:rPr>
                  <w:rFonts w:ascii="Cambria Math" w:hAnsi="Cambria Math"/>
                </w:rPr>
                <m:t xml:space="preserve">0.95</m:t>
              </m:r>
            </m:oMath>
            <w:r>
              <w:rPr/>
              <w:t xml:space="preserve">, except for </w:t>
            </w:r>
            <w:r>
              <w:rPr>
                <w:i/>
                <w:iCs/>
              </w:rPr>
              <w:t>Dinomys branickii</w:t>
            </w:r>
            <w:r>
              <w:rPr/>
              <w:t xml:space="preserve">, for which we set </w:t>
            </w:r>
            <w:r>
              <w:rPr/>
            </w:r>
            <m:oMath xmlns:m="http://schemas.openxmlformats.org/officeDocument/2006/math">
              <m:r>
                <w:rPr>
                  <w:rFonts w:ascii="Cambria Math" w:hAnsi="Cambria Math"/>
                </w:rPr>
                <m:t xml:space="preserve">α</m:t>
              </m:r>
              <m:r>
                <w:rPr>
                  <w:rFonts w:ascii="Cambria Math" w:hAnsi="Cambria Math"/>
                </w:rPr>
                <m:t xml:space="preserve">=</m:t>
              </m:r>
              <m:r>
                <w:rPr>
                  <w:rFonts w:ascii="Cambria Math" w:hAnsi="Cambria Math"/>
                </w:rPr>
                <m:t xml:space="preserve">0.999</m:t>
              </m:r>
            </m:oMath>
            <w:r>
              <w:rPr/>
              <w:t xml:space="preserve">. </w:t>
            </w:r>
            <w:r>
              <w:rPr>
                <w:i/>
                <w:iCs/>
              </w:rPr>
              <w:t>Chinchilla chinchilla</w:t>
            </w:r>
            <w:r>
              <w:rPr/>
              <w:t xml:space="preserve"> silhouette is from </w:t>
            </w:r>
            <w:hyperlink r:id="rId117">
              <w:r>
                <w:rPr>
                  <w:rStyle w:val="Hyperlink"/>
                </w:rPr>
                <w:t>Phylopic</w:t>
              </w:r>
            </w:hyperlink>
            <w:r>
              <w:rPr/>
              <w:t>, see Tab. S3 for additional information.</w:t>
            </w:r>
            <w:bookmarkEnd w:id="164"/>
          </w:p>
        </w:tc>
      </w:tr>
      <w:tr>
        <w:trPr/>
        <w:tc>
          <w:tcPr>
            <w:tcW w:w="9360" w:type="dxa"/>
            <w:tcBorders/>
          </w:tcPr>
          <w:p>
            <w:pPr>
              <w:pStyle w:val="Compact"/>
              <w:spacing w:before="36" w:after="36"/>
              <w:jc w:val="center"/>
              <w:rPr/>
            </w:pPr>
            <w:bookmarkStart w:id="165" w:name="fig-diversityBM"/>
            <w:r>
              <w:rPr/>
              <w:drawing>
                <wp:inline distT="0" distB="0" distL="0" distR="0">
                  <wp:extent cx="1889760" cy="540004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118"/>
                          <a:stretch>
                            <a:fillRect/>
                          </a:stretch>
                        </pic:blipFill>
                        <pic:spPr bwMode="auto">
                          <a:xfrm>
                            <a:off x="0" y="0"/>
                            <a:ext cx="1889760" cy="5400040"/>
                          </a:xfrm>
                          <a:prstGeom prst="rect">
                            <a:avLst/>
                          </a:prstGeom>
                        </pic:spPr>
                      </pic:pic>
                    </a:graphicData>
                  </a:graphic>
                </wp:inline>
              </w:drawing>
            </w:r>
          </w:p>
          <w:p>
            <w:pPr>
              <w:pStyle w:val="ImageCaption"/>
              <w:spacing w:before="200" w:after="200"/>
              <w:jc w:val="left"/>
              <w:rPr/>
            </w:pPr>
            <w:r>
              <w:rPr/>
              <w:t>Figure 3: The joint temporal trends in diversity and clade-wise body size evolution of Chinchilloidea. Occurrence-based diversity reconstructions were either produced in a bayesian preservation-aware framework jointly assessing the times of speciation and extinction of each species (</w:t>
            </w:r>
            <w:hyperlink w:anchor="fig-lifespans">
              <w:r>
                <w:rPr>
                  <w:rStyle w:val="Hyperlink"/>
                </w:rPr>
                <w:t>Figure 4</w:t>
              </w:r>
            </w:hyperlink>
            <w:r>
              <w:rPr/>
              <w:t>) from the temporal occurrence database (PyRate) (</w:t>
            </w:r>
            <w:r>
              <w:rPr>
                <w:i/>
                <w:iCs/>
              </w:rPr>
              <w:t>i</w:t>
            </w:r>
            <w:r>
              <w:rPr/>
              <w:t>.</w:t>
            </w:r>
            <w:r>
              <w:rPr>
                <w:i/>
                <w:iCs/>
              </w:rPr>
              <w:t>e</w:t>
            </w:r>
            <w:r>
              <w:rPr/>
              <w:t xml:space="preserve">., sampled diversity, </w:t>
            </w:r>
            <w:r>
              <w:rPr>
                <w:b/>
                <w:bCs/>
              </w:rPr>
              <w:t>A</w:t>
            </w:r>
            <w:r>
              <w:rPr/>
              <w:t>), or using a simulation-based deep-learning framework incorporating a wide variety of biases to reconstruct the temporal variations of the ‘true’ (</w:t>
            </w:r>
            <w:r>
              <w:rPr>
                <w:i/>
                <w:iCs/>
              </w:rPr>
              <w:t>i</w:t>
            </w:r>
            <w:r>
              <w:rPr/>
              <w:t>.</w:t>
            </w:r>
            <w:r>
              <w:rPr>
                <w:i/>
                <w:iCs/>
              </w:rPr>
              <w:t>e</w:t>
            </w:r>
            <w:r>
              <w:rPr/>
              <w:t xml:space="preserve">., corrected) diversity in 1-Myr time bins (DeepDive) </w:t>
            </w:r>
            <w:r>
              <w:rPr>
                <w:b/>
                <w:bCs/>
              </w:rPr>
              <w:t>(B)</w:t>
            </w:r>
            <w:r>
              <w:rPr/>
              <w:t>. Body mass through time reconstructions (</w:t>
            </w:r>
            <w:r>
              <w:rPr>
                <w:b/>
                <w:bCs/>
              </w:rPr>
              <w:t>C</w:t>
            </w:r>
            <w:r>
              <w:rPr/>
              <w:t xml:space="preserve">, log scale) were produced after binning our body mass estimates of each species in 1-Myr time bins. The body mass of a taxon was included within a given bin if its reconstructed lifepan overlapped with it. The black dot at the right of the plot shows the median body mass of the extant chinchilloids, and the red line shows its range. In all cases, full lines represent median estimates. In </w:t>
            </w:r>
            <w:r>
              <w:rPr>
                <w:b/>
                <w:bCs/>
              </w:rPr>
              <w:t>(A)</w:t>
            </w:r>
            <w:r>
              <w:rPr/>
              <w:t xml:space="preserve">, the ribbon shows the 95% HPD interval of the dievrsity estimate across MCMC iterations. In </w:t>
            </w:r>
            <w:r>
              <w:rPr>
                <w:b/>
                <w:bCs/>
              </w:rPr>
              <w:t>(B)</w:t>
            </w:r>
            <w:r>
              <w:rPr/>
              <w:t xml:space="preserve">, the lighter and darker ribbons respectively encompass 95% and 50% of the per-bin diversity distribution across the 100 DeepDive prediction replicates. In </w:t>
            </w:r>
            <w:r>
              <w:rPr>
                <w:b/>
                <w:bCs/>
              </w:rPr>
              <w:t>(C)</w:t>
            </w:r>
            <w:r>
              <w:rPr/>
              <w:t>, the ribbon depicts the total range of values.</w:t>
            </w:r>
            <w:bookmarkEnd w:id="165"/>
          </w:p>
        </w:tc>
      </w:tr>
      <w:tr>
        <w:trPr/>
        <w:tc>
          <w:tcPr>
            <w:tcW w:w="9360" w:type="dxa"/>
            <w:tcBorders/>
          </w:tcPr>
          <w:p>
            <w:pPr>
              <w:pStyle w:val="Compact"/>
              <w:spacing w:before="36" w:after="36"/>
              <w:jc w:val="center"/>
              <w:rPr/>
            </w:pPr>
            <w:bookmarkStart w:id="166" w:name="fig-lifespans"/>
            <w:r>
              <w:rPr/>
              <w:drawing>
                <wp:inline distT="0" distB="0" distL="0" distR="0">
                  <wp:extent cx="5400040" cy="6840220"/>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119"/>
                          <a:stretch>
                            <a:fillRect/>
                          </a:stretch>
                        </pic:blipFill>
                        <pic:spPr bwMode="auto">
                          <a:xfrm>
                            <a:off x="0" y="0"/>
                            <a:ext cx="5400040" cy="6840220"/>
                          </a:xfrm>
                          <a:prstGeom prst="rect">
                            <a:avLst/>
                          </a:prstGeom>
                        </pic:spPr>
                      </pic:pic>
                    </a:graphicData>
                  </a:graphic>
                </wp:inline>
              </w:drawing>
            </w:r>
          </w:p>
          <w:p>
            <w:pPr>
              <w:pStyle w:val="ImageCaption"/>
              <w:spacing w:before="200" w:after="200"/>
              <w:jc w:val="left"/>
              <w:rPr/>
            </w:pPr>
            <w:r>
              <w:rPr/>
              <w:t xml:space="preserve">Figure 4: Bayesian reconstruction of the longevities of the 124 chinchilloid species considered in our dataset. Each segment depicts the longevity of a given species, that is, the interval between species’ speciation and extinction times averaged across PyRate runs that achieved convergence. Segments and taxonomic names were coloured according to the body mass category to which species were assigned. The histogram at the centre of the plot shows the number of species within each body mass class. The 8 extant species names are highlighted in bold with a star at the end. Except </w:t>
            </w:r>
            <w:r>
              <w:rPr>
                <w:i/>
                <w:iCs/>
              </w:rPr>
              <w:t>Lagostomus maximus</w:t>
            </w:r>
            <w:r>
              <w:rPr/>
              <w:t xml:space="preserve">, these taxa had almost no fossil record. Consequently, their age of origination was estimated with the method presented in </w:t>
            </w:r>
            <w:hyperlink w:anchor="fig-ExtSampl">
              <w:r>
                <w:rPr>
                  <w:rStyle w:val="Hyperlink"/>
                </w:rPr>
                <w:t>Figure 2</w:t>
              </w:r>
            </w:hyperlink>
            <w:r>
              <w:rPr/>
              <w:t>. The first four silhouettes (from top to bottom) are from Phylopic (credits available in Table S3). The last two silhouettes (</w:t>
            </w:r>
            <w:r>
              <w:rPr>
                <w:i/>
                <w:iCs/>
              </w:rPr>
              <w:t>Elasmodontomys obliquus</w:t>
            </w:r>
            <w:r>
              <w:rPr/>
              <w:t xml:space="preserve"> and </w:t>
            </w:r>
            <w:r>
              <w:rPr>
                <w:i/>
                <w:iCs/>
              </w:rPr>
              <w:t>Borikenomys praecursor</w:t>
            </w:r>
            <w:r>
              <w:rPr/>
              <w:t>) were designed by L.M. for a previous work (Marivaux et al. 2020).</w:t>
            </w:r>
            <w:bookmarkEnd w:id="166"/>
          </w:p>
        </w:tc>
      </w:tr>
      <w:tr>
        <w:trPr/>
        <w:tc>
          <w:tcPr>
            <w:tcW w:w="9360" w:type="dxa"/>
            <w:tcBorders/>
          </w:tcPr>
          <w:p>
            <w:pPr>
              <w:pStyle w:val="Compact"/>
              <w:spacing w:before="36" w:after="36"/>
              <w:jc w:val="center"/>
              <w:rPr/>
            </w:pPr>
            <w:bookmarkStart w:id="167" w:name="fig-diversification"/>
            <w:r>
              <w:rPr/>
              <w:drawing>
                <wp:inline distT="0" distB="0" distL="0" distR="0">
                  <wp:extent cx="5400040" cy="2591435"/>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120"/>
                          <a:stretch>
                            <a:fillRect/>
                          </a:stretch>
                        </pic:blipFill>
                        <pic:spPr bwMode="auto">
                          <a:xfrm>
                            <a:off x="0" y="0"/>
                            <a:ext cx="5400040" cy="2591435"/>
                          </a:xfrm>
                          <a:prstGeom prst="rect">
                            <a:avLst/>
                          </a:prstGeom>
                        </pic:spPr>
                      </pic:pic>
                    </a:graphicData>
                  </a:graphic>
                </wp:inline>
              </w:drawing>
            </w:r>
          </w:p>
          <w:p>
            <w:pPr>
              <w:pStyle w:val="ImageCaption"/>
              <w:spacing w:before="200" w:after="200"/>
              <w:jc w:val="left"/>
              <w:rPr/>
            </w:pPr>
            <w:r>
              <w:rPr/>
              <w:t xml:space="preserve">Figure 5: Comparative chinchilloid speciation and extinction rates reconstructed using four Bayesian fossil-based birth–death models. Speciation and extinction rates are respectively depicted in blue and red. </w:t>
            </w:r>
            <w:r>
              <w:rPr>
                <w:b/>
                <w:bCs/>
              </w:rPr>
              <w:t>(A–B)</w:t>
            </w:r>
            <w:r>
              <w:rPr/>
              <w:t xml:space="preserve"> show the rates estimated by PyRate, using the rjMCMC algorithm (Silvestro et al. 2019). The star indicates a significant rate shift (see Figure S6). </w:t>
            </w:r>
            <w:r>
              <w:rPr>
                <w:b/>
                <w:bCs/>
              </w:rPr>
              <w:t>(C–D)</w:t>
            </w:r>
            <w:r>
              <w:rPr/>
              <w:t xml:space="preserve"> show the rates estimated with the Birth–Death model with Constrained Shifts (BDCS) (Silvestro et al. 2015). </w:t>
            </w:r>
            <w:r>
              <w:rPr>
                <w:b/>
                <w:bCs/>
              </w:rPr>
              <w:t>(E–F)</w:t>
            </w:r>
            <w:r>
              <w:rPr/>
              <w:t xml:space="preserve"> show the marginal rates estimated with BDNN. These were obtained after imputing missing values for taxa with missing trait estimate. As this procedure was repeated 10 times randomly (see </w:t>
            </w:r>
            <w:r>
              <w:rPr>
                <w:i/>
                <w:iCs/>
              </w:rPr>
              <w:t>Methods</w:t>
            </w:r>
            <w:r>
              <w:rPr/>
              <w:t xml:space="preserve">), the rates presented here come from a replicate chosen arbitrarily (replicate 8), but marginal rates through time did not differ across replicates (Figure S16–S17). Last, </w:t>
            </w:r>
            <w:r>
              <w:rPr>
                <w:b/>
                <w:bCs/>
              </w:rPr>
              <w:t>(G–H)</w:t>
            </w:r>
            <w:r>
              <w:rPr/>
              <w:t xml:space="preserve"> show the rates through time estimated by the MBD model as linear combinations of environmental variables.</w:t>
            </w:r>
            <w:bookmarkEnd w:id="167"/>
          </w:p>
        </w:tc>
      </w:tr>
      <w:tr>
        <w:trPr/>
        <w:tc>
          <w:tcPr>
            <w:tcW w:w="9360" w:type="dxa"/>
            <w:tcBorders/>
          </w:tcPr>
          <w:p>
            <w:pPr>
              <w:pStyle w:val="Compact"/>
              <w:spacing w:before="36" w:after="36"/>
              <w:jc w:val="center"/>
              <w:rPr/>
            </w:pPr>
            <w:bookmarkStart w:id="168" w:name="fig-ExtinctionDrivers"/>
            <w:r>
              <w:rPr/>
              <w:drawing>
                <wp:inline distT="0" distB="0" distL="0" distR="0">
                  <wp:extent cx="5305425" cy="5039995"/>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121"/>
                          <a:stretch>
                            <a:fillRect/>
                          </a:stretch>
                        </pic:blipFill>
                        <pic:spPr bwMode="auto">
                          <a:xfrm>
                            <a:off x="0" y="0"/>
                            <a:ext cx="5305425" cy="5039995"/>
                          </a:xfrm>
                          <a:prstGeom prst="rect">
                            <a:avLst/>
                          </a:prstGeom>
                        </pic:spPr>
                      </pic:pic>
                    </a:graphicData>
                  </a:graphic>
                </wp:inline>
              </w:drawing>
            </w:r>
          </w:p>
          <w:p>
            <w:pPr>
              <w:pStyle w:val="ImageCaption"/>
              <w:spacing w:before="200" w:after="200"/>
              <w:jc w:val="left"/>
              <w:rPr/>
            </w:pPr>
            <w:r>
              <w:rPr/>
              <w:t xml:space="preserve">Figure 6: Trait and environmental drivers of chinchilloid extinction rate variations across lineages and time. Plots </w:t>
            </w:r>
            <w:r>
              <w:rPr>
                <w:b/>
                <w:bCs/>
              </w:rPr>
              <w:t>(A–C)</w:t>
            </w:r>
            <w:r>
              <w:rPr/>
              <w:t xml:space="preserve"> depict the effects of the three best predictors of extinction rate variations across lineages according to the BDNN model (Table S6). These include body mass </w:t>
            </w:r>
            <w:r>
              <w:rPr>
                <w:b/>
                <w:bCs/>
              </w:rPr>
              <w:t>(A)</w:t>
            </w:r>
            <w:r>
              <w:rPr/>
              <w:t>, latitude (</w:t>
            </w:r>
            <w:r>
              <w:rPr>
                <w:i/>
                <w:iCs/>
              </w:rPr>
              <w:t>i</w:t>
            </w:r>
            <w:r>
              <w:rPr/>
              <w:t>.</w:t>
            </w:r>
            <w:r>
              <w:rPr>
                <w:i/>
                <w:iCs/>
              </w:rPr>
              <w:t>e</w:t>
            </w:r>
            <w:r>
              <w:rPr/>
              <w:t xml:space="preserve">., tropical </w:t>
            </w:r>
            <w:r>
              <w:rPr>
                <w:i/>
                <w:iCs/>
              </w:rPr>
              <w:t>vs</w:t>
            </w:r>
            <w:r>
              <w:rPr/>
              <w:t xml:space="preserve">. extratropical) </w:t>
            </w:r>
            <w:r>
              <w:rPr>
                <w:b/>
                <w:bCs/>
              </w:rPr>
              <w:t>(B)</w:t>
            </w:r>
            <w:r>
              <w:rPr/>
              <w:t xml:space="preserve"> and the Andean uplift </w:t>
            </w:r>
            <w:r>
              <w:rPr>
                <w:b/>
                <w:bCs/>
              </w:rPr>
              <w:t>(C)</w:t>
            </w:r>
            <w:r>
              <w:rPr/>
              <w:t xml:space="preserve">. ‘FC’ means ‘Fold Change’. These findings are shown along with the outcome of the MBD analyses, showing the posterior distributions of correlation coefficients between the temporal variations of extinction rate and four biotic and abiotic variables </w:t>
            </w:r>
            <w:r>
              <w:rPr>
                <w:b/>
                <w:bCs/>
              </w:rPr>
              <w:t>(D)</w:t>
            </w:r>
            <w:r>
              <w:rPr/>
              <w:t>. These four variables (from top to bottom) are: sea level changes (Miller et al. 2020), Andean uplift (Boschman 2021), regional temperature (Tardif et al. 2025) and self-diversity (</w:t>
            </w:r>
            <w:r>
              <w:rPr>
                <w:i/>
                <w:iCs/>
              </w:rPr>
              <w:t>i</w:t>
            </w:r>
            <w:r>
              <w:rPr/>
              <w:t>.</w:t>
            </w:r>
            <w:r>
              <w:rPr>
                <w:i/>
                <w:iCs/>
              </w:rPr>
              <w:t>e</w:t>
            </w:r>
            <w:r>
              <w:rPr/>
              <w:t xml:space="preserve">., diversity of the group). Significant correlations, </w:t>
            </w:r>
            <w:r>
              <w:rPr>
                <w:i/>
                <w:iCs/>
              </w:rPr>
              <w:t>i</w:t>
            </w:r>
            <w:r>
              <w:rPr/>
              <w:t>.</w:t>
            </w:r>
            <w:r>
              <w:rPr>
                <w:i/>
                <w:iCs/>
              </w:rPr>
              <w:t>e</w:t>
            </w:r>
            <w:r>
              <w:rPr/>
              <w:t>., of which the 95% HPD interval does not significantly overlap with zero, are shown in dark red, and non-significant correlations are shown in light red. Vertical bars show the median correlation coefficient and the boundaries of the associated 95% HPD. Note that Caribbean taxa were excluded from all the analyses presented in this figure.</w:t>
            </w:r>
            <w:bookmarkStart w:id="169" w:name="figures"/>
            <w:bookmarkEnd w:id="168"/>
            <w:bookmarkEnd w:id="169"/>
          </w:p>
        </w:tc>
      </w:tr>
    </w:tbl>
    <w:sectPr>
      <w:footnotePr>
        <w:numFmt w:val="decimal"/>
      </w:footnotePr>
      <w:type w:val="nextPage"/>
      <w:pgSz w:w="12240" w:h="15840"/>
      <w:pgMar w:left="1440" w:right="1440" w:gutter="0" w:header="0" w:top="1440" w:footer="0" w:bottom="1440"/>
      <w:lnNumType w:countBy="1" w:restart="continuous" w:distance="283"/>
      <w:pgNumType w:fmt="decimal"/>
      <w:formProt w:val="false"/>
      <w:textDirection w:val="lrTb"/>
      <w:docGrid w:type="default"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rPr/>
      </w:pPr>
      <w:r>
        <w:rPr>
          <w:rStyle w:val="FootnoteCharacters"/>
        </w:rPr>
        <w:footnoteRef/>
      </w:r>
      <w:r>
        <w:rPr/>
        <w:t xml:space="preserve"> </w:t>
      </w:r>
      <w:r>
        <w:rPr/>
        <w:t xml:space="preserve">One might however mention that, as summarised by Marivaux et al. (2022), the phylogenetic placement of </w:t>
      </w:r>
      <w:r>
        <w:rPr/>
      </w:r>
      <m:oMath xmlns:m="http://schemas.openxmlformats.org/officeDocument/2006/math">
        <m:r>
          <w:rPr>
            <w:rFonts w:ascii="Cambria Math" w:hAnsi="Cambria Math"/>
          </w:rPr>
          <m:t xml:space="preserve">†</m:t>
        </m:r>
      </m:oMath>
      <w:r>
        <w:rPr>
          <w:i/>
          <w:iCs/>
        </w:rPr>
        <w:t>Elasmodontomys</w:t>
      </w:r>
      <w:r>
        <w:rPr/>
        <w:t xml:space="preserve"> still represents a real </w:t>
      </w:r>
      <w:r>
        <w:rPr>
          <w:i/>
          <w:iCs/>
        </w:rPr>
        <w:t>conundrum</w:t>
      </w:r>
      <w:r>
        <w:rPr/>
        <w:t>, with contrasting sources of evidence either suggesting this taxon to be nested within Chinchilloidea (</w:t>
      </w:r>
      <w:r>
        <w:rPr>
          <w:i/>
          <w:iCs/>
        </w:rPr>
        <w:t>e</w:t>
      </w:r>
      <w:r>
        <w:rPr/>
        <w:t>.</w:t>
      </w:r>
      <w:r>
        <w:rPr>
          <w:i/>
          <w:iCs/>
        </w:rPr>
        <w:t>g</w:t>
      </w:r>
      <w:r>
        <w:rPr/>
        <w:t>., Marivaux et al. 2020; Marivaux et al. 2022), Octodontoidea (</w:t>
      </w:r>
      <w:r>
        <w:rPr>
          <w:i/>
          <w:iCs/>
        </w:rPr>
        <w:t>e</w:t>
      </w:r>
      <w:r>
        <w:rPr/>
        <w:t>.</w:t>
      </w:r>
      <w:r>
        <w:rPr>
          <w:i/>
          <w:iCs/>
        </w:rPr>
        <w:t>g</w:t>
      </w:r>
      <w:r>
        <w:rPr/>
        <w:t>., Woods et al. 2021) – another caviomorph superfamily – or to be a morphological intermediate between those two clades (</w:t>
      </w:r>
      <w:r>
        <w:rPr>
          <w:i/>
          <w:iCs/>
        </w:rPr>
        <w:t>i</w:t>
      </w:r>
      <w:r>
        <w:rPr/>
        <w:t>.</w:t>
      </w:r>
      <w:r>
        <w:rPr>
          <w:i/>
          <w:iCs/>
        </w:rPr>
        <w:t>e</w:t>
      </w:r>
      <w:r>
        <w:rPr/>
        <w:t>., Octochinchilloi, sensu Boivin et al. (2019)) (MacPhee 2011; Da Cunha et al. 2023).</w:t>
      </w:r>
    </w:p>
  </w:footnote>
  <w:footnote w:id="3">
    <w:p>
      <w:pPr>
        <w:pStyle w:val="FootnoteText"/>
        <w:rPr/>
      </w:pPr>
      <w:r>
        <w:rPr>
          <w:rStyle w:val="FootnoteCharacters"/>
        </w:rPr>
        <w:footnoteRef/>
      </w:r>
      <w:r>
        <w:rPr/>
        <w:t xml:space="preserve"> </w:t>
      </w:r>
      <w:r>
        <w:rPr/>
        <w:t xml:space="preserve">Remains of </w:t>
      </w:r>
      <w:r>
        <w:rPr>
          <w:i/>
          <w:iCs/>
        </w:rPr>
        <w:t>Chinchilla chinchilla</w:t>
      </w:r>
      <w:r>
        <w:rPr/>
        <w:t xml:space="preserve"> were in fact once reported from an archaeological assemblage, but we assume their age to be too close to the present to provide useful information on the time of speciation of the species.</w:t>
      </w:r>
    </w:p>
  </w:footnote>
  <w:footnote w:id="4">
    <w:p>
      <w:pPr>
        <w:pStyle w:val="FootnoteText"/>
        <w:rPr/>
      </w:pPr>
      <w:r>
        <w:rPr>
          <w:rStyle w:val="FootnoteCharacters"/>
        </w:rPr>
        <w:footnoteRef/>
      </w:r>
      <w:r>
        <w:rPr/>
        <w:t xml:space="preserve"> </w:t>
      </w:r>
      <w:r>
        <w:rPr/>
        <w:t xml:space="preserve">Same as for </w:t>
      </w:r>
      <w:r>
        <w:rPr>
          <w:i/>
          <w:iCs/>
        </w:rPr>
        <w:t>Lagidium viscacia</w:t>
      </w:r>
      <w:r>
        <w:rPr/>
        <w:t xml:space="preserve"> remains.</w:t>
      </w:r>
    </w:p>
  </w:footnote>
  <w:footnote w:id="5">
    <w:p>
      <w:pPr>
        <w:pStyle w:val="FootnoteText"/>
        <w:rPr/>
      </w:pPr>
      <w:r>
        <w:rPr>
          <w:rStyle w:val="FootnoteCharacters"/>
        </w:rPr>
        <w:footnoteRef/>
      </w:r>
      <w:r>
        <w:rPr/>
        <w:t xml:space="preserve"> </w:t>
      </w:r>
      <w:r>
        <w:rPr>
          <w:i/>
          <w:iCs/>
        </w:rPr>
        <w:t>Amblyrhiza inundata</w:t>
      </w:r>
      <w:r>
        <w:rPr/>
        <w:t xml:space="preserve">, </w:t>
      </w:r>
      <w:r>
        <w:rPr>
          <w:i/>
          <w:iCs/>
        </w:rPr>
        <w:t>Borikenomys praecursor</w:t>
      </w:r>
      <w:r>
        <w:rPr/>
        <w:t xml:space="preserve">, </w:t>
      </w:r>
      <w:r>
        <w:rPr>
          <w:i/>
          <w:iCs/>
        </w:rPr>
        <w:t>Clidomys osborni</w:t>
      </w:r>
      <w:r>
        <w:rPr/>
        <w:t xml:space="preserve">, </w:t>
      </w:r>
      <w:r>
        <w:rPr>
          <w:i/>
          <w:iCs/>
        </w:rPr>
        <w:t>Elasmodontomys obliquus</w:t>
      </w:r>
      <w:r>
        <w:rPr/>
        <w:t xml:space="preserve">, </w:t>
      </w:r>
      <w:r>
        <w:rPr>
          <w:i/>
          <w:iCs/>
        </w:rPr>
        <w:t>Quemisia gravis</w:t>
      </w:r>
      <w:r>
        <w:rPr/>
        <w:t>.</w:t>
      </w:r>
    </w:p>
  </w:footnote>
  <w:footnote w:id="6">
    <w:p>
      <w:pPr>
        <w:pStyle w:val="FootnoteText"/>
        <w:rPr/>
      </w:pPr>
      <w:r>
        <w:rPr>
          <w:rStyle w:val="FootnoteCharacters"/>
        </w:rPr>
        <w:footnoteRef/>
      </w:r>
      <w:r>
        <w:rPr/>
        <w:t xml:space="preserve"> </w:t>
      </w:r>
      <w:r>
        <w:rPr/>
        <w:t xml:space="preserve">The species that had missing body size and/or crown height category are: </w:t>
      </w:r>
      <w:r>
        <w:rPr>
          <w:i/>
          <w:iCs/>
        </w:rPr>
        <w:t>Agnomys formosus</w:t>
      </w:r>
      <w:r>
        <w:rPr/>
        <w:t xml:space="preserve">, </w:t>
      </w:r>
      <w:r>
        <w:rPr>
          <w:i/>
          <w:iCs/>
        </w:rPr>
        <w:t>Eusigmomys friasensis</w:t>
      </w:r>
      <w:r>
        <w:rPr/>
        <w:t xml:space="preserve">, </w:t>
      </w:r>
      <w:r>
        <w:rPr>
          <w:i/>
          <w:iCs/>
        </w:rPr>
        <w:t>Perimys pueraster</w:t>
      </w:r>
      <w:r>
        <w:rPr/>
        <w:t xml:space="preserve"> and </w:t>
      </w:r>
      <w:r>
        <w:rPr>
          <w:i/>
          <w:iCs/>
        </w:rPr>
        <w:t>Perimys oemulus</w:t>
      </w:r>
      <w:r>
        <w:rPr/>
        <w:t>.</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926"/>
        </w:tabs>
        <w:ind w:left="926"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643"/>
        </w:tabs>
        <w:ind w:left="643"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bullet"/>
      <w:lvlText w:val=""/>
      <w:lvlJc w:val="left"/>
      <w:pPr>
        <w:tabs>
          <w:tab w:val="num" w:pos="643"/>
        </w:tabs>
        <w:ind w:left="643"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40"/>
  <w:embedSystemFonts/>
  <w:defaultTabStop w:val="720"/>
  <w:autoHyphenation w:val="true"/>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5e7dbf"/>
    <w:pPr>
      <w:widowControl/>
      <w:suppressAutoHyphens w:val="true"/>
      <w:bidi w:val="0"/>
      <w:spacing w:before="0" w:after="200"/>
      <w:jc w:val="left"/>
    </w:pPr>
    <w:rPr>
      <w:rFonts w:ascii="Times New Roman" w:hAnsi="Times New Roman" w:eastAsia="Cambria" w:cs="" w:cstheme="minorBidi" w:eastAsiaTheme="minorHAnsi"/>
      <w:color w:val="auto"/>
      <w:kern w:val="0"/>
      <w:sz w:val="22"/>
      <w:szCs w:val="24"/>
      <w:lang w:val="en-US" w:eastAsia="en-US" w:bidi="ar-SA"/>
    </w:rPr>
  </w:style>
  <w:style w:type="paragraph" w:styleId="Heading1">
    <w:name w:val="Heading 1"/>
    <w:basedOn w:val="Normal"/>
    <w:next w:val="BodyText"/>
    <w:uiPriority w:val="9"/>
    <w:qFormat/>
    <w:rsid w:val="00e4579e"/>
    <w:pPr>
      <w:keepNext w:val="true"/>
      <w:keepLines/>
      <w:spacing w:before="480" w:after="0"/>
      <w:outlineLvl w:val="0"/>
    </w:pPr>
    <w:rPr>
      <w:rFonts w:eastAsia="" w:cs="" w:cstheme="majorBidi" w:eastAsiaTheme="majorEastAsia"/>
      <w:b/>
      <w:bCs/>
      <w:color w:themeColor="text1" w:val="000000"/>
      <w:sz w:val="32"/>
      <w:szCs w:val="32"/>
    </w:rPr>
  </w:style>
  <w:style w:type="paragraph" w:styleId="Heading2">
    <w:name w:val="Heading 2"/>
    <w:basedOn w:val="Normal"/>
    <w:next w:val="BodyText"/>
    <w:uiPriority w:val="9"/>
    <w:unhideWhenUsed/>
    <w:qFormat/>
    <w:rsid w:val="00e4579e"/>
    <w:pPr>
      <w:keepNext w:val="true"/>
      <w:keepLines/>
      <w:spacing w:before="200" w:after="0"/>
      <w:outlineLvl w:val="1"/>
    </w:pPr>
    <w:rPr>
      <w:rFonts w:eastAsia="" w:cs="" w:cstheme="majorBidi" w:eastAsiaTheme="majorEastAsia"/>
      <w:b/>
      <w:bCs/>
      <w:color w:themeColor="text1" w:val="000000"/>
      <w:sz w:val="28"/>
      <w:szCs w:val="28"/>
    </w:rPr>
  </w:style>
  <w:style w:type="paragraph" w:styleId="Heading3">
    <w:name w:val="Heading 3"/>
    <w:basedOn w:val="Normal"/>
    <w:next w:val="BodyText"/>
    <w:uiPriority w:val="9"/>
    <w:unhideWhenUsed/>
    <w:qFormat/>
    <w:rsid w:val="00e4579e"/>
    <w:pPr>
      <w:keepNext w:val="true"/>
      <w:keepLines/>
      <w:spacing w:before="200" w:after="0"/>
      <w:outlineLvl w:val="2"/>
    </w:pPr>
    <w:rPr>
      <w:rFonts w:eastAsia="" w:cs="Times New Roman" w:eastAsiaTheme="majorEastAsia"/>
      <w:b/>
      <w:bCs/>
      <w:color w:themeColor="text1" w:val="000000"/>
    </w:rPr>
  </w:style>
  <w:style w:type="paragraph" w:styleId="Heading4">
    <w:name w:val="Heading 4"/>
    <w:basedOn w:val="Normal"/>
    <w:next w:val="BodyText"/>
    <w:uiPriority w:val="9"/>
    <w:unhideWhenUsed/>
    <w:qFormat/>
    <w:rsid w:val="00e4579e"/>
    <w:pPr>
      <w:keepNext w:val="true"/>
      <w:keepLines/>
      <w:spacing w:before="200" w:after="0"/>
      <w:outlineLvl w:val="3"/>
    </w:pPr>
    <w:rPr>
      <w:rFonts w:eastAsia="" w:cs="Times New Roman" w:eastAsiaTheme="majorEastAsia"/>
      <w:bCs/>
      <w:color w:themeColor="text1" w:val="000000"/>
    </w:rPr>
  </w:style>
  <w:style w:type="paragraph" w:styleId="Heading5">
    <w:name w:val="Heading 5"/>
    <w:basedOn w:val="Normal"/>
    <w:next w:val="BodyText"/>
    <w:uiPriority w:val="9"/>
    <w:unhideWhenUsed/>
    <w:qFormat/>
    <w:rsid w:val="00e4579e"/>
    <w:pPr>
      <w:keepNext w:val="true"/>
      <w:keepLines/>
      <w:spacing w:before="200" w:after="0"/>
      <w:outlineLvl w:val="4"/>
    </w:pPr>
    <w:rPr>
      <w:rFonts w:eastAsia="" w:cs="Times New Roman" w:eastAsiaTheme="majorEastAsia"/>
      <w:color w:themeColor="text1" w:val="000000"/>
    </w:rPr>
  </w:style>
  <w:style w:type="paragraph" w:styleId="Heading6">
    <w:name w:val="Heading 6"/>
    <w:basedOn w:val="Normal"/>
    <w:next w:val="BodyText"/>
    <w:uiPriority w:val="9"/>
    <w:unhideWhenUsed/>
    <w:qFormat/>
    <w:rsid w:val="00e4579e"/>
    <w:pPr>
      <w:keepNext w:val="true"/>
      <w:keepLines/>
      <w:spacing w:before="200" w:after="0"/>
      <w:outlineLvl w:val="5"/>
    </w:pPr>
    <w:rPr>
      <w:rFonts w:eastAsia="" w:cs="Times New Roman" w:eastAsiaTheme="majorEastAsia"/>
      <w:color w:themeColor="text1" w:val="000000"/>
    </w:rPr>
  </w:style>
  <w:style w:type="paragraph" w:styleId="Heading7">
    <w:name w:val="Heading 7"/>
    <w:basedOn w:val="Normal"/>
    <w:next w:val="BodyText"/>
    <w:uiPriority w:val="9"/>
    <w:unhideWhenUsed/>
    <w:qFormat/>
    <w:rsid w:val="00e4579e"/>
    <w:pPr>
      <w:keepNext w:val="true"/>
      <w:keepLines/>
      <w:spacing w:before="200" w:after="0"/>
      <w:outlineLvl w:val="6"/>
    </w:pPr>
    <w:rPr>
      <w:rFonts w:eastAsia="" w:cs="Times New Roman" w:eastAsiaTheme="majorEastAsia"/>
      <w:color w:themeColor="text1" w:val="000000"/>
    </w:rPr>
  </w:style>
  <w:style w:type="paragraph" w:styleId="Heading8">
    <w:name w:val="Heading 8"/>
    <w:basedOn w:val="Normal"/>
    <w:next w:val="BodyText"/>
    <w:uiPriority w:val="9"/>
    <w:unhideWhenUsed/>
    <w:qFormat/>
    <w:rsid w:val="00e4579e"/>
    <w:pPr>
      <w:keepNext w:val="true"/>
      <w:keepLines/>
      <w:spacing w:before="200" w:after="0"/>
      <w:outlineLvl w:val="7"/>
    </w:pPr>
    <w:rPr>
      <w:rFonts w:eastAsia="" w:cs="Times New Roman" w:eastAsiaTheme="majorEastAsia"/>
      <w:color w:themeColor="text1" w:val="000000"/>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rPr>
  </w:style>
  <w:style w:type="character" w:styleId="DefaultParagraphFont" w:default="1">
    <w:name w:val="Default Paragraph Font"/>
    <w:uiPriority w:val="1"/>
    <w:semiHidden/>
    <w:unhideWhenUsed/>
    <w:qFormat/>
    <w:rPr/>
  </w:style>
  <w:style w:type="character" w:styleId="CaptionChar" w:customStyle="1">
    <w:name w:val="Caption Char"/>
    <w:basedOn w:val="DefaultParagraphFont"/>
    <w:link w:val="Caption"/>
    <w:qFormat/>
    <w:rsid w:val="00f94e32"/>
    <w:rPr>
      <w:rFonts w:ascii="Times New Roman" w:hAnsi="Times New Roman" w:cs="Times New Roman"/>
      <w:sz w:val="22"/>
      <w:szCs w:val="22"/>
    </w:rPr>
  </w:style>
  <w:style w:type="character" w:styleId="VerbatimChar" w:customStyle="1">
    <w:name w:val="Verbatim Char"/>
    <w:basedOn w:val="CaptionChar"/>
    <w:link w:val="SourceCode"/>
    <w:qFormat/>
    <w:rPr>
      <w:rFonts w:ascii="Consolas" w:hAnsi="Consolas" w:cs="Times New Roman"/>
      <w:sz w:val="22"/>
      <w:szCs w:val="22"/>
    </w:rPr>
  </w:style>
  <w:style w:type="character" w:styleId="SectionNumber" w:customStyle="1">
    <w:name w:val="Section Number"/>
    <w:basedOn w:val="CaptionChar"/>
    <w:qFormat/>
    <w:rPr>
      <w:rFonts w:ascii="Times New Roman" w:hAnsi="Times New Roman" w:cs="Times New Roman"/>
      <w:sz w:val="22"/>
      <w:szCs w:val="22"/>
    </w:rPr>
  </w:style>
  <w:style w:type="character" w:styleId="FootnoteCharacters">
    <w:name w:val="Footnote Characters"/>
    <w:qFormat/>
    <w:rsid w:val="00e25b66"/>
    <w:rPr>
      <w:rFonts w:ascii="Times New Roman" w:hAnsi="Times New Roman" w:cs="Times New Roman"/>
      <w:sz w:val="24"/>
      <w:szCs w:val="22"/>
      <w:vertAlign w:val="superscript"/>
    </w:rPr>
  </w:style>
  <w:style w:type="character" w:styleId="FootnoteReference">
    <w:name w:val="Footnote Reference"/>
    <w:rPr>
      <w:rFonts w:ascii="Times New Roman" w:hAnsi="Times New Roman" w:cs="Times New Roman"/>
      <w:sz w:val="24"/>
      <w:szCs w:val="22"/>
      <w:vertAlign w:val="superscript"/>
    </w:rPr>
  </w:style>
  <w:style w:type="character" w:styleId="Hyperlink">
    <w:name w:val="Hyperlink"/>
    <w:basedOn w:val="CaptionChar"/>
    <w:rsid w:val="00174dc2"/>
    <w:rPr>
      <w:rFonts w:ascii="Times New Roman" w:hAnsi="Times New Roman" w:cs="Times New Roman"/>
      <w:color w:themeColor="text1" w:val="000000"/>
      <w:sz w:val="22"/>
      <w:szCs w:val="22"/>
    </w:rPr>
  </w:style>
  <w:style w:type="character" w:styleId="KeywordTok" w:customStyle="1">
    <w:name w:val="KeywordTok"/>
    <w:basedOn w:val="VerbatimChar"/>
    <w:qFormat/>
    <w:rPr>
      <w:rFonts w:ascii="Consolas" w:hAnsi="Consolas" w:cs="Times New Roman"/>
      <w:b/>
      <w:color w:val="204A87"/>
      <w:sz w:val="22"/>
      <w:szCs w:val="22"/>
      <w:shd w:fill="F8F8F8" w:val="clear"/>
    </w:rPr>
  </w:style>
  <w:style w:type="character" w:styleId="DataTypeTok" w:customStyle="1">
    <w:name w:val="DataTypeTok"/>
    <w:basedOn w:val="VerbatimChar"/>
    <w:qFormat/>
    <w:rPr>
      <w:rFonts w:ascii="Consolas" w:hAnsi="Consolas" w:cs="Times New Roman"/>
      <w:color w:val="204A87"/>
      <w:sz w:val="22"/>
      <w:szCs w:val="22"/>
      <w:shd w:fill="F8F8F8" w:val="clear"/>
    </w:rPr>
  </w:style>
  <w:style w:type="character" w:styleId="DecValTok" w:customStyle="1">
    <w:name w:val="DecValTok"/>
    <w:basedOn w:val="VerbatimChar"/>
    <w:qFormat/>
    <w:rPr>
      <w:rFonts w:ascii="Consolas" w:hAnsi="Consolas" w:cs="Times New Roman"/>
      <w:color w:val="0000CF"/>
      <w:sz w:val="22"/>
      <w:szCs w:val="22"/>
      <w:shd w:fill="F8F8F8" w:val="clear"/>
    </w:rPr>
  </w:style>
  <w:style w:type="character" w:styleId="BaseNTok" w:customStyle="1">
    <w:name w:val="BaseNTok"/>
    <w:basedOn w:val="VerbatimChar"/>
    <w:qFormat/>
    <w:rPr>
      <w:rFonts w:ascii="Consolas" w:hAnsi="Consolas" w:cs="Times New Roman"/>
      <w:color w:val="0000CF"/>
      <w:sz w:val="22"/>
      <w:szCs w:val="22"/>
      <w:shd w:fill="F8F8F8" w:val="clear"/>
    </w:rPr>
  </w:style>
  <w:style w:type="character" w:styleId="FloatTok" w:customStyle="1">
    <w:name w:val="FloatTok"/>
    <w:basedOn w:val="VerbatimChar"/>
    <w:qFormat/>
    <w:rPr>
      <w:rFonts w:ascii="Consolas" w:hAnsi="Consolas" w:cs="Times New Roman"/>
      <w:color w:val="0000CF"/>
      <w:sz w:val="22"/>
      <w:szCs w:val="22"/>
      <w:shd w:fill="F8F8F8" w:val="clear"/>
    </w:rPr>
  </w:style>
  <w:style w:type="character" w:styleId="ConstantTok" w:customStyle="1">
    <w:name w:val="ConstantTok"/>
    <w:basedOn w:val="VerbatimChar"/>
    <w:qFormat/>
    <w:rPr>
      <w:rFonts w:ascii="Consolas" w:hAnsi="Consolas" w:cs="Times New Roman"/>
      <w:color w:val="000000"/>
      <w:sz w:val="22"/>
      <w:szCs w:val="22"/>
      <w:shd w:fill="F8F8F8" w:val="clear"/>
    </w:rPr>
  </w:style>
  <w:style w:type="character" w:styleId="CharTok" w:customStyle="1">
    <w:name w:val="CharTok"/>
    <w:basedOn w:val="VerbatimChar"/>
    <w:qFormat/>
    <w:rPr>
      <w:rFonts w:ascii="Consolas" w:hAnsi="Consolas" w:cs="Times New Roman"/>
      <w:color w:val="4E9A06"/>
      <w:sz w:val="22"/>
      <w:szCs w:val="22"/>
      <w:shd w:fill="F8F8F8" w:val="clear"/>
    </w:rPr>
  </w:style>
  <w:style w:type="character" w:styleId="SpecialCharTok" w:customStyle="1">
    <w:name w:val="SpecialCharTok"/>
    <w:basedOn w:val="VerbatimChar"/>
    <w:qFormat/>
    <w:rPr>
      <w:rFonts w:ascii="Consolas" w:hAnsi="Consolas" w:cs="Times New Roman"/>
      <w:color w:val="000000"/>
      <w:sz w:val="22"/>
      <w:szCs w:val="22"/>
      <w:shd w:fill="F8F8F8" w:val="clear"/>
    </w:rPr>
  </w:style>
  <w:style w:type="character" w:styleId="StringTok" w:customStyle="1">
    <w:name w:val="StringTok"/>
    <w:basedOn w:val="VerbatimChar"/>
    <w:qFormat/>
    <w:rPr>
      <w:rFonts w:ascii="Consolas" w:hAnsi="Consolas" w:cs="Times New Roman"/>
      <w:color w:val="4E9A06"/>
      <w:sz w:val="22"/>
      <w:szCs w:val="22"/>
      <w:shd w:fill="F8F8F8" w:val="clear"/>
    </w:rPr>
  </w:style>
  <w:style w:type="character" w:styleId="VerbatimStringTok" w:customStyle="1">
    <w:name w:val="VerbatimStringTok"/>
    <w:basedOn w:val="VerbatimChar"/>
    <w:qFormat/>
    <w:rPr>
      <w:rFonts w:ascii="Consolas" w:hAnsi="Consolas" w:cs="Times New Roman"/>
      <w:color w:val="4E9A06"/>
      <w:sz w:val="22"/>
      <w:szCs w:val="22"/>
      <w:shd w:fill="F8F8F8" w:val="clear"/>
    </w:rPr>
  </w:style>
  <w:style w:type="character" w:styleId="SpecialStringTok" w:customStyle="1">
    <w:name w:val="SpecialStringTok"/>
    <w:basedOn w:val="VerbatimChar"/>
    <w:qFormat/>
    <w:rPr>
      <w:rFonts w:ascii="Consolas" w:hAnsi="Consolas" w:cs="Times New Roman"/>
      <w:color w:val="4E9A06"/>
      <w:sz w:val="22"/>
      <w:szCs w:val="22"/>
      <w:shd w:fill="F8F8F8" w:val="clear"/>
    </w:rPr>
  </w:style>
  <w:style w:type="character" w:styleId="ImportTok" w:customStyle="1">
    <w:name w:val="ImportTok"/>
    <w:basedOn w:val="VerbatimChar"/>
    <w:qFormat/>
    <w:rPr>
      <w:rFonts w:ascii="Consolas" w:hAnsi="Consolas" w:cs="Times New Roman"/>
      <w:sz w:val="22"/>
      <w:szCs w:val="22"/>
      <w:shd w:fill="F8F8F8" w:val="clear"/>
    </w:rPr>
  </w:style>
  <w:style w:type="character" w:styleId="CommentTok" w:customStyle="1">
    <w:name w:val="CommentTok"/>
    <w:basedOn w:val="VerbatimChar"/>
    <w:qFormat/>
    <w:rPr>
      <w:rFonts w:ascii="Consolas" w:hAnsi="Consolas" w:cs="Times New Roman"/>
      <w:i/>
      <w:color w:val="8F5902"/>
      <w:sz w:val="22"/>
      <w:szCs w:val="22"/>
      <w:shd w:fill="F8F8F8" w:val="clear"/>
    </w:rPr>
  </w:style>
  <w:style w:type="character" w:styleId="DocumentationTok" w:customStyle="1">
    <w:name w:val="DocumentationTok"/>
    <w:basedOn w:val="VerbatimChar"/>
    <w:qFormat/>
    <w:rPr>
      <w:rFonts w:ascii="Consolas" w:hAnsi="Consolas" w:cs="Times New Roman"/>
      <w:b/>
      <w:i/>
      <w:color w:val="8F5902"/>
      <w:sz w:val="22"/>
      <w:szCs w:val="22"/>
      <w:shd w:fill="F8F8F8" w:val="clear"/>
    </w:rPr>
  </w:style>
  <w:style w:type="character" w:styleId="AnnotationTok" w:customStyle="1">
    <w:name w:val="AnnotationTok"/>
    <w:basedOn w:val="VerbatimChar"/>
    <w:qFormat/>
    <w:rPr>
      <w:rFonts w:ascii="Consolas" w:hAnsi="Consolas" w:cs="Times New Roman"/>
      <w:b/>
      <w:i/>
      <w:color w:val="8F5902"/>
      <w:sz w:val="22"/>
      <w:szCs w:val="22"/>
      <w:shd w:fill="F8F8F8" w:val="clear"/>
    </w:rPr>
  </w:style>
  <w:style w:type="character" w:styleId="CommentVarTok" w:customStyle="1">
    <w:name w:val="CommentVarTok"/>
    <w:basedOn w:val="VerbatimChar"/>
    <w:qFormat/>
    <w:rPr>
      <w:rFonts w:ascii="Consolas" w:hAnsi="Consolas" w:cs="Times New Roman"/>
      <w:b/>
      <w:i/>
      <w:color w:val="8F5902"/>
      <w:sz w:val="22"/>
      <w:szCs w:val="22"/>
      <w:shd w:fill="F8F8F8" w:val="clear"/>
    </w:rPr>
  </w:style>
  <w:style w:type="character" w:styleId="OtherTok" w:customStyle="1">
    <w:name w:val="OtherTok"/>
    <w:basedOn w:val="VerbatimChar"/>
    <w:qFormat/>
    <w:rPr>
      <w:rFonts w:ascii="Consolas" w:hAnsi="Consolas" w:cs="Times New Roman"/>
      <w:color w:val="8F5902"/>
      <w:sz w:val="22"/>
      <w:szCs w:val="22"/>
      <w:shd w:fill="F8F8F8" w:val="clear"/>
    </w:rPr>
  </w:style>
  <w:style w:type="character" w:styleId="FunctionTok" w:customStyle="1">
    <w:name w:val="FunctionTok"/>
    <w:basedOn w:val="VerbatimChar"/>
    <w:qFormat/>
    <w:rPr>
      <w:rFonts w:ascii="Consolas" w:hAnsi="Consolas" w:cs="Times New Roman"/>
      <w:color w:val="000000"/>
      <w:sz w:val="22"/>
      <w:szCs w:val="22"/>
      <w:shd w:fill="F8F8F8" w:val="clear"/>
    </w:rPr>
  </w:style>
  <w:style w:type="character" w:styleId="VariableTok" w:customStyle="1">
    <w:name w:val="VariableTok"/>
    <w:basedOn w:val="VerbatimChar"/>
    <w:qFormat/>
    <w:rPr>
      <w:rFonts w:ascii="Consolas" w:hAnsi="Consolas" w:cs="Times New Roman"/>
      <w:color w:val="000000"/>
      <w:sz w:val="22"/>
      <w:szCs w:val="22"/>
      <w:shd w:fill="F8F8F8" w:val="clear"/>
    </w:rPr>
  </w:style>
  <w:style w:type="character" w:styleId="ControlFlowTok" w:customStyle="1">
    <w:name w:val="ControlFlowTok"/>
    <w:basedOn w:val="VerbatimChar"/>
    <w:qFormat/>
    <w:rPr>
      <w:rFonts w:ascii="Consolas" w:hAnsi="Consolas" w:cs="Times New Roman"/>
      <w:b/>
      <w:color w:val="204A87"/>
      <w:sz w:val="22"/>
      <w:szCs w:val="22"/>
      <w:shd w:fill="F8F8F8" w:val="clear"/>
    </w:rPr>
  </w:style>
  <w:style w:type="character" w:styleId="OperatorTok" w:customStyle="1">
    <w:name w:val="OperatorTok"/>
    <w:basedOn w:val="VerbatimChar"/>
    <w:qFormat/>
    <w:rPr>
      <w:rFonts w:ascii="Consolas" w:hAnsi="Consolas" w:cs="Times New Roman"/>
      <w:b/>
      <w:color w:val="CE5C00"/>
      <w:sz w:val="22"/>
      <w:szCs w:val="22"/>
      <w:shd w:fill="F8F8F8" w:val="clear"/>
    </w:rPr>
  </w:style>
  <w:style w:type="character" w:styleId="BuiltInTok" w:customStyle="1">
    <w:name w:val="BuiltInTok"/>
    <w:basedOn w:val="VerbatimChar"/>
    <w:qFormat/>
    <w:rPr>
      <w:rFonts w:ascii="Consolas" w:hAnsi="Consolas" w:cs="Times New Roman"/>
      <w:sz w:val="22"/>
      <w:szCs w:val="22"/>
      <w:shd w:fill="F8F8F8" w:val="clear"/>
    </w:rPr>
  </w:style>
  <w:style w:type="character" w:styleId="ExtensionTok" w:customStyle="1">
    <w:name w:val="ExtensionTok"/>
    <w:basedOn w:val="VerbatimChar"/>
    <w:qFormat/>
    <w:rPr>
      <w:rFonts w:ascii="Consolas" w:hAnsi="Consolas" w:cs="Times New Roman"/>
      <w:sz w:val="22"/>
      <w:szCs w:val="22"/>
      <w:shd w:fill="F8F8F8" w:val="clear"/>
    </w:rPr>
  </w:style>
  <w:style w:type="character" w:styleId="PreprocessorTok" w:customStyle="1">
    <w:name w:val="PreprocessorTok"/>
    <w:basedOn w:val="VerbatimChar"/>
    <w:qFormat/>
    <w:rPr>
      <w:rFonts w:ascii="Consolas" w:hAnsi="Consolas" w:cs="Times New Roman"/>
      <w:i/>
      <w:color w:val="8F5902"/>
      <w:sz w:val="22"/>
      <w:szCs w:val="22"/>
      <w:shd w:fill="F8F8F8" w:val="clear"/>
    </w:rPr>
  </w:style>
  <w:style w:type="character" w:styleId="AttributeTok" w:customStyle="1">
    <w:name w:val="AttributeTok"/>
    <w:basedOn w:val="VerbatimChar"/>
    <w:qFormat/>
    <w:rPr>
      <w:rFonts w:ascii="Consolas" w:hAnsi="Consolas" w:cs="Times New Roman"/>
      <w:color w:val="C4A000"/>
      <w:sz w:val="22"/>
      <w:szCs w:val="22"/>
      <w:shd w:fill="F8F8F8" w:val="clear"/>
    </w:rPr>
  </w:style>
  <w:style w:type="character" w:styleId="RegionMarkerTok" w:customStyle="1">
    <w:name w:val="RegionMarkerTok"/>
    <w:basedOn w:val="VerbatimChar"/>
    <w:qFormat/>
    <w:rPr>
      <w:rFonts w:ascii="Consolas" w:hAnsi="Consolas" w:cs="Times New Roman"/>
      <w:sz w:val="22"/>
      <w:szCs w:val="22"/>
      <w:shd w:fill="F8F8F8" w:val="clear"/>
    </w:rPr>
  </w:style>
  <w:style w:type="character" w:styleId="InformationTok" w:customStyle="1">
    <w:name w:val="InformationTok"/>
    <w:basedOn w:val="VerbatimChar"/>
    <w:qFormat/>
    <w:rPr>
      <w:rFonts w:ascii="Consolas" w:hAnsi="Consolas" w:cs="Times New Roman"/>
      <w:b/>
      <w:i/>
      <w:color w:val="8F5902"/>
      <w:sz w:val="22"/>
      <w:szCs w:val="22"/>
      <w:shd w:fill="F8F8F8" w:val="clear"/>
    </w:rPr>
  </w:style>
  <w:style w:type="character" w:styleId="WarningTok" w:customStyle="1">
    <w:name w:val="WarningTok"/>
    <w:basedOn w:val="VerbatimChar"/>
    <w:qFormat/>
    <w:rPr>
      <w:rFonts w:ascii="Consolas" w:hAnsi="Consolas" w:cs="Times New Roman"/>
      <w:b/>
      <w:i/>
      <w:color w:val="8F5902"/>
      <w:sz w:val="22"/>
      <w:szCs w:val="22"/>
      <w:shd w:fill="F8F8F8" w:val="clear"/>
    </w:rPr>
  </w:style>
  <w:style w:type="character" w:styleId="AlertTok" w:customStyle="1">
    <w:name w:val="AlertTok"/>
    <w:basedOn w:val="VerbatimChar"/>
    <w:qFormat/>
    <w:rPr>
      <w:rFonts w:ascii="Consolas" w:hAnsi="Consolas" w:cs="Times New Roman"/>
      <w:color w:val="EF2929"/>
      <w:sz w:val="22"/>
      <w:szCs w:val="22"/>
      <w:shd w:fill="F8F8F8" w:val="clear"/>
    </w:rPr>
  </w:style>
  <w:style w:type="character" w:styleId="ErrorTok" w:customStyle="1">
    <w:name w:val="ErrorTok"/>
    <w:basedOn w:val="VerbatimChar"/>
    <w:qFormat/>
    <w:rPr>
      <w:rFonts w:ascii="Consolas" w:hAnsi="Consolas" w:cs="Times New Roman"/>
      <w:b/>
      <w:color w:val="A40000"/>
      <w:sz w:val="22"/>
      <w:szCs w:val="22"/>
      <w:shd w:fill="F8F8F8" w:val="clear"/>
    </w:rPr>
  </w:style>
  <w:style w:type="character" w:styleId="NormalTok" w:customStyle="1">
    <w:name w:val="NormalTok"/>
    <w:basedOn w:val="VerbatimChar"/>
    <w:qFormat/>
    <w:rPr>
      <w:rFonts w:ascii="Consolas" w:hAnsi="Consolas" w:cs="Times New Roman"/>
      <w:sz w:val="22"/>
      <w:szCs w:val="22"/>
      <w:shd w:fill="F8F8F8" w:val="clear"/>
    </w:rPr>
  </w:style>
  <w:style w:type="character" w:styleId="BodyTextChar" w:customStyle="1">
    <w:name w:val="Body Text Char"/>
    <w:basedOn w:val="DefaultParagraphFont"/>
    <w:qFormat/>
    <w:rsid w:val="00cf7947"/>
    <w:rPr>
      <w:rFonts w:ascii="Times New Roman" w:hAnsi="Times New Roman"/>
      <w:sz w:val="22"/>
    </w:rPr>
  </w:style>
  <w:style w:type="character" w:styleId="FooterChar" w:customStyle="1">
    <w:name w:val="Footer Char"/>
    <w:basedOn w:val="DefaultParagraphFont"/>
    <w:link w:val="Footer"/>
    <w:semiHidden/>
    <w:qFormat/>
    <w:rsid w:val="00e25b66"/>
    <w:rPr>
      <w:rFonts w:ascii="Times New Roman" w:hAnsi="Times New Roman"/>
      <w:sz w:val="16"/>
    </w:rPr>
  </w:style>
  <w:style w:type="character" w:styleId="LineNumber">
    <w:name w:val="Line Number"/>
    <w:semiHidden/>
    <w:unhideWhenUsed/>
    <w:qFormat/>
    <w:rsid w:val="00b138ae"/>
    <w:rPr/>
  </w:style>
  <w:style w:type="character" w:styleId="HTMLAcronym">
    <w:name w:val="HTML Acronym"/>
    <w:basedOn w:val="DefaultParagraphFont"/>
    <w:unhideWhenUsed/>
    <w:qFormat/>
    <w:rsid w:val="00b503cc"/>
    <w:rPr/>
  </w:style>
  <w:style w:type="character" w:styleId="BodyTextFirstIndentChar" w:customStyle="1">
    <w:name w:val="Body Text First Indent Char"/>
    <w:basedOn w:val="BodyTextChar"/>
    <w:qFormat/>
    <w:rsid w:val="00a63a6b"/>
    <w:rPr>
      <w:rFonts w:ascii="Times New Roman" w:hAnsi="Times New Roman"/>
      <w:sz w:val="22"/>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link w:val="BodyTextChar"/>
    <w:qFormat/>
    <w:rsid w:val="00cf7947"/>
    <w:pPr>
      <w:spacing w:lineRule="auto" w:line="360" w:before="180" w:after="180"/>
      <w:ind w:firstLine="567"/>
      <w:jc w:val="both"/>
    </w:pPr>
    <w:rPr/>
  </w:style>
  <w:style w:type="paragraph" w:styleId="List">
    <w:name w:val="List"/>
    <w:basedOn w:val="Normal"/>
    <w:unhideWhenUsed/>
    <w:rsid w:val="00ed1205"/>
    <w:pPr>
      <w:spacing w:before="0" w:after="200"/>
      <w:ind w:hanging="283" w:left="283"/>
      <w:contextualSpacing/>
    </w:pPr>
    <w:rPr/>
  </w:style>
  <w:style w:type="paragraph" w:styleId="Caption">
    <w:name w:val="Caption"/>
    <w:basedOn w:val="CaptionedFigure"/>
    <w:link w:val="CaptionChar"/>
    <w:qFormat/>
    <w:rsid w:val="00f94e32"/>
    <w:pPr/>
    <w:rPr/>
  </w:style>
  <w:style w:type="paragraph" w:styleId="Index">
    <w:name w:val="Index"/>
    <w:basedOn w:val="Normal"/>
    <w:qFormat/>
    <w:pPr>
      <w:suppressLineNumbers/>
    </w:pPr>
    <w:rPr>
      <w:rFonts w:cs="Lohit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rsid w:val="001e3fd0"/>
    <w:pPr>
      <w:keepNext w:val="true"/>
      <w:keepLines/>
      <w:spacing w:lineRule="auto" w:line="360" w:before="0" w:after="120"/>
      <w:jc w:val="center"/>
    </w:pPr>
    <w:rPr>
      <w:rFonts w:eastAsia="" w:cs="Angsana New" w:eastAsiaTheme="majorEastAsia"/>
      <w:b/>
      <w:bCs/>
      <w:color w:themeColor="text1" w:val="000000"/>
      <w:sz w:val="32"/>
      <w:szCs w:val="32"/>
    </w:rPr>
  </w:style>
  <w:style w:type="paragraph" w:styleId="Subtitle">
    <w:name w:val="Subtitle"/>
    <w:basedOn w:val="Title"/>
    <w:next w:val="BodyText"/>
    <w:qFormat/>
    <w:pPr>
      <w:spacing w:before="240" w:after="120"/>
    </w:pPr>
    <w:rPr>
      <w:sz w:val="30"/>
      <w:szCs w:val="30"/>
    </w:rPr>
  </w:style>
  <w:style w:type="paragraph" w:styleId="Author" w:customStyle="1">
    <w:name w:val="Author"/>
    <w:next w:val="BodyText"/>
    <w:qFormat/>
    <w:rsid w:val="008e6ddd"/>
    <w:pPr>
      <w:keepNext w:val="true"/>
      <w:keepLines/>
      <w:widowControl/>
      <w:suppressAutoHyphens w:val="true"/>
      <w:bidi w:val="0"/>
      <w:spacing w:lineRule="auto" w:line="360" w:before="0" w:after="0"/>
      <w:jc w:val="center"/>
    </w:pPr>
    <w:rPr>
      <w:rFonts w:ascii="Times New Roman" w:hAnsi="Times New Roman" w:eastAsia="Cambria" w:cs="" w:cstheme="minorBidi" w:eastAsiaTheme="minorHAnsi"/>
      <w:color w:val="auto"/>
      <w:kern w:val="0"/>
      <w:sz w:val="22"/>
      <w:szCs w:val="24"/>
      <w:lang w:val="en-US" w:eastAsia="en-US" w:bidi="ar-SA"/>
    </w:rPr>
  </w:style>
  <w:style w:type="paragraph" w:styleId="Date">
    <w:name w:val="Date"/>
    <w:next w:val="BodyText"/>
    <w:qFormat/>
    <w:pPr>
      <w:keepNext w:val="true"/>
      <w:keepLines/>
      <w:widowControl/>
      <w:suppressAutoHyphens w:val="true"/>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 w:customStyle="1">
    <w:name w:val="Abstract"/>
    <w:basedOn w:val="Normal"/>
    <w:next w:val="BodyText"/>
    <w:qFormat/>
    <w:rsid w:val="00ad55a2"/>
    <w:pPr>
      <w:keepNext w:val="true"/>
      <w:keepLines/>
      <w:spacing w:before="300" w:after="300"/>
      <w:jc w:val="center"/>
    </w:pPr>
    <w:rPr>
      <w:b/>
      <w:bCs/>
      <w:sz w:val="32"/>
      <w:szCs w:val="32"/>
    </w:rPr>
  </w:style>
  <w:style w:type="paragraph" w:styleId="Bibliography">
    <w:name w:val="Bibliography"/>
    <w:basedOn w:val="Normal"/>
    <w:qFormat/>
    <w:rsid w:val="00e25b66"/>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rsid w:val="00a73bf1"/>
    <w:pPr>
      <w:spacing w:before="0" w:after="0"/>
    </w:pPr>
    <w:rPr>
      <w:sz w:val="16"/>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BodyText"/>
    <w:qFormat/>
    <w:rsid w:val="001571ea"/>
    <w:pPr>
      <w:spacing w:lineRule="auto" w:line="240"/>
    </w:pPr>
    <w:rPr/>
  </w:style>
  <w:style w:type="paragraph" w:styleId="ImageCaption" w:customStyle="1">
    <w:name w:val="Image Caption"/>
    <w:basedOn w:val="Caption"/>
    <w:qFormat/>
    <w:rsid w:val="00a416b6"/>
    <w:pPr/>
    <w:rPr/>
  </w:style>
  <w:style w:type="paragraph" w:styleId="Figure" w:customStyle="1">
    <w:name w:val="Figure"/>
    <w:basedOn w:val="Normal"/>
    <w:qFormat/>
    <w:pPr/>
    <w:rPr/>
  </w:style>
  <w:style w:type="paragraph" w:styleId="CaptionedFigure" w:customStyle="1">
    <w:name w:val="Captioned Figure"/>
    <w:basedOn w:val="Normal"/>
    <w:qFormat/>
    <w:rsid w:val="00f94e32"/>
    <w:pPr>
      <w:keepNext w:val="true"/>
      <w:spacing w:lineRule="auto" w:line="240"/>
      <w:jc w:val="left"/>
    </w:pPr>
    <w:rPr>
      <w:rFonts w:cs="Times New Roman"/>
      <w:szCs w:val="22"/>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b w:val="false"/>
      <w:bCs w:val="false"/>
      <w:color w:themeColor="accent1" w:themeShade="bf" w:val="365F91"/>
    </w:rPr>
  </w:style>
  <w:style w:type="paragraph" w:styleId="SourceCode" w:customStyle="1">
    <w:name w:val="Source Code"/>
    <w:basedOn w:val="Normal"/>
    <w:link w:val="VerbatimChar"/>
    <w:qFormat/>
    <w:pPr>
      <w:shd w:val="clear" w:color="auto" w:fill="F8F8F8"/>
    </w:pPr>
    <w:rPr/>
  </w:style>
  <w:style w:type="paragraph" w:styleId="HeaderandFooter">
    <w:name w:val="Header and Footer"/>
    <w:basedOn w:val="Normal"/>
    <w:qFormat/>
    <w:pPr/>
    <w:rPr/>
  </w:style>
  <w:style w:type="paragraph" w:styleId="Footer">
    <w:name w:val="Footer"/>
    <w:basedOn w:val="Normal"/>
    <w:link w:val="FooterChar"/>
    <w:semiHidden/>
    <w:unhideWhenUsed/>
    <w:rsid w:val="00e25b66"/>
    <w:pPr>
      <w:suppressLineNumbers/>
      <w:tabs>
        <w:tab w:val="clear" w:pos="720"/>
        <w:tab w:val="center" w:pos="4513" w:leader="none"/>
        <w:tab w:val="right" w:pos="9026" w:leader="none"/>
      </w:tabs>
      <w:spacing w:before="0" w:after="0"/>
    </w:pPr>
    <w:rPr>
      <w:sz w:val="16"/>
    </w:rPr>
  </w:style>
  <w:style w:type="paragraph" w:styleId="BodyTextIndent">
    <w:name w:val="Body Text Indent"/>
    <w:basedOn w:val="BodyText"/>
    <w:link w:val="BodyTextFirstIndentChar"/>
    <w:unhideWhenUsed/>
    <w:qFormat/>
    <w:rsid w:val="00a63a6b"/>
    <w:pPr>
      <w:spacing w:lineRule="auto" w:line="240" w:before="0" w:after="200"/>
      <w:ind w:firstLine="360"/>
      <w:jc w:val="left"/>
    </w:pPr>
    <w:rPr>
      <w:rFonts w:ascii="Cambria" w:hAnsi="Cambria" w:asciiTheme="minorHAnsi" w:hAnsiTheme="minorHAnsi"/>
      <w:sz w:val="24"/>
    </w:rPr>
  </w:style>
  <w:style w:type="paragraph" w:styleId="Index1">
    <w:name w:val="Index 1"/>
    <w:basedOn w:val="Normal"/>
    <w:next w:val="Normal"/>
    <w:autoRedefine/>
    <w:qFormat/>
    <w:rsid w:val="00a63a6b"/>
    <w:pPr>
      <w:spacing w:before="0" w:after="0"/>
      <w:ind w:hanging="240" w:left="240"/>
    </w:pPr>
    <w:rPr/>
  </w:style>
  <w:style w:type="paragraph" w:styleId="Index2">
    <w:name w:val="Index 2"/>
    <w:basedOn w:val="Normal"/>
    <w:next w:val="Normal"/>
    <w:autoRedefine/>
    <w:unhideWhenUsed/>
    <w:qFormat/>
    <w:rsid w:val="00a63a6b"/>
    <w:pPr>
      <w:spacing w:before="0" w:after="0"/>
      <w:ind w:hanging="240" w:left="480"/>
    </w:pPr>
    <w:rPr/>
  </w:style>
  <w:style w:type="paragraph" w:styleId="Index3">
    <w:name w:val="Index 3"/>
    <w:basedOn w:val="Normal"/>
    <w:next w:val="Normal"/>
    <w:autoRedefine/>
    <w:unhideWhenUsed/>
    <w:qFormat/>
    <w:rsid w:val="00a63a6b"/>
    <w:pPr>
      <w:spacing w:before="0" w:after="0"/>
      <w:ind w:hanging="240" w:left="720"/>
    </w:pPr>
    <w:rPr/>
  </w:style>
  <w:style w:type="paragraph" w:styleId="ListBullet3">
    <w:name w:val="List Bullet 3"/>
    <w:basedOn w:val="Normal"/>
    <w:unhideWhenUsed/>
    <w:qFormat/>
    <w:rsid w:val="00ed1205"/>
    <w:pPr>
      <w:spacing w:before="0" w:after="200"/>
      <w:ind w:hanging="283" w:left="566"/>
      <w:contextualSpacing/>
    </w:pPr>
    <w:rPr/>
  </w:style>
  <w:style w:type="paragraph" w:styleId="ListBullet4">
    <w:name w:val="List Bullet 4"/>
    <w:basedOn w:val="Normal"/>
    <w:unhideWhenUsed/>
    <w:qFormat/>
    <w:rsid w:val="00ea0107"/>
    <w:pPr>
      <w:spacing w:before="0" w:after="200"/>
      <w:ind w:hanging="283" w:left="849"/>
      <w:contextualSpacing/>
    </w:pPr>
    <w:rPr/>
  </w:style>
  <w:style w:type="paragraph" w:styleId="ListNumber">
    <w:name w:val="List Number"/>
    <w:basedOn w:val="Normal"/>
    <w:unhideWhenUsed/>
    <w:qFormat/>
    <w:rsid w:val="00f66c3d"/>
    <w:pPr>
      <w:numPr>
        <w:ilvl w:val="0"/>
        <w:numId w:val="3"/>
      </w:numPr>
      <w:spacing w:before="0" w:after="200"/>
      <w:contextualSpacing/>
    </w:pPr>
    <w:rPr/>
  </w:style>
  <w:style w:type="paragraph" w:styleId="ListNumber2">
    <w:name w:val="List Number 2"/>
    <w:basedOn w:val="Normal"/>
    <w:unhideWhenUsed/>
    <w:qFormat/>
    <w:rsid w:val="00f66c3d"/>
    <w:pPr>
      <w:numPr>
        <w:ilvl w:val="0"/>
        <w:numId w:val="2"/>
      </w:numPr>
      <w:spacing w:before="0" w:after="200"/>
      <w:contextualSpacing/>
    </w:pPr>
    <w:rPr/>
  </w:style>
  <w:style w:type="paragraph" w:styleId="ListNumber3">
    <w:name w:val="List Number 3"/>
    <w:basedOn w:val="Normal"/>
    <w:unhideWhenUsed/>
    <w:qFormat/>
    <w:rsid w:val="00f647ab"/>
    <w:pPr>
      <w:numPr>
        <w:ilvl w:val="0"/>
        <w:numId w:val="1"/>
      </w:numPr>
      <w:spacing w:before="0" w:after="200"/>
      <w:contextualSpacing/>
    </w:pPr>
    <w:rPr/>
  </w:style>
  <w:style w:type="paragraph" w:styleId="ListContinue">
    <w:name w:val="List Continue"/>
    <w:basedOn w:val="Normal"/>
    <w:unhideWhenUsed/>
    <w:qFormat/>
    <w:rsid w:val="00ed1205"/>
    <w:pPr>
      <w:spacing w:before="0" w:after="120"/>
      <w:ind w:hanging="0" w:left="283"/>
      <w:contextualSpacing/>
    </w:pPr>
    <w:rPr/>
  </w:style>
  <w:style w:type="paragraph" w:styleId="ListContinue2">
    <w:name w:val="List Continue 2"/>
    <w:basedOn w:val="Normal"/>
    <w:unhideWhenUsed/>
    <w:qFormat/>
    <w:rsid w:val="00ed1205"/>
    <w:pPr>
      <w:spacing w:before="0" w:after="120"/>
      <w:ind w:hanging="0" w:left="566"/>
      <w:contextualSpacing/>
    </w:pPr>
    <w:rPr/>
  </w:style>
  <w:style w:type="paragraph" w:styleId="ListContinue3">
    <w:name w:val="List Continue 3"/>
    <w:basedOn w:val="Normal"/>
    <w:unhideWhenUsed/>
    <w:qFormat/>
    <w:rsid w:val="000a63c5"/>
    <w:pPr>
      <w:spacing w:before="0" w:after="120"/>
      <w:ind w:hanging="0" w:left="849"/>
      <w:contextualSpacing/>
    </w:pPr>
    <w:rPr/>
  </w:style>
  <w:style w:type="paragraph" w:styleId="ListBullet">
    <w:name w:val="List Bullet"/>
    <w:basedOn w:val="Normal"/>
    <w:semiHidden/>
    <w:unhideWhenUsed/>
    <w:qFormat/>
    <w:rsid w:val="00ed1205"/>
    <w:pPr>
      <w:numPr>
        <w:ilvl w:val="0"/>
        <w:numId w:val="5"/>
      </w:numPr>
      <w:spacing w:before="0" w:after="200"/>
      <w:contextualSpacing/>
    </w:pPr>
    <w:rPr/>
  </w:style>
  <w:style w:type="paragraph" w:styleId="ListBullet2">
    <w:name w:val="List Bullet 2"/>
    <w:basedOn w:val="Normal"/>
    <w:semiHidden/>
    <w:unhideWhenUsed/>
    <w:qFormat/>
    <w:rsid w:val="00ed1205"/>
    <w:pPr>
      <w:numPr>
        <w:ilvl w:val="0"/>
        <w:numId w:val="4"/>
      </w:numPr>
      <w:spacing w:before="0" w:after="200"/>
      <w:contextualSpacing/>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color="auto" w:sz="0" w:space="0"/>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oi.org/10.1111/bij.12695" TargetMode="External"/><Relationship Id="rId3" Type="http://schemas.openxmlformats.org/officeDocument/2006/relationships/hyperlink" Target="https://doi.org/10.1093/biolinnean/blx026" TargetMode="External"/><Relationship Id="rId4" Type="http://schemas.openxmlformats.org/officeDocument/2006/relationships/hyperlink" Target="https://doi.org/10.1016/j.gloplacha.2021.103512" TargetMode="External"/><Relationship Id="rId5" Type="http://schemas.openxmlformats.org/officeDocument/2006/relationships/hyperlink" Target="https://doi.org/10.1073/pnas.0811421106" TargetMode="External"/><Relationship Id="rId6" Type="http://schemas.openxmlformats.org/officeDocument/2006/relationships/hyperlink" Target="https://doi.org/10.1016/j.palaeo.2026.113585" TargetMode="External"/><Relationship Id="rId7" Type="http://schemas.openxmlformats.org/officeDocument/2006/relationships/hyperlink" Target="https://doi.org/10.1098/rspb.2025.1418" TargetMode="External"/><Relationship Id="rId8" Type="http://schemas.openxmlformats.org/officeDocument/2006/relationships/hyperlink" Target="https://doi.org/10.1671/0272-4634(2001)021%5B0172:DTEOTR%5D2.0.CO;2" TargetMode="External"/><Relationship Id="rId9" Type="http://schemas.openxmlformats.org/officeDocument/2006/relationships/hyperlink" Target="https://doi.org/10.1126/science.1157719" TargetMode="External"/><Relationship Id="rId10" Type="http://schemas.openxmlformats.org/officeDocument/2006/relationships/hyperlink" Target="https://doi.org/10.1038/s41586-023-06381-1" TargetMode="External"/><Relationship Id="rId11" Type="http://schemas.openxmlformats.org/officeDocument/2006/relationships/hyperlink" Target="https://doi.org/10.1016/j.palaeo.2009.01.004" TargetMode="External"/><Relationship Id="rId12" Type="http://schemas.openxmlformats.org/officeDocument/2006/relationships/hyperlink" Target="https://doi.org/10.7717/peerj.6088" TargetMode="External"/><Relationship Id="rId13" Type="http://schemas.openxmlformats.org/officeDocument/2006/relationships/hyperlink" Target="https://doi.org/10.1007/s10914-024-09739-y" TargetMode="External"/><Relationship Id="rId14" Type="http://schemas.openxmlformats.org/officeDocument/2006/relationships/hyperlink" Target="https://doi.org/10.5252/geodiversitas2019v41a4" TargetMode="External"/><Relationship Id="rId15" Type="http://schemas.openxmlformats.org/officeDocument/2006/relationships/hyperlink" Target="https://doi.org/10.1126/science.adu0704" TargetMode="External"/><Relationship Id="rId16" Type="http://schemas.openxmlformats.org/officeDocument/2006/relationships/hyperlink" Target="https://doi.org/10.1016/j.earscirev.2021.103640" TargetMode="External"/><Relationship Id="rId17" Type="http://schemas.openxmlformats.org/officeDocument/2006/relationships/hyperlink" Target="https://doi.org/10.1007/s12542-016-0306-8" TargetMode="External"/><Relationship Id="rId18" Type="http://schemas.openxmlformats.org/officeDocument/2006/relationships/hyperlink" Target="https://doi.org/10.1038/s41598-022-26010-7" TargetMode="External"/><Relationship Id="rId19" Type="http://schemas.openxmlformats.org/officeDocument/2006/relationships/hyperlink" Target="https://doi.org/10.1073/pnas.2419520122" TargetMode="External"/><Relationship Id="rId20" Type="http://schemas.openxmlformats.org/officeDocument/2006/relationships/hyperlink" Target="https://doi.org/10.1111/let.12015" TargetMode="External"/><Relationship Id="rId21" Type="http://schemas.openxmlformats.org/officeDocument/2006/relationships/hyperlink" Target="https://doi.org/10.1126/science.aag1772" TargetMode="External"/><Relationship Id="rId22" Type="http://schemas.openxmlformats.org/officeDocument/2006/relationships/hyperlink" Target="https://doi.org/10.1098/rspb.2025.2586" TargetMode="External"/><Relationship Id="rId23" Type="http://schemas.openxmlformats.org/officeDocument/2006/relationships/hyperlink" Target="https://doi.org/10.1073/pnas.2006087117" TargetMode="External"/><Relationship Id="rId24" Type="http://schemas.openxmlformats.org/officeDocument/2006/relationships/hyperlink" Target="https://doi.org/10.1073/pnas.1606868114" TargetMode="External"/><Relationship Id="rId25" Type="http://schemas.openxmlformats.org/officeDocument/2006/relationships/hyperlink" Target="https://doi.org/10.18814/epiiugs/2025/025001" TargetMode="External"/><Relationship Id="rId26" Type="http://schemas.openxmlformats.org/officeDocument/2006/relationships/hyperlink" Target="https://doi.org/10.1093/sysbio/syy009" TargetMode="External"/><Relationship Id="rId27" Type="http://schemas.openxmlformats.org/officeDocument/2006/relationships/hyperlink" Target="https://doi.org/10.1111/ele.13382" TargetMode="External"/><Relationship Id="rId28" Type="http://schemas.openxmlformats.org/officeDocument/2006/relationships/hyperlink" Target="https://doi.org/10.1073/pnas.2005571117" TargetMode="External"/><Relationship Id="rId29" Type="http://schemas.openxmlformats.org/officeDocument/2006/relationships/hyperlink" Target="https://doi.org/10.1038/s41559-020-01321-y" TargetMode="External"/><Relationship Id="rId30" Type="http://schemas.openxmlformats.org/officeDocument/2006/relationships/hyperlink" Target="https://doi.org/10.1111/2041-210X.70070" TargetMode="External"/><Relationship Id="rId31" Type="http://schemas.openxmlformats.org/officeDocument/2006/relationships/hyperlink" Target="https://doi.org/10.1038/s41467-024-48434-7" TargetMode="External"/><Relationship Id="rId32" Type="http://schemas.openxmlformats.org/officeDocument/2006/relationships/hyperlink" Target="https://doi.org/10.1146/annurev-earth-072619-060126" TargetMode="External"/><Relationship Id="rId33" Type="http://schemas.openxmlformats.org/officeDocument/2006/relationships/hyperlink" Target="https://doi.org/10.1144/jgs2020-188" TargetMode="External"/><Relationship Id="rId34" Type="http://schemas.openxmlformats.org/officeDocument/2006/relationships/hyperlink" Target="https://doi.org/10.1007/s10914-023-09675-3" TargetMode="External"/><Relationship Id="rId35" Type="http://schemas.openxmlformats.org/officeDocument/2006/relationships/hyperlink" Target="https://doi.org/10.1093/sysbio/syw020" TargetMode="External"/><Relationship Id="rId36" Type="http://schemas.openxmlformats.org/officeDocument/2006/relationships/hyperlink" Target="https://doi.org/10.1130/B30660.1" TargetMode="External"/><Relationship Id="rId37" Type="http://schemas.openxmlformats.org/officeDocument/2006/relationships/hyperlink" Target="https://doi.org/10.1098/rspb.2025.2245" TargetMode="External"/><Relationship Id="rId38" Type="http://schemas.openxmlformats.org/officeDocument/2006/relationships/hyperlink" Target="https://doi.org/10.1098/rspb.2011.1439" TargetMode="External"/><Relationship Id="rId39" Type="http://schemas.openxmlformats.org/officeDocument/2006/relationships/hyperlink" Target="https://www.jstor.org/stable/2461605" TargetMode="External"/><Relationship Id="rId40" Type="http://schemas.openxmlformats.org/officeDocument/2006/relationships/hyperlink" Target="https://doi.org/10.5710/PEAPA.01.11.2019.309" TargetMode="External"/><Relationship Id="rId41" Type="http://schemas.openxmlformats.org/officeDocument/2006/relationships/hyperlink" Target="https://doi.org/10.1038/s41467-022-30507-0" TargetMode="External"/><Relationship Id="rId42" Type="http://schemas.openxmlformats.org/officeDocument/2006/relationships/hyperlink" Target="https://doi.org/10.1017/S0094837300015864" TargetMode="External"/><Relationship Id="rId43" Type="http://schemas.openxmlformats.org/officeDocument/2006/relationships/hyperlink" Target="https://doi.org/10.1017/S0094837300005224" TargetMode="External"/><Relationship Id="rId44" Type="http://schemas.openxmlformats.org/officeDocument/2006/relationships/hyperlink" Target="https://doi.org/10.1590/1809-4392202103601" TargetMode="External"/><Relationship Id="rId45" Type="http://schemas.openxmlformats.org/officeDocument/2006/relationships/hyperlink" Target="https://doi.org/10.1093/sysbio/syx082" TargetMode="External"/><Relationship Id="rId46" Type="http://schemas.openxmlformats.org/officeDocument/2006/relationships/hyperlink" Target="https://doi.org/10.1126/sciadv.adl2643" TargetMode="External"/><Relationship Id="rId47" Type="http://schemas.openxmlformats.org/officeDocument/2006/relationships/hyperlink" Target="https://doi.org/10.1016/j.jsames.2005.06.007" TargetMode="External"/><Relationship Id="rId48" Type="http://schemas.openxmlformats.org/officeDocument/2006/relationships/hyperlink" Target="https://doi.org/10.1093/botlinnean/boab098" TargetMode="External"/><Relationship Id="rId49" Type="http://schemas.openxmlformats.org/officeDocument/2006/relationships/hyperlink" Target="https://doi.org/10.1130/0091-7613(1995)023%3C0237:ATAACF%3E2.3.CO;2" TargetMode="External"/><Relationship Id="rId50" Type="http://schemas.openxmlformats.org/officeDocument/2006/relationships/hyperlink" Target="https://doi.org/10.1126/science.1194585" TargetMode="External"/><Relationship Id="rId51" Type="http://schemas.openxmlformats.org/officeDocument/2006/relationships/hyperlink" Target="https://doi.org/10.1073/pnas.1302642110" TargetMode="External"/><Relationship Id="rId52" Type="http://schemas.openxmlformats.org/officeDocument/2006/relationships/hyperlink" Target="https://doi.org/10.1016/j.palaeo.2025.113076" TargetMode="External"/><Relationship Id="rId53" Type="http://schemas.openxmlformats.org/officeDocument/2006/relationships/hyperlink" Target="https://doi.org/10.1007/s11692-017-9434-7" TargetMode="External"/><Relationship Id="rId54" Type="http://schemas.openxmlformats.org/officeDocument/2006/relationships/hyperlink" Target="https://doi.org/10.1126/sciadv.1601693" TargetMode="External"/><Relationship Id="rId55" Type="http://schemas.openxmlformats.org/officeDocument/2006/relationships/hyperlink" Target="https://doi.org/10.1016/j.palaeo.2012.09.001" TargetMode="External"/><Relationship Id="rId56" Type="http://schemas.openxmlformats.org/officeDocument/2006/relationships/hyperlink" Target="https://doi.org/10.1073/pnas.2317795121" TargetMode="External"/><Relationship Id="rId57" Type="http://schemas.openxmlformats.org/officeDocument/2006/relationships/hyperlink" Target="https://doi.org/10.2307/2291091" TargetMode="External"/><Relationship Id="rId58" Type="http://schemas.openxmlformats.org/officeDocument/2006/relationships/hyperlink" Target="https://doi.org/10.1038/s41598-017-05263-7" TargetMode="External"/><Relationship Id="rId59" Type="http://schemas.openxmlformats.org/officeDocument/2006/relationships/hyperlink" Target="https://doi.org/10.1073/pnas.0709763105" TargetMode="External"/><Relationship Id="rId60" Type="http://schemas.openxmlformats.org/officeDocument/2006/relationships/hyperlink" Target="https://doi.org/10.1093/sysbio/syq052" TargetMode="External"/><Relationship Id="rId61" Type="http://schemas.openxmlformats.org/officeDocument/2006/relationships/hyperlink" Target="https://doi.org/10.1146/annurev.ecolsys.31.1.33" TargetMode="External"/><Relationship Id="rId62" Type="http://schemas.openxmlformats.org/officeDocument/2006/relationships/hyperlink" Target="https://doi.org/10.1206/0003-0090-363.1.1" TargetMode="External"/><Relationship Id="rId63" Type="http://schemas.openxmlformats.org/officeDocument/2006/relationships/hyperlink" Target="https://doi.org/10.1111/evo.13155" TargetMode="External"/><Relationship Id="rId64" Type="http://schemas.openxmlformats.org/officeDocument/2006/relationships/hyperlink" Target="https://doi.org/10.1098/rspb.2024.2932" TargetMode="External"/><Relationship Id="rId65" Type="http://schemas.openxmlformats.org/officeDocument/2006/relationships/hyperlink" Target="https://doi.org/10.1007/s10914-022-09631-7" TargetMode="External"/><Relationship Id="rId66" Type="http://schemas.openxmlformats.org/officeDocument/2006/relationships/hyperlink" Target="https://doi.org/10.1098/rspb.2019.2806" TargetMode="External"/><Relationship Id="rId67" Type="http://schemas.openxmlformats.org/officeDocument/2006/relationships/hyperlink" Target="https://www.jstor.org/stable/1688046" TargetMode="External"/><Relationship Id="rId68" Type="http://schemas.openxmlformats.org/officeDocument/2006/relationships/hyperlink" Target="https://doi.org/10.1006/qres.1998.1977" TargetMode="External"/><Relationship Id="rId69" Type="http://schemas.openxmlformats.org/officeDocument/2006/relationships/hyperlink" Target="https://doi.org/10.1098/rspb.2007.1056" TargetMode="External"/><Relationship Id="rId70" Type="http://schemas.openxmlformats.org/officeDocument/2006/relationships/hyperlink" Target="https://doi.org/10.1111/evo.13967" TargetMode="External"/><Relationship Id="rId71" Type="http://schemas.openxmlformats.org/officeDocument/2006/relationships/hyperlink" Target="https://doi.org/10.1126/sciadv.aaz1346" TargetMode="External"/><Relationship Id="rId72" Type="http://schemas.openxmlformats.org/officeDocument/2006/relationships/hyperlink" Target="https://doi.org/10.1007/s11692-022-09596-8" TargetMode="External"/><Relationship Id="rId73" Type="http://schemas.openxmlformats.org/officeDocument/2006/relationships/hyperlink" Target="https://doi.org/10.1007/BF02988789" TargetMode="External"/><Relationship Id="rId74" Type="http://schemas.openxmlformats.org/officeDocument/2006/relationships/hyperlink" Target="https://doi.org/10.1146/annurev-ecolsys-102722-020508" TargetMode="External"/><Relationship Id="rId75" Type="http://schemas.openxmlformats.org/officeDocument/2006/relationships/hyperlink" Target="https://doi.org/10.5710/AMGH.07.07.2023.3551" TargetMode="External"/><Relationship Id="rId76" Type="http://schemas.openxmlformats.org/officeDocument/2006/relationships/hyperlink" Target="https://doi.org/10.1016/B978-0-12-824360-2.00005-X" TargetMode="External"/><Relationship Id="rId77" Type="http://schemas.openxmlformats.org/officeDocument/2006/relationships/hyperlink" Target="https://discovery.ucl.ac.uk/id/eprint/10220325/" TargetMode="External"/><Relationship Id="rId78" Type="http://schemas.openxmlformats.org/officeDocument/2006/relationships/hyperlink" Target="https://doi.org/10.1038/ncomms2299" TargetMode="External"/><Relationship Id="rId79" Type="http://schemas.openxmlformats.org/officeDocument/2006/relationships/hyperlink" Target="https://press.uchicago.edu/ucp/books/book/chicago/M/bo18553844.html" TargetMode="External"/><Relationship Id="rId80" Type="http://schemas.openxmlformats.org/officeDocument/2006/relationships/hyperlink" Target="https://doi.org/10.1080/02724634.2010.522432" TargetMode="External"/><Relationship Id="rId81" Type="http://schemas.openxmlformats.org/officeDocument/2006/relationships/hyperlink" Target="https://doi.org/10.1111/evo.13680" TargetMode="External"/><Relationship Id="rId82" Type="http://schemas.openxmlformats.org/officeDocument/2006/relationships/hyperlink" Target="https://doi.org/10.1126/science.1239431" TargetMode="External"/><Relationship Id="rId83" Type="http://schemas.openxmlformats.org/officeDocument/2006/relationships/hyperlink" Target="https://doi.org/10.1038/s41559-025-02873-7" TargetMode="External"/><Relationship Id="rId84" Type="http://schemas.openxmlformats.org/officeDocument/2006/relationships/hyperlink" Target="https://doi.org/10.1073/pnas.2220672120" TargetMode="External"/><Relationship Id="rId85" Type="http://schemas.openxmlformats.org/officeDocument/2006/relationships/hyperlink" Target="https://doi.org/10.1038/ncomms2958" TargetMode="External"/><Relationship Id="rId86" Type="http://schemas.openxmlformats.org/officeDocument/2006/relationships/hyperlink" Target="https://doi.org/10.1111/joa.13430" TargetMode="External"/><Relationship Id="rId87" Type="http://schemas.openxmlformats.org/officeDocument/2006/relationships/hyperlink" Target="https://doi.org/10.1080/08912963.2024.2390518" TargetMode="External"/><Relationship Id="rId88" Type="http://schemas.openxmlformats.org/officeDocument/2006/relationships/hyperlink" Target="https://doi.org/10.1126/science.11542058" TargetMode="External"/><Relationship Id="rId89" Type="http://schemas.openxmlformats.org/officeDocument/2006/relationships/hyperlink" Target="https://doi.org/10.1098/rspb.2007.1645" TargetMode="External"/><Relationship Id="rId90" Type="http://schemas.openxmlformats.org/officeDocument/2006/relationships/hyperlink" Target="https://doi.org/10.1093/jmammal/gyz194" TargetMode="External"/><Relationship Id="rId91" Type="http://schemas.openxmlformats.org/officeDocument/2006/relationships/hyperlink" Target="https://doi.org/10.1093/sysbio/syq092" TargetMode="External"/><Relationship Id="rId92" Type="http://schemas.openxmlformats.org/officeDocument/2006/relationships/hyperlink" Target="https://doi.org/10.1098/rspb.2013.1071" TargetMode="External"/><Relationship Id="rId93" Type="http://schemas.openxmlformats.org/officeDocument/2006/relationships/hyperlink" Target="https://doi.org/10.1098/rspb.2014.2490" TargetMode="External"/><Relationship Id="rId94" Type="http://schemas.openxmlformats.org/officeDocument/2006/relationships/hyperlink" Target="https://doi.org/10.1126/science.1089332" TargetMode="External"/><Relationship Id="rId95" Type="http://schemas.openxmlformats.org/officeDocument/2006/relationships/hyperlink" Target="https://doi.org/10.1111/j.1469-185X.2010.00137.x" TargetMode="External"/><Relationship Id="rId96" Type="http://schemas.openxmlformats.org/officeDocument/2006/relationships/hyperlink" Target="https://doi.org/10.1130/G36664.1" TargetMode="External"/><Relationship Id="rId97" Type="http://schemas.openxmlformats.org/officeDocument/2006/relationships/hyperlink" Target="https://doi.org/10.1111/nph.13247" TargetMode="External"/><Relationship Id="rId98" Type="http://schemas.openxmlformats.org/officeDocument/2006/relationships/hyperlink" Target="https://doi.org/10.1017/pab.2019.23" TargetMode="External"/><Relationship Id="rId99" Type="http://schemas.openxmlformats.org/officeDocument/2006/relationships/hyperlink" Target="https://doi.org/10.1111/2041-210X.12263" TargetMode="External"/><Relationship Id="rId100" Type="http://schemas.openxmlformats.org/officeDocument/2006/relationships/hyperlink" Target="https://doi.org/10.1016/j.palaeo.2021.110306" TargetMode="External"/><Relationship Id="rId101" Type="http://schemas.openxmlformats.org/officeDocument/2006/relationships/hyperlink" Target="https://doi.org/10.1016/j.gr.2024.08.002" TargetMode="External"/><Relationship Id="rId102" Type="http://schemas.openxmlformats.org/officeDocument/2006/relationships/hyperlink" Target="https://doi.org/10.2307/2398811" TargetMode="External"/><Relationship Id="rId103" Type="http://schemas.openxmlformats.org/officeDocument/2006/relationships/hyperlink" Target="https://doi.org/10.1111/geb.70024" TargetMode="External"/><Relationship Id="rId104" Type="http://schemas.openxmlformats.org/officeDocument/2006/relationships/hyperlink" Target="https://doi.org/10.1038/s41598-022-05266-z" TargetMode="External"/><Relationship Id="rId105" Type="http://schemas.openxmlformats.org/officeDocument/2006/relationships/hyperlink" Target="https://doi.org/10.1073/pnas.2122486119" TargetMode="External"/><Relationship Id="rId106" Type="http://schemas.openxmlformats.org/officeDocument/2006/relationships/hyperlink" Target="https://doi.org/10.1371/journal.pbio.3000494" TargetMode="External"/><Relationship Id="rId107" Type="http://schemas.openxmlformats.org/officeDocument/2006/relationships/hyperlink" Target="https://doi.org/10.5281/zenodo.18135819" TargetMode="External"/><Relationship Id="rId108" Type="http://schemas.openxmlformats.org/officeDocument/2006/relationships/hyperlink" Target="https://doi.org/10.1038/s41598-023-28497-0" TargetMode="External"/><Relationship Id="rId109" Type="http://schemas.openxmlformats.org/officeDocument/2006/relationships/hyperlink" Target="https://doi.org/10.1111/j.1558-5646.1960.tb03121.x" TargetMode="External"/><Relationship Id="rId110" Type="http://schemas.openxmlformats.org/officeDocument/2006/relationships/hyperlink" Target="https://doi.org/10.2307/2412953" TargetMode="External"/><Relationship Id="rId111" Type="http://schemas.openxmlformats.org/officeDocument/2006/relationships/hyperlink" Target="https://doi.org/10.1073/pnas.70.7.1936" TargetMode="External"/><Relationship Id="rId112" Type="http://schemas.openxmlformats.org/officeDocument/2006/relationships/hyperlink" Target="https://doi.org/10.1073/pnas.2309945120" TargetMode="External"/><Relationship Id="rId113" Type="http://schemas.openxmlformats.org/officeDocument/2006/relationships/hyperlink" Target="https://doi.org/10.1126/science.aba6853" TargetMode="External"/><Relationship Id="rId114" Type="http://schemas.openxmlformats.org/officeDocument/2006/relationships/hyperlink" Target="https://doi.org/10.1093/molbev/msaa189" TargetMode="External"/><Relationship Id="rId115" Type="http://schemas.openxmlformats.org/officeDocument/2006/relationships/image" Target="media/image1.png"/><Relationship Id="rId116" Type="http://schemas.openxmlformats.org/officeDocument/2006/relationships/image" Target="media/image2.png"/><Relationship Id="rId117" Type="http://schemas.openxmlformats.org/officeDocument/2006/relationships/hyperlink" Target="https://www.phylopic.org/" TargetMode="External"/><Relationship Id="rId118" Type="http://schemas.openxmlformats.org/officeDocument/2006/relationships/image" Target="media/image3.png"/><Relationship Id="rId119" Type="http://schemas.openxmlformats.org/officeDocument/2006/relationships/image" Target="media/image4.png"/><Relationship Id="rId120" Type="http://schemas.openxmlformats.org/officeDocument/2006/relationships/image" Target="media/image5.png"/><Relationship Id="rId121" Type="http://schemas.openxmlformats.org/officeDocument/2006/relationships/image" Target="media/image6.png"/><Relationship Id="rId122" Type="http://schemas.openxmlformats.org/officeDocument/2006/relationships/footnotes" Target="footnotes.xml"/><Relationship Id="rId123" Type="http://schemas.openxmlformats.org/officeDocument/2006/relationships/numbering" Target="numbering.xml"/><Relationship Id="rId124" Type="http://schemas.openxmlformats.org/officeDocument/2006/relationships/fontTable" Target="fontTable.xml"/><Relationship Id="rId125" Type="http://schemas.openxmlformats.org/officeDocument/2006/relationships/settings" Target="settings.xml"/><Relationship Id="rId12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42</TotalTime>
  <Application>LibreOffice/24.2.7.2$Linux_X86_64 LibreOffice_project/420$Build-2</Application>
  <AppVersion>15.0000</AppVersion>
  <Pages>35</Pages>
  <Words>13055</Words>
  <Characters>75863</Characters>
  <CharactersWithSpaces>88626</CharactersWithSpaces>
  <Paragraphs>243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2026-06-02T17:43:24Z</dcterms:created>
  <dc:creator>Lucas Buffan¹*, Myriam Boivin^{2,3*}, Alicia Álvarez^{2,3}, Fabien L. Condamine¹, Laurent Marivaux¹</dc:creator>
  <dc:description/>
  <dc:language>en-GB</dc:language>
  <cp:lastModifiedBy>Lucas Buffan</cp:lastModifiedBy>
  <dcterms:modified xsi:type="dcterms:W3CDTF">2026-06-02T19:44:58Z</dcterms:modified>
  <cp:revision>3</cp:revision>
  <dc:subject/>
  <dc:title>A matter of size: what underpinned the emergence and demise of the largest rodents that ever lived?</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evolution.csl</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