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7.png" ContentType="image/png"/>
  <Override PartName="/word/media/rId319.png" ContentType="image/png"/>
  <Override PartName="/word/media/rId331.png" ContentType="image/png"/>
  <Override PartName="/word/media/rId310.png" ContentType="image/png"/>
  <Override PartName="/word/media/rId323.png" ContentType="image/png"/>
  <Override PartName="/word/media/rId3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sup>
        </m:sSup>
      </m:oMath>
      <w:r>
        <w:t xml:space="preserve">*,</w:t>
      </w:r>
      <w:r>
        <w:t xml:space="preserve"> </w:t>
      </w:r>
      <w:r>
        <w:t xml:space="preserve">Alicia</w:t>
      </w:r>
      <w:r>
        <w:t xml:space="preserve"> </w:t>
      </w:r>
      <w:r>
        <w:t xml:space="preserve">Álvarez</w:t>
      </w:r>
      <m:oMath>
        <m:sSup>
          <m:e>
            <m:r>
              <m:t>​</m:t>
            </m:r>
          </m:e>
          <m:sup>
            <m:r>
              <m:t>2</m:t>
            </m:r>
            <m:r>
              <m:rPr>
                <m:sty m:val="p"/>
              </m:rPr>
              <m:t>,</m:t>
            </m:r>
            <m:r>
              <m:t>3</m:t>
            </m:r>
          </m:sup>
        </m:sSup>
      </m:oMath>
      <w:r>
        <w:t xml:space="preserve">,</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Laboratorio de Paleontología, Instituto de Ecorregiones Andinas (INECOA), CONICET – Universidad Nacional de Jujuy, Avenida Bolivia 1661, 4600 San Salvador de Jujuy, Jujuy, Argentina.</w:t>
      </w:r>
      <w:r>
        <w:br/>
      </w:r>
      <w:r>
        <w:t xml:space="preserve">³ Instituto de Geología y Minería (IdGyM), Universidad Nacional de Jujuy,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Environment-dependent Diversification; Extinction Selectivity; Gigantism; South America; Trait-dependent Diversification</w:t>
      </w:r>
    </w:p>
    <w:bookmarkStart w:id="20" w:name="abstract"/>
    <w:p>
      <w:pPr>
        <w:pStyle w:val="Heading1"/>
      </w:pPr>
      <w:r>
        <w:t xml:space="preserve">Abstract</w:t>
      </w:r>
    </w:p>
    <w:p>
      <w:pPr>
        <w:pStyle w:val="FirstParagraph"/>
      </w:pPr>
      <w:r>
        <w:t xml:space="preserve">Our quantitative analyses of the fossil record evidenced that chinchilloids experienced a demise that resulted in a late Miocene change in extinction regime. This increase in extinction rate was selective against large-sized, extratropical taxa, and was likely mediated by the Andean uplift and sea-level changes, thus suggesting that continent-wide variations in hydrographic patterns, with the demise of particular wet ecosystems, selectively shaped the decline of Chinchilloidea. Interestingly, no effect of temperature or diversity dependence was found in our analyses.</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w:t>
      </w:r>
      <w:r>
        <w:rPr>
          <w:i/>
          <w:iCs/>
        </w:rPr>
        <w:t xml:space="preserve">e</w:t>
      </w:r>
      <w:r>
        <w:t xml:space="preserve">.</w:t>
      </w:r>
      <w:r>
        <w:rPr>
          <w:i/>
          <w:iCs/>
        </w:rPr>
        <w:t xml:space="preserve">g</w:t>
      </w:r>
      <w:r>
        <w:t xml:space="preserve">., Pimiento et al. 2019; Boessenecker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the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w:t>
      </w:r>
      <w:r>
        <w:t xml:space="preserve">. 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small-to-moderate-sized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w:t>
      </w:r>
      <w:hyperlink w:anchor="fig-context">
        <w:r>
          <w:rPr>
            <w:rStyle w:val="Hyperlink"/>
          </w:rPr>
          <w:t xml:space="preserve">Figure 1</w:t>
        </w:r>
      </w:hyperlink>
      <w:r>
        <w:t xml:space="preserve">).</w:t>
      </w:r>
      <w:r>
        <w:t xml:space="preserve"> </w:t>
      </w:r>
      <w:r>
        <w:rPr>
          <w:i/>
          <w:iCs/>
        </w:rPr>
        <w:t xml:space="preserve">Chinchilla</w:t>
      </w:r>
      <w:r>
        <w:t xml:space="preserve"> </w:t>
      </w:r>
      <w:r>
        <w:t xml:space="preserve">and</w:t>
      </w:r>
      <w:r>
        <w:t xml:space="preserve"> </w:t>
      </w:r>
      <w:r>
        <w:rPr>
          <w:i/>
          <w:iCs/>
        </w:rPr>
        <w:t xml:space="preserve">Lagidium</w:t>
      </w:r>
      <w:r>
        <w:t xml:space="preserve">, encompassing six out of the eight described chinchilloid species, are distributed in the Andean cordillera, whereas</w:t>
      </w:r>
      <w:r>
        <w:t xml:space="preserve"> </w:t>
      </w:r>
      <w:r>
        <w:rPr>
          <w:i/>
          <w:iCs/>
        </w:rPr>
        <w:t xml:space="preserve">Lagostomus</w:t>
      </w:r>
      <w:r>
        <w:t xml:space="preserve"> </w:t>
      </w:r>
      <w:r>
        <w:t xml:space="preserve">and</w:t>
      </w:r>
      <w:r>
        <w:t xml:space="preserve"> </w:t>
      </w:r>
      <w:r>
        <w:rPr>
          <w:i/>
          <w:iCs/>
        </w:rPr>
        <w:t xml:space="preserve">Dinomys</w:t>
      </w:r>
      <w:r>
        <w:t xml:space="preserve"> </w:t>
      </w:r>
      <w:r>
        <w:t xml:space="preserve">respectively inhabit the Argentinian and the West-Amazonian plains.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and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Most of these extinct large-to-giant taxa are considered as likely semi-aquatic</w:t>
      </w:r>
      <w:r>
        <w:t xml:space="preserve"> </w:t>
      </w:r>
      <w:r>
        <w:t xml:space="preserve">(</w:t>
      </w:r>
      <w:r>
        <w:rPr>
          <w:i/>
          <w:iCs/>
        </w:rPr>
        <w:t xml:space="preserve">e</w:t>
      </w:r>
      <w:r>
        <w:t xml:space="preserve">.</w:t>
      </w:r>
      <w:r>
        <w:rPr>
          <w:i/>
          <w:iCs/>
        </w:rPr>
        <w:t xml:space="preserve">g</w:t>
      </w:r>
      <w:r>
        <w:t xml:space="preserve">., Sánchez-Villagra et al. 2003; Rinderknecht and Blanco 2008; Candela et al. 2013)</w:t>
      </w:r>
      <w:r>
        <w:t xml:space="preserve">, a lifestyle that totally disappeared in the extant representatives of the superfamily. In addition, systematics based on morphological characters (primarily dental traits,</w:t>
      </w:r>
      <w:r>
        <w:t xml:space="preserve"> </w:t>
      </w:r>
      <w:r>
        <w:t xml:space="preserve">Marivaux et al. (2020)</w:t>
      </w:r>
      <w:r>
        <w:t xml:space="preserve">)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w:t>
      </w:r>
    </w:p>
    <w:p>
      <w:pPr>
        <w:pStyle w:val="BodyText"/>
      </w:pPr>
      <w:r>
        <w:t xml:space="preserve">Several hypotheses have been advocated to explain chinchilloid 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Despite all this, our understanding of the evolutionary dynamics of Chinchilloidea, and particularly of their drastic evolutionary decline, remains fragmentary. Previous studies relying on a phylogenetic framework illustrated that the dynamics of caviomorph diversity and body mass evolution were decoupled</w:t>
      </w:r>
      <w:r>
        <w:t xml:space="preserve"> </w:t>
      </w:r>
      <w:r>
        <w:t xml:space="preserve">(Álvarez et al. 2017; Carrillo et al. 2026)</w:t>
      </w:r>
      <w:r>
        <w:t xml:space="preserve">. However, many extinct chinchilloid taxa lack DNA or sufficient morphological material to be adequately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w:t>
      </w:r>
      <w:r>
        <w:rPr>
          <w:i/>
          <w:iCs/>
        </w:rPr>
        <w:t xml:space="preserve">e</w:t>
      </w:r>
      <w:r>
        <w:t xml:space="preserve">.</w:t>
      </w:r>
      <w:r>
        <w:rPr>
          <w:i/>
          <w:iCs/>
        </w:rPr>
        <w:t xml:space="preserve">g</w:t>
      </w:r>
      <w:r>
        <w:t xml:space="preserve">.,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Hauffe et al. 2024; Morlon et al. 2024</w:t>
      </w:r>
      <w:r>
        <w:t xml:space="preserve"> </w:t>
      </w:r>
      <w:r>
        <w:rPr>
          <w:i/>
          <w:iCs/>
        </w:rPr>
        <w:t xml:space="preserve">and literature therein</w:t>
      </w:r>
      <w:r>
        <w:t xml:space="preserve">)</w:t>
      </w:r>
      <w:r>
        <w:t xml:space="preserve">, the macroevolutionary dynamics of Chinchilloidea have never been analysed in an environment-dependent diversification framework.</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online databases and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in order to (1) carry out body mass estimations based on recently-published sets of predictive equations, and (2) determine cheek teeth crown height categories based on hypsodonty indices.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crown height categories.</w:t>
      </w:r>
    </w:p>
    <w:bookmarkEnd w:id="22"/>
    <w:bookmarkStart w:id="35"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the incorporation of missing published data</w:t>
      </w:r>
      <w:r>
        <w:t xml:space="preserve"> </w:t>
      </w:r>
      <w:r>
        <w:t xml:space="preserve">(</w:t>
      </w:r>
      <w:r>
        <w:rPr>
          <w:i/>
          <w:iCs/>
        </w:rPr>
        <w:t xml:space="preserve">e</w:t>
      </w:r>
      <w:r>
        <w:t xml:space="preserve">.</w:t>
      </w:r>
      <w:r>
        <w:rPr>
          <w:i/>
          <w:iCs/>
        </w:rPr>
        <w:t xml:space="preserve">g</w:t>
      </w:r>
      <w:r>
        <w:t xml:space="preserve">., Arnal et al. 2026)</w:t>
      </w:r>
      <w:r>
        <w:t xml:space="preserve"> </w:t>
      </w:r>
      <w:r>
        <w:t xml:space="preserve">and to account for the most up-to-date taxonomic revisions</w:t>
      </w:r>
      <w:r>
        <w:t xml:space="preserve"> </w:t>
      </w:r>
      <w:r>
        <w:t xml:space="preserve">(</w:t>
      </w:r>
      <w:r>
        <w:rPr>
          <w:i/>
          <w:iCs/>
        </w:rPr>
        <w:t xml:space="preserve">e</w:t>
      </w:r>
      <w:r>
        <w:t xml:space="preserve">.</w:t>
      </w:r>
      <w:r>
        <w:rPr>
          <w:i/>
          <w:iCs/>
        </w:rPr>
        <w:t xml:space="preserve">g</w:t>
      </w:r>
      <w:r>
        <w:t xml:space="preserve">., Rasia 2026)</w:t>
      </w:r>
      <w:r>
        <w:t xml:space="preserve">. We excluded occurrences with open nomenclature names (</w:t>
      </w:r>
      <w:r>
        <w:rPr>
          <w:i/>
          <w:iCs/>
        </w:rPr>
        <w:t xml:space="preserve">cf</w:t>
      </w:r>
      <w:r>
        <w:t xml:space="preserve">.,</w:t>
      </w:r>
      <w:r>
        <w:t xml:space="preserve"> </w:t>
      </w:r>
      <w:r>
        <w:rPr>
          <w:i/>
          <w:iCs/>
        </w:rPr>
        <w:t xml:space="preserve">aff</w:t>
      </w:r>
      <w:r>
        <w:t xml:space="preserve">., ?) from upstream analyses. Additional details on our data cleaning procedure may be found in Supplementary materials.</w:t>
      </w:r>
    </w:p>
    <w:p>
      <w:pPr>
        <w:pStyle w:val="BodyText"/>
      </w:pPr>
      <w:r>
        <w:t xml:space="preserve">We then obtained an exhaustive dated caviomorph phylogeny from VertLife (http://vertlife.org/phylosubsets). This tree was extracted from the credible set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2</w:t>
        </w:r>
      </w:hyperlink>
      <w:r>
        <w:t xml:space="preserve">).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w:t>
      </w:r>
      <w:r>
        <w:rPr>
          <w:i/>
          <w:iCs/>
        </w:rPr>
        <w:t xml:space="preserve">e</w:t>
      </w:r>
      <w:r>
        <w:t xml:space="preserve">.</w:t>
      </w:r>
      <w:r>
        <w:rPr>
          <w:i/>
          <w:iCs/>
        </w:rPr>
        <w:t xml:space="preserve">g</w:t>
      </w:r>
      <w:r>
        <w:t xml:space="preserve">., Brée et al. 2022; Jouault et al. 2024;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and carried out their macroevolutionary inference out of a single combined origination and extinction times dataset – acknowledging that the extinction times of extant species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w:t>
      </w:r>
      <w:r>
        <w:t xml:space="preserve">(Figure S3).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(536 occurrences, 124 species, including 56 singletons) and one genus-level database (769 occurrences, 61 genera, including 13 singletons), spanning the entire lifespan of the clade (from the latest Eocene to present), spread across South America and the West Indies (Figure S1).</w:t>
      </w:r>
    </w:p>
    <w:p>
      <w:pPr>
        <w:pStyle w:val="BodyText"/>
      </w:pPr>
      <w:r>
        <w:t xml:space="preserve">Diversification rates obtained from the analysis of the resulting</w:t>
      </w:r>
      <w:r>
        <w:t xml:space="preserve"> </w:t>
      </w:r>
      <w:r>
        <w:t xml:space="preserve">‘</w:t>
      </w:r>
      <w:r>
        <w:t xml:space="preserve">hybrid</w:t>
      </w:r>
      <w:r>
        <w:t xml:space="preserve">’</w:t>
      </w:r>
      <w:r>
        <w:t xml:space="preserve"> </w:t>
      </w:r>
      <w:r>
        <w:t xml:space="preserve">temporal occurrence dataset (incorporating fossil occurrences and extant occurrences sampled following the pipeline that we went to describe) were compared to diversification rates obtained from a dataset in which extant taxa lacking fossil record were assigned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(Figure S1).</w:t>
      </w:r>
    </w:p>
    <w:p>
      <w:pPr>
        <w:pStyle w:val="BodyText"/>
      </w:pPr>
      <w:r>
        <w:t xml:space="preserve">To assess for potential heterogeneities in diversification rates across latitude, occurrences were binned into three spatial domains on the basis of their sampling location: Tropical, Extratropical and Caribbean.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taxon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(&lt; 0.5kg), S (0.5–1kg), M (1–10kg), L (10–100kg), XL (100–200kg) and XXL (&gt; 200kg) (</w:t>
      </w:r>
      <w:hyperlink w:anchor="fig-lifespans">
        <w:r>
          <w:rPr>
            <w:rStyle w:val="Hyperlink"/>
          </w:rPr>
          <w:t xml:space="preserve">Figure 4</w:t>
        </w:r>
      </w:hyperlink>
      <w:r>
        <w:t xml:space="preserve">).</w:t>
      </w:r>
    </w:p>
    <w:p>
      <w:pPr>
        <w:pStyle w:val="BodyText"/>
      </w:pPr>
      <w:r>
        <w:t xml:space="preserve">We scored cheek teeth tooth growth types mainly based on the hypsodonty index (HI), which corresponds to the ratio between the crown height of an unworn tooth and its anteroposterior length or labiolingual width</w:t>
      </w:r>
      <w:r>
        <w:t xml:space="preserve"> </w:t>
      </w:r>
      <w:r>
        <w:t xml:space="preserve">(Van Valen 1960; Janis 1988)</w:t>
      </w:r>
      <w:r>
        <w:t xml:space="preserve">. We recognized four categories: brachydont (HI &lt; 0.9, rooted), mesodont (0.9 &lt; HI &lt; 1.1, rooted), protohypsodont (HI &gt; 1.1, rooted), and euhypsodont [HI &gt; 1.1, unrooted;</w:t>
      </w:r>
      <w:r>
        <w:t xml:space="preserve"> </w:t>
      </w:r>
      <w:r>
        <w:t xml:space="preserve">Mones (1982)</w:t>
      </w:r>
      <w:r>
        <w:t xml:space="preserve">;</w:t>
      </w:r>
      <w:r>
        <w:t xml:space="preserve"> </w:t>
      </w:r>
      <w:r>
        <w:t xml:space="preserve">Pérez (2010)</w:t>
      </w:r>
      <w:r>
        <w:t xml:space="preserve">]. The category scoring was derived from literature sources, observations and unpublished measurements made by the authors (Figure S7).</w:t>
      </w:r>
    </w:p>
    <w:p>
      <w:pPr>
        <w:pStyle w:val="BodyText"/>
      </w:pPr>
      <w:r>
        <w:t xml:space="preserve">In the end, body mass and HI estimates were obtained for nearly all species represented in our dataset (resp. 97% and 98%).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S4). In parallel, the same database was analysed using the Birth–Death model with Constrained Shifts (BDCS)</w:t>
      </w:r>
      <w:r>
        <w:t xml:space="preserve"> </w:t>
      </w:r>
      <w:r>
        <w:t xml:space="preserve">(Silvestro et al. 2015)</w:t>
      </w:r>
      <w:r>
        <w:t xml:space="preserve">.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pPr>
      <w:r>
        <w:t xml:space="preserve">In either case, we used a time-dependent preservation process, in which preservation rate could vary between geological stages. We also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S5) were further combined. Several sensitivity analyses were conducted to assess the impact of (1) our new phylogeny-based sampling scheme for extant species lacking fossil record, (2) removing singletons and (3) incorporating recently-published taxonomic revision of a hyperdiverse dinomyid fauna located in North-East Argentina (Ituzaingó formation,</w:t>
      </w:r>
      <w:r>
        <w:t xml:space="preserve"> </w:t>
      </w:r>
      <w:r>
        <w:t xml:space="preserve">Rasia (2026)</w:t>
      </w:r>
      <w:r>
        <w:t xml:space="preserve">) on the reconstructed diversification pattern. We also carried out analyses at the genus level.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v1.0.28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very nicely, as it represents a means to overcome the complete lineage sampling assumption made by PyRate, one of the biggest limitations of the latter framework.</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S18), the other three LSTM layers (128, 64 and 32 nodes) coupled with two dense layers (64 and 32 nodes) (Figure S19).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4" w:name="Xe57631aa6071154f2080e5d1af65f26f612edcb"/>
    <w:p>
      <w:pPr>
        <w:pStyle w:val="Heading2"/>
      </w:pPr>
      <w:r>
        <w:t xml:space="preserve">Drivers behind macroevolutionary patterns</w:t>
      </w:r>
    </w:p>
    <w:p>
      <w:pPr>
        <w:pStyle w:val="FirstParagraph"/>
      </w:pPr>
      <w:r>
        <w:rPr>
          <w:i/>
          <w:iCs/>
        </w:rPr>
        <w:t xml:space="preserve">Since insular and continental taxa are not subject to the same evolutionary constraints, we excluded the five West Indian taxa</w:t>
      </w:r>
      <w:r>
        <w:rPr>
          <w:rStyle w:val="FootnoteReference"/>
        </w:rPr>
        <w:footnoteReference w:id="28"/>
      </w:r>
      <w:r>
        <w:t xml:space="preserve"> </w:t>
      </w:r>
      <w:r>
        <w:t xml:space="preserve">from our environment-dependent diversification analyses. In particular, this avoided to test spurious relationships, for instance, the effect of the Andean uplift on the diversification of Caribbean taxa.</w:t>
      </w:r>
    </w:p>
    <w:bookmarkStart w:id="29"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(Figure S23).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w:t>
      </w:r>
      <w:r>
        <w:rPr>
          <w:i/>
          <w:iCs/>
        </w:rPr>
        <w:t xml:space="preserve">e</w:t>
      </w:r>
      <w:r>
        <w:t xml:space="preserve">.</w:t>
      </w:r>
      <w:r>
        <w:rPr>
          <w:i/>
          <w:iCs/>
        </w:rPr>
        <w:t xml:space="preserve">g</w:t>
      </w:r>
      <w:r>
        <w:t xml:space="preserve">., Etienne et al. 2011; Condamine et al. 2019a, 2020)</w:t>
      </w:r>
      <w:r>
        <w:t xml:space="preserve"> </w:t>
      </w:r>
      <w:r>
        <w:t xml:space="preserve">in a wide range of clades. Therefore, we allowed for diversity-dependence in our environment-dependent diversification (EDD) analyses.</w:t>
      </w:r>
    </w:p>
    <w:bookmarkEnd w:id="29"/>
    <w:bookmarkStart w:id="30"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species-specific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r>
        <w:t xml:space="preserve"> </w:t>
      </w:r>
      <w:r>
        <w:rPr>
          <w:i/>
          <w:iCs/>
        </w:rPr>
        <w:t xml:space="preserve">Supplementary Data</w:t>
      </w:r>
      <w:r>
        <w:t xml:space="preserve">).</w:t>
      </w:r>
    </w:p>
    <w:bookmarkEnd w:id="30"/>
    <w:bookmarkStart w:id="32" w:name="birthdeath-neural-networks-bdnn-analyses"/>
    <w:p>
      <w:pPr>
        <w:pStyle w:val="Heading3"/>
      </w:pPr>
      <w:r>
        <w:t xml:space="preserve">Birth–Death Neural Networks (BDNN) analyses</w:t>
      </w:r>
    </w:p>
    <w:p>
      <w:pPr>
        <w:pStyle w:val="FirstParagraph"/>
      </w:pPr>
      <w:r>
        <w:t xml:space="preserve">We consolidated our EDD analyses by using the Birth–Death Neural Networks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w:t>
      </w:r>
      <w:r>
        <w:t xml:space="preserve"> </w:t>
      </w:r>
      <w:r>
        <w:rPr>
          <w:i/>
          <w:iCs/>
        </w:rPr>
        <w:t xml:space="preserve">vs</w:t>
      </w:r>
      <w:r>
        <w:t xml:space="preserve">. exponential dichotomy usually offered by model-based EDD. Consequently, these dependencies can be complex, going beyond linearity.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the time effects of the BDNN to vary between the following set of bins: latest Eocene–Oligocene (35–23.04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w:t>
      </w:r>
      <w:r>
        <w:rPr>
          <w:rStyle w:val="FootnoteReference"/>
        </w:rPr>
        <w:footnoteReference w:id="31"/>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Figure 4</w:t>
        </w:r>
      </w:hyperlink>
      <w:r>
        <w:t xml:space="preserve">) and low crown heights (brachydont and mesodont) (Figure SX), we only allowed missing taxa to have moderate-to-large body sizes (M, L or XL) with high-crowned (un)rooted cheek teeth (protohypsodont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2"/>
    <w:bookmarkStart w:id="33"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pymc, and we considered parameters achieved convergence if their ESS was above 200.</w:t>
      </w:r>
    </w:p>
    <w:bookmarkEnd w:id="33"/>
    <w:bookmarkEnd w:id="34"/>
    <w:bookmarkEnd w:id="35"/>
    <w:bookmarkStart w:id="39" w:name="results"/>
    <w:p>
      <w:pPr>
        <w:pStyle w:val="Heading1"/>
      </w:pPr>
      <w:r>
        <w:t xml:space="preserve">Results</w:t>
      </w:r>
    </w:p>
    <w:bookmarkStart w:id="36" w:name="Xa1af8f99655f7af24f039c0e546ac07b26e5eba"/>
    <w:p>
      <w:pPr>
        <w:pStyle w:val="Heading2"/>
      </w:pPr>
      <w:r>
        <w:t xml:space="preserve">The waxing-and-waning 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a Late Miocene increase in chinchilloid diversity followed by a sharp decline from</w:t>
      </w:r>
      <w:r>
        <w:t xml:space="preserve"> </w:t>
      </w:r>
      <w:r>
        <w:rPr>
          <w:i/>
          <w:iCs/>
        </w:rPr>
        <w:t xml:space="preserve">ca</w:t>
      </w:r>
      <w:r>
        <w:t xml:space="preserve">. 6 Ma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diversity was conserved when conducting genus-level analyses (Figure S10 C) or when excluding singletons from the species-level dataset (Figure S8 C), though we may report that the amplitude of changes in diversity was attenuated in either case when compared to the analysis of the complete species-level dataset.</w:t>
      </w:r>
    </w:p>
    <w:p>
      <w:pPr>
        <w:pStyle w:val="BodyText"/>
      </w:pPr>
      <w:r>
        <w:t xml:space="preserve">This diversity pattern elegantly matched the temporal dynamics of body size across the history of the clade made from the body mass estimations that we obtained for nearly all species (94%) represented in our occurrence dataset (</w:t>
      </w:r>
      <w:hyperlink w:anchor="fig-diversityBM">
        <w:r>
          <w:rPr>
            <w:rStyle w:val="Hyperlink"/>
          </w:rPr>
          <w:t xml:space="preserve">Figure 3</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coordinated temporal trend towards body mass increase among several chinchilloid lineages until the latest Miocene (</w:t>
      </w:r>
      <w:hyperlink w:anchor="fig-lifespans">
        <w:r>
          <w:rPr>
            <w:rStyle w:val="Hyperlink"/>
          </w:rPr>
          <w:t xml:space="preserve">Figure 4</w:t>
        </w:r>
      </w:hyperlink>
      <w:r>
        <w:t xml:space="preserve">). Small-bodied species (&lt; 1kg) are mostly restricted to Palaeogene–Early Miocene basal (</w:t>
      </w:r>
      <w:r>
        <w:t xml:space="preserve">‘</w:t>
      </w:r>
      <w:r>
        <w:t xml:space="preserve">stem</w:t>
      </w:r>
      <w:r>
        <w:t xml:space="preserve">’</w:t>
      </w:r>
      <w:r>
        <w:t xml:space="preserve">) forms, with the notable exception of Early Miocene chinchillids (</w:t>
      </w:r>
      <w:r>
        <w:rPr>
          <w:i/>
          <w:iCs/>
        </w:rPr>
        <w:t xml:space="preserve">Peruchinchilla prima</w:t>
      </w:r>
      <w:r>
        <w:t xml:space="preserve">,</w:t>
      </w:r>
      <w:r>
        <w:t xml:space="preserve"> </w:t>
      </w:r>
      <w:r>
        <w:rPr>
          <w:i/>
          <w:iCs/>
        </w:rPr>
        <w:t xml:space="preserve">Pliolagostomus notatus</w:t>
      </w:r>
      <w:r>
        <w:t xml:space="preserve"> </w:t>
      </w:r>
      <w:r>
        <w:t xml:space="preserve">and</w:t>
      </w:r>
      <w:r>
        <w:t xml:space="preserve"> </w:t>
      </w:r>
      <w:r>
        <w:rPr>
          <w:i/>
          <w:iCs/>
        </w:rPr>
        <w:t xml:space="preserve">Pl. obliquidens</w:t>
      </w:r>
      <w:r>
        <w:t xml:space="preserve">) and neoepiblemids (</w:t>
      </w:r>
      <w:r>
        <w:rPr>
          <w:i/>
          <w:iCs/>
        </w:rPr>
        <w:t xml:space="preserve">Perimys dissimilis</w:t>
      </w:r>
      <w:r>
        <w:t xml:space="preserve">,</w:t>
      </w:r>
      <w:r>
        <w:t xml:space="preserve"> </w:t>
      </w:r>
      <w:r>
        <w:rPr>
          <w:i/>
          <w:iCs/>
        </w:rPr>
        <w:t xml:space="preserve">P. erutus</w:t>
      </w:r>
      <w:r>
        <w:t xml:space="preserve"> </w:t>
      </w:r>
      <w:r>
        <w:t xml:space="preserve">and</w:t>
      </w:r>
      <w:r>
        <w:t xml:space="preserve"> </w:t>
      </w:r>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to be reported, mostly within the two families</w:t>
      </w:r>
      <w:r>
        <w:t xml:space="preserve"> </w:t>
      </w:r>
      <m:oMath>
        <m:r>
          <m:rPr>
            <m:sty m:val="p"/>
          </m:rPr>
          <m:t>†</m:t>
        </m:r>
      </m:oMath>
      <w:r>
        <w:t xml:space="preserve">Neoepiblemidae and Dinomyidae, with the first giant taxa (&gt;100 kg) originating</w:t>
      </w:r>
      <w:r>
        <w:t xml:space="preserve"> </w:t>
      </w:r>
      <w:r>
        <w:rPr>
          <w:i/>
          <w:iCs/>
        </w:rPr>
        <w:t xml:space="preserve">ca</w:t>
      </w:r>
      <w:r>
        <w:t xml:space="preserve">. 10 Ma. Then, in continental South America, most of this flourishing large-sized diversity disappeared at</w:t>
      </w:r>
      <w:r>
        <w:t xml:space="preserve"> </w:t>
      </w:r>
      <w:r>
        <w:rPr>
          <w:i/>
          <w:iCs/>
        </w:rPr>
        <w:t xml:space="preserve">ca</w:t>
      </w:r>
      <w:r>
        <w:t xml:space="preserve">. 6 Ma, and only persisted the lineages that gave birth to the extant moderate-sized representatives of the group. In the West Indies, Quaternary deposits yielded remains of large-sized taxa (grouped into the likely non-monophyletic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6"/>
    <w:bookmarkStart w:id="37" w:name="X3dd8a6b8fe755db649aa27609e7691feaf8d36d"/>
    <w:p>
      <w:pPr>
        <w:pStyle w:val="Heading2"/>
      </w:pPr>
      <w:r>
        <w:t xml:space="preserve">Diversification dynamics of Chinchilloidea : a cautionary tale on extant sampling scheme and taxonomy</w:t>
      </w:r>
    </w:p>
    <w:p>
      <w:pPr>
        <w:pStyle w:val="FirstParagraph"/>
      </w:pPr>
      <w:r>
        <w:t xml:space="preserve">Our findings revealed that the aforementioned changes in diversity were due to changes in extinction, not speciation rate during the evolutionary history of the clade.</w:t>
      </w:r>
    </w:p>
    <w:p>
      <w:pPr>
        <w:pStyle w:val="BodyText"/>
      </w:pPr>
      <w:r>
        <w:t xml:space="preserve">Indeed, the analyses we conducted using PyRate (rjMCMC algorithm and BDCS model) suggest that the speciation rate of Chinchilloidea remained constant during their evolutionary history (</w:t>
      </w:r>
      <w:hyperlink w:anchor="fig-diversification">
        <w:r>
          <w:rPr>
            <w:rStyle w:val="Hyperlink"/>
          </w:rPr>
          <w:t xml:space="preserve">Figure 5</w:t>
        </w:r>
      </w:hyperlink>
      <w:r>
        <w:t xml:space="preserve"> </w:t>
      </w:r>
      <w:r>
        <w:t xml:space="preserve">A and C, Figure S6 A). This result aligns with the output of the MBD model, in which speciation rate estimated with exponential correlations with environmental variables also remained constant across the evolutionary history of the group (</w:t>
      </w:r>
      <w:hyperlink w:anchor="fig-diversification">
        <w:r>
          <w:rPr>
            <w:rStyle w:val="Hyperlink"/>
          </w:rPr>
          <w:t xml:space="preserve">Figure 5</w:t>
        </w:r>
      </w:hyperlink>
      <w:r>
        <w:t xml:space="preserve"> </w:t>
      </w:r>
      <w:r>
        <w:t xml:space="preserve">G), and was not found significantly associated with any of the variables (Figure S20). The results obtained with the BDNN model also corroborate this conclusion. Indeed, when plotted against time, BDNN-inferred marginal speciation rate remained overall stable across the study period (</w:t>
      </w:r>
      <w:hyperlink w:anchor="fig-diversification">
        <w:r>
          <w:rPr>
            <w:rStyle w:val="Hyperlink"/>
          </w:rPr>
          <w:t xml:space="preserve">Figure 5</w:t>
        </w:r>
      </w:hyperlink>
      <w:r>
        <w:t xml:space="preserve"> </w:t>
      </w:r>
      <w:r>
        <w:t xml:space="preserve">E, Figure S16-S17). Also, the coefficients of rate variation across the ten imputation replicates, not differing from expectations under a constant-rate birth–death model (0.23</w:t>
      </w:r>
      <w:r>
        <w:t xml:space="preserve"> </w:t>
      </w:r>
      <w:r>
        <w:rPr>
          <w:i/>
          <w:iCs/>
        </w:rPr>
        <w:t xml:space="preserve">vs</w:t>
      </w:r>
      <w:r>
        <w:t xml:space="preserve">. 0.23, Table S4), suggest an absence of significant speciation rate variation across lineages.</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H) and lineages (</w:t>
      </w:r>
      <w:hyperlink w:anchor="fig-ExtinctionDrivers">
        <w:r>
          <w:rPr>
            <w:rStyle w:val="Hyperlink"/>
          </w:rPr>
          <w:t xml:space="preserve">Figure 6</w:t>
        </w:r>
      </w:hyperlink>
      <w:r>
        <w:t xml:space="preserve"> </w:t>
      </w:r>
      <w:r>
        <w:t xml:space="preserve">and Table S5). A single significant extinction rate shift was captured by the rjMCMC model</w:t>
      </w:r>
      <w:r>
        <w:t xml:space="preserve"> </w:t>
      </w:r>
      <w:r>
        <w:rPr>
          <w:i/>
          <w:iCs/>
        </w:rPr>
        <w:t xml:space="preserve">ca</w:t>
      </w:r>
      <w:r>
        <w:t xml:space="preserve">. 6 Ma (</w:t>
      </w:r>
      <w:hyperlink w:anchor="fig-diversification">
        <w:r>
          <w:rPr>
            <w:rStyle w:val="Hyperlink"/>
          </w:rPr>
          <w:t xml:space="preserve">Figure 5</w:t>
        </w:r>
      </w:hyperlink>
      <w:r>
        <w:t xml:space="preserve"> </w:t>
      </w:r>
      <w:r>
        <w:t xml:space="preserve">B, Figure S5 B), coinciding with the onset of the diversity decline described in the previous section (</w:t>
      </w:r>
      <w:hyperlink w:anchor="fig-diversityBM">
        <w:r>
          <w:rPr>
            <w:rStyle w:val="Hyperlink"/>
          </w:rPr>
          <w:t xml:space="preserve">Figure 3</w:t>
        </w:r>
      </w:hyperlink>
      <w:r>
        <w:t xml:space="preserve">). The significance of this shift was nevertheless altered as we updated our temporal occurrence dataset accounting for recent taxonomic updates among the Late Miocene rodent fauna of the Ituzaingó formation (Entre Ríos Province, Argentina, Figure S12)</w:t>
      </w:r>
      <w:r>
        <w:t xml:space="preserve"> </w:t>
      </w:r>
      <w:r>
        <w:t xml:space="preserve">(Rasia 2026)</w:t>
      </w:r>
      <w:r>
        <w:t xml:space="preserve">. This single-shift extinction pattern persisted at the genus level, but with a 2–3 million-year delay towards the present, instead occurring in the late Pliocene (</w:t>
      </w:r>
      <w:r>
        <w:rPr>
          <w:i/>
          <w:iCs/>
        </w:rPr>
        <w:t xml:space="preserve">ca</w:t>
      </w:r>
      <w:r>
        <w:t xml:space="preserve">. 3 Ma, Figure S10-S11). This shift was also detected by the BDCS, BDNN and the MBD models, these three models capturing a possible additional increase in extinction rate during the Middle Miocene (labelled</w:t>
      </w:r>
      <w:r>
        <w:t xml:space="preserve"> </w:t>
      </w:r>
      <w:r>
        <w:t xml:space="preserve">‘</w:t>
      </w:r>
      <w:r>
        <w:t xml:space="preserve">?</w:t>
      </w:r>
      <w:r>
        <w:t xml:space="preserve">’</w:t>
      </w:r>
      <w:r>
        <w:t xml:space="preserve"> </w:t>
      </w:r>
      <w:r>
        <w:t xml:space="preserve">on</w:t>
      </w:r>
      <w:r>
        <w:t xml:space="preserve"> </w:t>
      </w:r>
      <w:hyperlink w:anchor="fig-diversification">
        <w:r>
          <w:rPr>
            <w:rStyle w:val="Hyperlink"/>
          </w:rPr>
          <w:t xml:space="preserve">Figure 5</w:t>
        </w:r>
      </w:hyperlink>
      <w:r>
        <w:t xml:space="preserve"> </w:t>
      </w:r>
      <w:r>
        <w:t xml:space="preserve">D, F, H). That being said, removing singleton from our diversification analyses totally eroded the pattern that we described (Figures S7-S8).</w:t>
      </w:r>
    </w:p>
    <w:p>
      <w:pPr>
        <w:pStyle w:val="BodyText"/>
      </w:pPr>
      <w:r>
        <w:t xml:space="preserve">Following our phylogenetically-informed occurrence sampling for the seven extant species lacking fossil record (see</w:t>
      </w:r>
      <w:r>
        <w:t xml:space="preserve"> </w:t>
      </w:r>
      <w:r>
        <w:rPr>
          <w:i/>
          <w:iCs/>
        </w:rPr>
        <w:t xml:space="preserve">Methods</w:t>
      </w:r>
      <w:r>
        <w:t xml:space="preserve">), the resulting origination ages of the focal species subsequently estimated with PyRate were slightly younger than divergence ages from the phylogeny (Figure S3) – except for</w:t>
      </w:r>
      <w:r>
        <w:t xml:space="preserve"> </w:t>
      </w:r>
      <w:r>
        <w:rPr>
          <w:i/>
          <w:iCs/>
        </w:rPr>
        <w:t xml:space="preserve">D. branickii</w:t>
      </w:r>
      <w:r>
        <w:t xml:space="preserve">, for which the difference was way more pronounced, as we tailored our sampling scheme to (see</w:t>
      </w:r>
      <w:r>
        <w:t xml:space="preserve"> </w:t>
      </w:r>
      <w:r>
        <w:rPr>
          <w:i/>
          <w:iCs/>
        </w:rPr>
        <w:t xml:space="preserve">Methods</w:t>
      </w:r>
      <w:r>
        <w:t xml:space="preserve">). This sampling scheme (leading to the</w:t>
      </w:r>
      <w:r>
        <w:t xml:space="preserve"> </w:t>
      </w:r>
      <w:r>
        <w:t xml:space="preserve">‘</w:t>
      </w:r>
      <w:r>
        <w:t xml:space="preserve">newly-combined</w:t>
      </w:r>
      <w:r>
        <w:t xml:space="preserve">’</w:t>
      </w:r>
      <w:r>
        <w:t xml:space="preserve"> </w:t>
      </w:r>
      <w:r>
        <w:t xml:space="preserve">dataset) had minor effects on upstream reconstructions of diversity when compared to inferences carried out from datasets either exclusively encompassing fossil occurrences (</w:t>
      </w:r>
      <w:r>
        <w:t xml:space="preserve">‘</w:t>
      </w:r>
      <w:r>
        <w:t xml:space="preserve">fossil-only</w:t>
      </w:r>
      <w:r>
        <w:t xml:space="preserve">’</w:t>
      </w:r>
      <w:r>
        <w:t xml:space="preserve">) or in which extant taxa were incorporated by means of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w:t>
      </w:r>
      <w:r>
        <w:t xml:space="preserve"> </w:t>
      </w:r>
      <w:r>
        <w:t xml:space="preserve">‘</w:t>
      </w:r>
      <w:r>
        <w:t xml:space="preserve">biased sampling</w:t>
      </w:r>
      <w:r>
        <w:t xml:space="preserve">’</w:t>
      </w:r>
      <w:r>
        <w:t xml:space="preserve">) (Figure S2 G–I). The only noticeable change was the inflation of diversity in the last few million years, sharp in the</w:t>
      </w:r>
      <w:r>
        <w:t xml:space="preserve"> </w:t>
      </w:r>
      <w:r>
        <w:t xml:space="preserve">‘</w:t>
      </w:r>
      <w:r>
        <w:t xml:space="preserve">biased sampling</w:t>
      </w:r>
      <w:r>
        <w:t xml:space="preserve">’</w:t>
      </w:r>
      <w:r>
        <w:t xml:space="preserve"> </w:t>
      </w:r>
      <w:r>
        <w:t xml:space="preserve">case, smooth in the</w:t>
      </w:r>
      <w:r>
        <w:t xml:space="preserve"> </w:t>
      </w:r>
      <w:r>
        <w:t xml:space="preserve">‘</w:t>
      </w:r>
      <w:r>
        <w:t xml:space="preserve">newly-combined</w:t>
      </w:r>
      <w:r>
        <w:t xml:space="preserve">’</w:t>
      </w:r>
      <w:r>
        <w:t xml:space="preserve"> </w:t>
      </w:r>
      <w:r>
        <w:t xml:space="preserve">case, absent in the</w:t>
      </w:r>
      <w:r>
        <w:t xml:space="preserve"> </w:t>
      </w:r>
      <w:r>
        <w:t xml:space="preserve">‘</w:t>
      </w:r>
      <w:r>
        <w:t xml:space="preserve">fossil-only</w:t>
      </w:r>
      <w:r>
        <w:t xml:space="preserve">’</w:t>
      </w:r>
      <w:r>
        <w:t xml:space="preserve"> </w:t>
      </w:r>
      <w:r>
        <w:t xml:space="preserve">case. However, reconstructed diversification rates through time were highly sensitive to extant sampling scheme. Indeed, as described before, analyses of the</w:t>
      </w:r>
      <w:r>
        <w:t xml:space="preserve"> </w:t>
      </w:r>
      <w:r>
        <w:t xml:space="preserve">‘</w:t>
      </w:r>
      <w:r>
        <w:t xml:space="preserve">newly-combined</w:t>
      </w:r>
      <w:r>
        <w:t xml:space="preserve">’</w:t>
      </w:r>
      <w:r>
        <w:t xml:space="preserve"> </w:t>
      </w:r>
      <w:r>
        <w:t xml:space="preserve">dataset retrieved no significant change in speciation rate, whereas a shift was detected</w:t>
      </w:r>
      <w:r>
        <w:t xml:space="preserve"> </w:t>
      </w:r>
      <w:r>
        <w:rPr>
          <w:i/>
          <w:iCs/>
        </w:rPr>
        <w:t xml:space="preserve">ca</w:t>
      </w:r>
      <w:r>
        <w:t xml:space="preserve">. 2.5 Ma with the alternative datasets, either significant (</w:t>
      </w:r>
      <w:r>
        <w:t xml:space="preserve">‘</w:t>
      </w:r>
      <w:r>
        <w:t xml:space="preserve">fossil-only</w:t>
      </w:r>
      <w:r>
        <w:t xml:space="preserve">’</w:t>
      </w:r>
      <w:r>
        <w:t xml:space="preserve"> </w:t>
      </w:r>
      <w:r>
        <w:t xml:space="preserve">dataset) or strongly-supported (</w:t>
      </w:r>
      <w:r>
        <w:t xml:space="preserve">‘</w:t>
      </w:r>
      <w:r>
        <w:t xml:space="preserve">biased sampling</w:t>
      </w:r>
      <w:r>
        <w:t xml:space="preserve">’</w:t>
      </w:r>
      <w:r>
        <w:t xml:space="preserve"> </w:t>
      </w:r>
      <w:r>
        <w:t xml:space="preserve">dataset) (Figure S2 A–C). Also noteworthy, the magnitude of the late Miocene increase in chinchilloid extinction rate was three times higher in the analysis of the two alternative datasets (Figure S2 D–F).</w:t>
      </w:r>
    </w:p>
    <w:bookmarkEnd w:id="37"/>
    <w:bookmarkStart w:id="38" w:name="Xffd306d3d6128e87a6401c0be9a1d90f4f13144"/>
    <w:p>
      <w:pPr>
        <w:pStyle w:val="Heading2"/>
      </w:pPr>
      <w:r>
        <w:t xml:space="preserve">Heterogeneous extinction selectivity across body size classes and latitude, likely enhanced by the Andean uplift and sea-level changes, shaped the decline of Chinchilloidea</w:t>
      </w:r>
    </w:p>
    <w:p>
      <w:pPr>
        <w:pStyle w:val="FirstParagraph"/>
      </w:pPr>
      <w:r>
        <w:t xml:space="preserve">Our BDNN analyses revealed that the three best predictors of extinction rate variations across lineages are the (1) Andean uplift, (2) body mass and (3) latitude (Table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(&gt;1500 m,</w:t>
      </w:r>
      <w:r>
        <w:t xml:space="preserve"> </w:t>
      </w:r>
      <w:hyperlink w:anchor="fig-ExtinctionDrivers">
        <w:r>
          <w:rPr>
            <w:rStyle w:val="Hyperlink"/>
          </w:rPr>
          <w:t xml:space="preserve">Figure 6</w:t>
        </w:r>
      </w:hyperlink>
      <w:r>
        <w:t xml:space="preserve"> </w:t>
      </w:r>
      <w:r>
        <w:t xml:space="preserve">C). Tropical and extratropical species respectively show a similar response to increasing uplift (Figure S24). This overall pattern of uplift-dependent extinction was also conserved across body size classes, except for the smallest taxa (XS, Figure S25). Furthermore, we evidenced that larger-bodied species had higher extinction rates than smaller-bodied species, with up to a 1.84-fold difference in average values (</w:t>
      </w:r>
      <w:hyperlink w:anchor="fig-ExtinctionDrivers">
        <w:r>
          <w:rPr>
            <w:rStyle w:val="Hyperlink"/>
          </w:rPr>
          <w:t xml:space="preserve">Figure 6</w:t>
        </w:r>
      </w:hyperlink>
      <w:r>
        <w:t xml:space="preserve"> </w:t>
      </w:r>
      <w:r>
        <w:t xml:space="preserve">A, Table S7). The independent rjMCMC analyses that we conducted for each body size class confirmed the higher susceptibility of large-sized taxa to go extinct (Figure S14 B). These analyses also indicate that the aforementioned Late Miocene increase in chinchilloid extinction rate was mainly driven by these large body-size classes (Figure S15). Note that chinchilloid assemblages at</w:t>
      </w:r>
      <w:r>
        <w:t xml:space="preserve"> </w:t>
      </w:r>
      <w:r>
        <w:rPr>
          <w:i/>
          <w:iCs/>
        </w:rPr>
        <w:t xml:space="preserve">ca</w:t>
      </w:r>
      <w:r>
        <w:t xml:space="preserve">. 6 Ma were mostly composed of large taxa (</w:t>
      </w:r>
      <w:hyperlink w:anchor="fig-diversityBM">
        <w:r>
          <w:rPr>
            <w:rStyle w:val="Hyperlink"/>
          </w:rPr>
          <w:t xml:space="preserve">Figure 3</w:t>
        </w:r>
      </w:hyperlink>
      <w:r>
        <w:t xml:space="preserve"> </w:t>
      </w:r>
      <w:r>
        <w:t xml:space="preserve">C and</w:t>
      </w:r>
      <w:r>
        <w:t xml:space="preserve"> </w:t>
      </w:r>
      <w:hyperlink w:anchor="fig-lifespans">
        <w:r>
          <w:rPr>
            <w:rStyle w:val="Hyperlink"/>
          </w:rPr>
          <w:t xml:space="preserve">Figure 4</w:t>
        </w:r>
      </w:hyperlink>
      <w:r>
        <w:t xml:space="preserve">). Last, on average, tropical species were found to have 1.5-times lower extinction rates than extra-tropical species (</w:t>
      </w:r>
      <w:hyperlink w:anchor="fig-ExtinctionDrivers">
        <w:r>
          <w:rPr>
            <w:rStyle w:val="Hyperlink"/>
          </w:rPr>
          <w:t xml:space="preserve">Figure 6</w:t>
        </w:r>
      </w:hyperlink>
      <w:r>
        <w:t xml:space="preserve"> </w:t>
      </w:r>
      <w:r>
        <w:t xml:space="preserve">C, Table S8). This difference in extinction rate between tropical and extratropical taxa were particularly pronounced in moderate-to-large classes (</w:t>
      </w:r>
      <w:r>
        <w:rPr>
          <w:i/>
          <w:iCs/>
        </w:rPr>
        <w:t xml:space="preserve">i</w:t>
      </w:r>
      <w:r>
        <w:t xml:space="preserve">.</w:t>
      </w:r>
      <w:r>
        <w:rPr>
          <w:i/>
          <w:iCs/>
        </w:rPr>
        <w:t xml:space="preserve">e</w:t>
      </w:r>
      <w:r>
        <w:t xml:space="preserve">., M, L, XL; Figure S26). We might precise that, in our BDNN analyses, time was always ranked as the least important predictor (Table S6), suggesting our environmental and trait variables effectively captured signals of rate variation.</w:t>
      </w:r>
    </w:p>
    <w:p>
      <w:pPr>
        <w:pStyle w:val="BodyText"/>
      </w:pPr>
      <w:r>
        <w:t xml:space="preserve">Also, depending on the imputation replicate, hypsodonty was sometimes ranked at the third position among the most important extinction rate predictors (Table S6). Our findings indeed highlight differential extinction sensitivities within high-crowned taxa. Extinction rate was indeed on average 1.59 times higher for protohypsodont (rooted) than for euhypsodont (unrooted) species (Table S9, Figure S27). Given their very restricted number of species, it is hard to reliably interpret diversification rate estimations for the two other crown height categories (</w:t>
      </w:r>
      <w:r>
        <w:rPr>
          <w:i/>
          <w:iCs/>
        </w:rPr>
        <w:t xml:space="preserve">i</w:t>
      </w:r>
      <w:r>
        <w:t xml:space="preserve">.</w:t>
      </w:r>
      <w:r>
        <w:rPr>
          <w:i/>
          <w:iCs/>
        </w:rPr>
        <w:t xml:space="preserve">e</w:t>
      </w:r>
      <w:r>
        <w:t xml:space="preserve">., brachydont and mesodont, Figure S7).</w:t>
      </w:r>
    </w:p>
    <w:p>
      <w:pPr>
        <w:pStyle w:val="BodyText"/>
      </w:pPr>
      <w:r>
        <w:t xml:space="preserve">The best predictor for inter-lineage extinction rate variations in the Chinchilloidea drastically differ from the factors identified by the MBD model as most influencing extinction rate variations across time. Indeed, our MBD analyses revealed that the only factor significantly associated to the temporal variations of extinction rate is sea-level changes (</w:t>
      </w:r>
      <w:hyperlink w:anchor="fig-ExtinctionDrivers">
        <w:r>
          <w:rPr>
            <w:rStyle w:val="Hyperlink"/>
          </w:rPr>
          <w:t xml:space="preserve">Figure 6</w:t>
        </w:r>
      </w:hyperlink>
      <w:r>
        <w:t xml:space="preserve"> </w:t>
      </w:r>
      <w:r>
        <w:t xml:space="preserve">D). This factor was always ranked as the second-to-least important predictor by BDNN (Table S6). On the contrary, our MBD analyses failed at relating the pace of chinchilloid extinction to the Andean uplift, which is yet suggested by our BDNN analyses.</w:t>
      </w:r>
    </w:p>
    <w:p>
      <w:pPr>
        <w:pStyle w:val="BodyText"/>
      </w:pPr>
      <w:r>
        <w:t xml:space="preserve">Last, our findings revealed a sustained age-dependent extinction pattern over chinchilloid evolutionary history, in which extinction rate decreases with increasing species age (Weibull shape</w:t>
      </w:r>
      <w:r>
        <w:t xml:space="preserve"> </w:t>
      </w:r>
      <m:oMath>
        <m:r>
          <m:t>Φ</m:t>
        </m:r>
        <m:r>
          <m:rPr>
            <m:sty m:val="p"/>
          </m:rPr>
          <m:t>&lt;</m:t>
        </m:r>
        <m:r>
          <m:t>1</m:t>
        </m:r>
      </m:oMath>
      <w:r>
        <w:t xml:space="preserve">), both before and after the extinction rate shift that we detected</w:t>
      </w:r>
      <w:r>
        <w:t xml:space="preserve"> </w:t>
      </w:r>
      <w:r>
        <w:rPr>
          <w:i/>
          <w:iCs/>
        </w:rPr>
        <w:t xml:space="preserve">ca</w:t>
      </w:r>
      <w:r>
        <w:t xml:space="preserve">. 6 Ma (Figure S13 and Table S11).</w:t>
      </w:r>
    </w:p>
    <w:bookmarkEnd w:id="38"/>
    <w:bookmarkEnd w:id="39"/>
    <w:bookmarkStart w:id="47" w:name="discussion"/>
    <w:p>
      <w:pPr>
        <w:pStyle w:val="Heading1"/>
      </w:pPr>
      <w:r>
        <w:t xml:space="preserve">Discussion</w:t>
      </w:r>
    </w:p>
    <w:bookmarkStart w:id="40" w:name="X45512260c5485d86ae119a012641fc04c0e5c67"/>
    <w:p>
      <w:pPr>
        <w:pStyle w:val="Heading2"/>
      </w:pPr>
      <w:r>
        <w:t xml:space="preserve">The coupled dynamics of chinchilloid diversity and body size disparity</w:t>
      </w:r>
    </w:p>
    <w:p>
      <w:pPr>
        <w:pStyle w:val="FirstParagraph"/>
      </w:pPr>
      <w:r>
        <w:t xml:space="preserve">Our findings highlight the coordinated dynamics of body mass evolution and species diversity in the Chinchilloidea. From the late Eocene–early Oligocene to the Late Miocene, chinchilloids experienced a steady increase in median body size and body size range (</w:t>
      </w:r>
      <w:hyperlink w:anchor="fig-diversityBM">
        <w:r>
          <w:rPr>
            <w:rStyle w:val="Hyperlink"/>
          </w:rPr>
          <w:t xml:space="preserve">Figure 3</w:t>
        </w:r>
      </w:hyperlink>
      <w:r>
        <w:t xml:space="preserve"> </w:t>
      </w:r>
      <w:r>
        <w:t xml:space="preserve">C). Such an increase may elegantly illustrate a long-recognised tendency for lineages to increase in body size over evolutionary time, known as Cope’s rule</w:t>
      </w:r>
      <w:r>
        <w:t xml:space="preserve"> </w:t>
      </w:r>
      <w:r>
        <w:t xml:space="preserve">(Cope 1896)</w:t>
      </w:r>
      <w:r>
        <w:t xml:space="preserve">. A similar increase is suggested by our reconstructions of diversity through time, particularly from the Middle Miocene (</w:t>
      </w:r>
      <w:hyperlink w:anchor="fig-diversityBM">
        <w:r>
          <w:rPr>
            <w:rStyle w:val="Hyperlink"/>
          </w:rPr>
          <w:t xml:space="preserve">Figure 3</w:t>
        </w:r>
      </w:hyperlink>
      <w:r>
        <w:t xml:space="preserve"> </w:t>
      </w:r>
      <w:r>
        <w:t xml:space="preserve">A–B). The largest body mass range – together with the largest clade-wise median body mass – were concomitantly achieved when the clade diversity peaked, in the Late Miocene (</w:t>
      </w:r>
      <w:hyperlink w:anchor="fig-diversityBM">
        <w:r>
          <w:rPr>
            <w:rStyle w:val="Hyperlink"/>
          </w:rPr>
          <w:t xml:space="preserve">Figure 3</w:t>
        </w:r>
      </w:hyperlink>
      <w:r>
        <w:t xml:space="preserve">). Species diversity and body mass disparity then subsequently declined (</w:t>
      </w:r>
      <w:hyperlink w:anchor="fig-diversityBM">
        <w:r>
          <w:rPr>
            <w:rStyle w:val="Hyperlink"/>
          </w:rPr>
          <w:t xml:space="preserve">Figure 3</w:t>
        </w:r>
      </w:hyperlink>
      <w:r>
        <w:t xml:space="preserve">). This coupled diversity-disparity pattern aligns with seminal macroevolutionary theories, having long postulated the existence of a positive relationship between the dynamics of clade diversity/diversification and morphological evolution. These notably include the adaptive radiation theory</w:t>
      </w:r>
      <w:r>
        <w:t xml:space="preserve"> </w:t>
      </w:r>
      <w:r>
        <w:t xml:space="preserve">(Simpson 1953)</w:t>
      </w:r>
      <w:r>
        <w:t xml:space="preserve">, the concept of punctuated equilibria</w:t>
      </w:r>
      <w:r>
        <w:t xml:space="preserve"> </w:t>
      </w:r>
      <w:r>
        <w:t xml:space="preserve">(Gould and Eldredge 1977)</w:t>
      </w:r>
      <w:r>
        <w:t xml:space="preserve"> </w:t>
      </w:r>
      <w:r>
        <w:t xml:space="preserve">or the</w:t>
      </w:r>
      <w:r>
        <w:t xml:space="preserve"> </w:t>
      </w:r>
      <w:r>
        <w:t xml:space="preserve">‘</w:t>
      </w:r>
      <w:r>
        <w:t xml:space="preserve">versatility</w:t>
      </w:r>
      <w:r>
        <w:t xml:space="preserve">’</w:t>
      </w:r>
      <w:r>
        <w:t xml:space="preserve"> </w:t>
      </w:r>
      <w:r>
        <w:t xml:space="preserve">hypothesis</w:t>
      </w:r>
      <w:r>
        <w:t xml:space="preserve"> </w:t>
      </w:r>
      <w:r>
        <w:t xml:space="preserve">(Vermeij 1973a,b)</w:t>
      </w:r>
      <w:r>
        <w:t xml:space="preserve">. A positive relationship between diversity and disparity was supported by empirical case studies on several vertebrate clades</w:t>
      </w:r>
      <w:r>
        <w:t xml:space="preserve"> </w:t>
      </w:r>
      <w:r>
        <w:t xml:space="preserve">(</w:t>
      </w:r>
      <w:r>
        <w:rPr>
          <w:i/>
          <w:iCs/>
        </w:rPr>
        <w:t xml:space="preserve">e</w:t>
      </w:r>
      <w:r>
        <w:t xml:space="preserve">.</w:t>
      </w:r>
      <w:r>
        <w:rPr>
          <w:i/>
          <w:iCs/>
        </w:rPr>
        <w:t xml:space="preserve">g</w:t>
      </w:r>
      <w:r>
        <w:t xml:space="preserve">., Hughes et al. 2013; Rabosky et al. 2013; Cooney and Thomas 2021)</w:t>
      </w:r>
      <w:r>
        <w:t xml:space="preserve">. However, evidence from a diverse array of study models, including therapsids</w:t>
      </w:r>
      <w:r>
        <w:t xml:space="preserve"> </w:t>
      </w:r>
      <w:r>
        <w:t xml:space="preserve">(Ruta et al. 2013)</w:t>
      </w:r>
      <w:r>
        <w:t xml:space="preserve">, muroid rodents</w:t>
      </w:r>
      <w:r>
        <w:t xml:space="preserve"> </w:t>
      </w:r>
      <w:r>
        <w:t xml:space="preserve">(Rowe et al. 2011; Alhajeri et al. 2016; Maestri et al. 2017; Missagia et al. 2023)</w:t>
      </w:r>
      <w:r>
        <w:t xml:space="preserve"> </w:t>
      </w:r>
      <w:r>
        <w:t xml:space="preserve">or equids</w:t>
      </w:r>
      <w:r>
        <w:t xml:space="preserve"> </w:t>
      </w:r>
      <w:r>
        <w:t xml:space="preserve">(Cantalapiedra et al. 2017)</w:t>
      </w:r>
      <w:r>
        <w:t xml:space="preserve"> </w:t>
      </w:r>
      <w:r>
        <w:t xml:space="preserve">challenged such a relationship, illustrating a decoupling between species diversity and morphological disparity. In that respect, though with a more restricted taxonomic sampling (and associated trait reconstructions), a recent study analysed the patterns of diversity and morphological (body size and cranio-dental) evolution of Chinchilloidea and their sister group, Octodontoidea</w:t>
      </w:r>
      <w:r>
        <w:t xml:space="preserve"> </w:t>
      </w:r>
      <w:r>
        <w:t xml:space="preserve">(Carrillo et al. 2026)</w:t>
      </w:r>
      <w:r>
        <w:t xml:space="preserve">. They evidenced a striking pairwise decoupling between the dynamics of disparity and diversity of the two clades, with chinchilloids always maintaining a larger morphological (and particularly body size) disparity with a lower species diversity than octodontoids. That being said, our occurrence-based chinchilloid diversity-through-time reconstruction does not substantially differ from theirs. Consequently, we propose that, beyond contradiction, our study illustrates the scale-dependence of the disparity-diversity relationship. Despite the fact that, over their evolutionary history, chinchilloids have been unquestionably more morphologically-diverse but less species-diverse than their sister clade (octodontoids), suggesting an inter-clade decoupling between diversity and disparity, at the intra-clade scale, chinchilloid dynamics of species diversity and body size disparity were undoubtedly correlated. The dependence of the diversity-disparity relationship to the phylogenetic scale was already illustrated by</w:t>
      </w:r>
      <w:r>
        <w:t xml:space="preserve"> </w:t>
      </w:r>
      <w:r>
        <w:t xml:space="preserve">Cooney and Thomas (2021)</w:t>
      </w:r>
      <w:r>
        <w:t xml:space="preserve">, finding that the positive relationship between rates of diversification and morphological evolution preferentially arose from large phylogenetic scales.</w:t>
      </w:r>
    </w:p>
    <w:bookmarkEnd w:id="40"/>
    <w:bookmarkStart w:id="41" w:name="drivers-of-an-evolutionary-decline"/>
    <w:p>
      <w:pPr>
        <w:pStyle w:val="Heading2"/>
      </w:pPr>
      <w:r>
        <w:t xml:space="preserve">Drivers of an evolutionary decline</w:t>
      </w:r>
    </w:p>
    <w:p>
      <w:pPr>
        <w:pStyle w:val="FirstParagraph"/>
      </w:pPr>
      <w:r>
        <w:t xml:space="preserve">Our findings revealed that chinchilloid evolutionary history was best summarised by a birth–death model with constant speciation and time-variable extinction (</w:t>
      </w:r>
      <w:hyperlink w:anchor="fig-diversification">
        <w:r>
          <w:rPr>
            <w:rStyle w:val="Hyperlink"/>
          </w:rPr>
          <w:t xml:space="preserve">Figure 5</w:t>
        </w:r>
      </w:hyperlink>
      <w:r>
        <w:t xml:space="preserve">; Figure S5). The absence of temporal variation in speciation rate suggests that the</w:t>
      </w:r>
      <w:r>
        <w:t xml:space="preserve"> </w:t>
      </w:r>
      <w:r>
        <w:t xml:space="preserve">‘</w:t>
      </w:r>
      <w:r>
        <w:t xml:space="preserve">Ent wives</w:t>
      </w:r>
      <w:r>
        <w:t xml:space="preserve">’</w:t>
      </w:r>
      <w:r>
        <w:t xml:space="preserve"> </w:t>
      </w:r>
      <w:r>
        <w:t xml:space="preserve">model of clade demise due to a decrease in speciation/origination rate</w:t>
      </w:r>
      <w:r>
        <w:t xml:space="preserve"> </w:t>
      </w:r>
      <w:r>
        <w:t xml:space="preserve">(Quental and Marshall 2013)</w:t>
      </w:r>
      <w:r>
        <w:t xml:space="preserve"> </w:t>
      </w:r>
      <w:r>
        <w:t xml:space="preserve">fails to explain the macroevolutionary dynamics of chinchilloids, though such a model was found to accurately reflect the decline of several clades</w:t>
      </w:r>
      <w:r>
        <w:t xml:space="preserve"> </w:t>
      </w:r>
      <w:r>
        <w:t xml:space="preserve">(</w:t>
      </w:r>
      <w:r>
        <w:rPr>
          <w:i/>
          <w:iCs/>
        </w:rPr>
        <w:t xml:space="preserve">e</w:t>
      </w:r>
      <w:r>
        <w:t xml:space="preserve">.</w:t>
      </w:r>
      <w:r>
        <w:rPr>
          <w:i/>
          <w:iCs/>
        </w:rPr>
        <w:t xml:space="preserve">g</w:t>
      </w:r>
      <w:r>
        <w:t xml:space="preserve">., Condamine et al. 2019a; Condamine et al. 2019b)</w:t>
      </w:r>
      <w:r>
        <w:t xml:space="preserve">. However, recent findings reaffirmed the importance of species-level extinction over speciation in shaping clade diversity trajectories</w:t>
      </w:r>
      <w:r>
        <w:t xml:space="preserve"> </w:t>
      </w:r>
      <w:r>
        <w:t xml:space="preserve">(Quintero et al. 2025)</w:t>
      </w:r>
      <w:r>
        <w:t xml:space="preserve">.</w:t>
      </w:r>
    </w:p>
    <w:p>
      <w:pPr>
        <w:pStyle w:val="BodyText"/>
      </w:pPr>
      <w:r>
        <w:t xml:space="preserve">The extinction rate increase that we evidenced</w:t>
      </w:r>
      <w:r>
        <w:t xml:space="preserve"> </w:t>
      </w:r>
      <w:r>
        <w:rPr>
          <w:i/>
          <w:iCs/>
        </w:rPr>
        <w:t xml:space="preserve">ca</w:t>
      </w:r>
      <w:r>
        <w:t xml:space="preserve">. 6 Ma did not apply uniformly to all species of the clade. Rather, extinction rates were higher for larger-bodied and extratropical taxa (</w:t>
      </w:r>
      <w:hyperlink w:anchor="fig-ExtinctionDrivers">
        <w:r>
          <w:rPr>
            <w:rStyle w:val="Hyperlink"/>
          </w:rPr>
          <w:t xml:space="preserve">Figure 6</w:t>
        </w:r>
      </w:hyperlink>
      <w:r>
        <w:t xml:space="preserve"> </w:t>
      </w:r>
      <w:r>
        <w:t xml:space="preserve">A–B; Figure S14 B, S26). The size selectivity of extinction over chinchilloid evolution explains the 32 kg-decline in median body size quantified from the Late Miocene to the present (</w:t>
      </w:r>
      <w:hyperlink w:anchor="fig-diversityBM">
        <w:r>
          <w:rPr>
            <w:rStyle w:val="Hyperlink"/>
          </w:rPr>
          <w:t xml:space="preserve">Figure 3</w:t>
        </w:r>
      </w:hyperlink>
      <w:r>
        <w:t xml:space="preserve"> </w:t>
      </w:r>
      <w:r>
        <w:t xml:space="preserve">C). Extinction has traditionally been viewed as a limitation to morphological innovation</w:t>
      </w:r>
      <w:r>
        <w:t xml:space="preserve"> </w:t>
      </w:r>
      <w:r>
        <w:t xml:space="preserve">(</w:t>
      </w:r>
      <w:r>
        <w:rPr>
          <w:i/>
          <w:iCs/>
        </w:rPr>
        <w:t xml:space="preserve">e</w:t>
      </w:r>
      <w:r>
        <w:t xml:space="preserve">.</w:t>
      </w:r>
      <w:r>
        <w:rPr>
          <w:i/>
          <w:iCs/>
        </w:rPr>
        <w:t xml:space="preserve">g</w:t>
      </w:r>
      <w:r>
        <w:t xml:space="preserve">., Foote 1993)</w:t>
      </w:r>
      <w:r>
        <w:t xml:space="preserve">, though recent findings suggested that it can also act as a creative engine depending on the zones of the morphospace where it operates</w:t>
      </w:r>
      <w:r>
        <w:t xml:space="preserve"> </w:t>
      </w:r>
      <w:r>
        <w:t xml:space="preserve">(Balseiro et al. 2025; Esteve 2025)</w:t>
      </w:r>
      <w:r>
        <w:t xml:space="preserve">. In the case of Chinchilloidea, our results suggest that extinction eroded large-sized regions of the body mass distribution, in turn echoing the long-recognised tendency for large taxa to have higher extinction rates</w:t>
      </w:r>
      <w:r>
        <w:t xml:space="preserve"> </w:t>
      </w:r>
      <w:r>
        <w:t xml:space="preserve">(Raup 1986; Liow et al. 2008)</w:t>
      </w:r>
      <w:r>
        <w:t xml:space="preserve">. Regarding the latitudinal selectivity of extinction, our findings provided support to the historical</w:t>
      </w:r>
      <w:r>
        <w:t xml:space="preserve"> </w:t>
      </w:r>
      <w:r>
        <w:t xml:space="preserve">‘</w:t>
      </w:r>
      <w:r>
        <w:t xml:space="preserve">Tropical stability</w:t>
      </w:r>
      <w:r>
        <w:t xml:space="preserve">’</w:t>
      </w:r>
      <w:r>
        <w:t xml:space="preserve"> </w:t>
      </w:r>
      <w:r>
        <w:t xml:space="preserve">hypothesis, postulating that the environmental stability offered by tropical regions would buffer tropical taxa against extinction</w:t>
      </w:r>
      <w:r>
        <w:t xml:space="preserve"> </w:t>
      </w:r>
      <w:r>
        <w:t xml:space="preserve">(Wallace 1878)</w:t>
      </w:r>
      <w:r>
        <w:t xml:space="preserve">. Such a hypothesis received substantial support in the recent literature</w:t>
      </w:r>
      <w:r>
        <w:t xml:space="preserve"> </w:t>
      </w:r>
      <w:r>
        <w:t xml:space="preserve">(</w:t>
      </w:r>
      <w:r>
        <w:rPr>
          <w:i/>
          <w:iCs/>
        </w:rPr>
        <w:t xml:space="preserve">e</w:t>
      </w:r>
      <w:r>
        <w:t xml:space="preserve">.</w:t>
      </w:r>
      <w:r>
        <w:rPr>
          <w:i/>
          <w:iCs/>
        </w:rPr>
        <w:t xml:space="preserve">g</w:t>
      </w:r>
      <w:r>
        <w:t xml:space="preserve">., Meseguer and Condamine 2020; Quintero et al. 2023; Buffan et al. 2025)</w:t>
      </w:r>
      <w:r>
        <w:t xml:space="preserve">. Importantly, our findings also stress the absence of latitudinal decoupling of the factors affecting the dynamics of chinchilloid diversification (Figure S24 and S26), contrary to what has long been postulated</w:t>
      </w:r>
      <w:r>
        <w:t xml:space="preserve"> </w:t>
      </w:r>
      <w:r>
        <w:t xml:space="preserve">(</w:t>
      </w:r>
      <w:r>
        <w:rPr>
          <w:i/>
          <w:iCs/>
        </w:rPr>
        <w:t xml:space="preserve">e</w:t>
      </w:r>
      <w:r>
        <w:t xml:space="preserve">.</w:t>
      </w:r>
      <w:r>
        <w:rPr>
          <w:i/>
          <w:iCs/>
        </w:rPr>
        <w:t xml:space="preserve">g</w:t>
      </w:r>
      <w:r>
        <w:t xml:space="preserve">., Carrillo et al. 2026)</w:t>
      </w:r>
      <w:r>
        <w:t xml:space="preserve">.</w:t>
      </w:r>
    </w:p>
    <w:p>
      <w:pPr>
        <w:pStyle w:val="BodyText"/>
      </w:pPr>
      <w:r>
        <w:t xml:space="preserve">The pace of the Andean uplift was always identified as the best predictor of extinction rate variations across chinchilloid lineages, with higher elevations associated to higher extinction rates (</w:t>
      </w:r>
      <w:hyperlink w:anchor="fig-ExtinctionDrivers">
        <w:r>
          <w:rPr>
            <w:rStyle w:val="Hyperlink"/>
          </w:rPr>
          <w:t xml:space="preserve">Figure 6</w:t>
        </w:r>
      </w:hyperlink>
      <w:r>
        <w:t xml:space="preserve"> </w:t>
      </w:r>
      <w:r>
        <w:t xml:space="preserve">C; Figure S24–S25; Table S6). The uplift of the Andes, by generating new niches and re-distributing climatic advections at the continent scale, had major repercussions on South American palaeoenvironments</w:t>
      </w:r>
      <w:r>
        <w:t xml:space="preserve"> </w:t>
      </w:r>
      <w:r>
        <w:t xml:space="preserve">(Hoorn et al. 2010)</w:t>
      </w:r>
      <w:r>
        <w:t xml:space="preserve"> </w:t>
      </w:r>
      <w:r>
        <w:t xml:space="preserve">and was frequently illustrated as a major driver behind the diversification of a wide range of South American groups</w:t>
      </w:r>
      <w:r>
        <w:t xml:space="preserve"> </w:t>
      </w:r>
      <w:r>
        <w:t xml:space="preserve">(</w:t>
      </w:r>
      <w:r>
        <w:rPr>
          <w:i/>
          <w:iCs/>
        </w:rPr>
        <w:t xml:space="preserve">e</w:t>
      </w:r>
      <w:r>
        <w:t xml:space="preserve">.</w:t>
      </w:r>
      <w:r>
        <w:rPr>
          <w:i/>
          <w:iCs/>
        </w:rPr>
        <w:t xml:space="preserve">g</w:t>
      </w:r>
      <w:r>
        <w:t xml:space="preserve">., Boschman and Condamine 2022; Hoorn et al. 2023; Vallejos-Garrido et al. 2023)</w:t>
      </w:r>
      <w:r>
        <w:t xml:space="preserve">. The common paradigm considers the Andean uplift as a positive driver behind diversification, explaining the exceptional diversity of regions such as Western Amazonia, offering an altitudinal gradient</w:t>
      </w:r>
      <w:r>
        <w:t xml:space="preserve"> </w:t>
      </w:r>
      <w:r>
        <w:t xml:space="preserve">(Antonelli et al. 2018)</w:t>
      </w:r>
      <w:r>
        <w:t xml:space="preserve">. However, quantitative analyses of the fossil record of several clades evidenced that the Andean uplift may also promote extinction</w:t>
      </w:r>
      <w:r>
        <w:t xml:space="preserve"> </w:t>
      </w:r>
      <w:r>
        <w:t xml:space="preserve">(</w:t>
      </w:r>
      <w:r>
        <w:rPr>
          <w:i/>
          <w:iCs/>
        </w:rPr>
        <w:t xml:space="preserve">e</w:t>
      </w:r>
      <w:r>
        <w:t xml:space="preserve">.</w:t>
      </w:r>
      <w:r>
        <w:rPr>
          <w:i/>
          <w:iCs/>
        </w:rPr>
        <w:t xml:space="preserve">g</w:t>
      </w:r>
      <w:r>
        <w:t xml:space="preserve">., Solórzano et al. 2024; Buffan et al. 2025)</w:t>
      </w:r>
      <w:r>
        <w:t xml:space="preserve">, which is what our results suggest for the Chinchilloidea.</w:t>
      </w:r>
    </w:p>
    <w:p>
      <w:pPr>
        <w:pStyle w:val="BodyText"/>
      </w:pPr>
      <w:r>
        <w:t xml:space="preserve">Given the positive association between the temporal trends of chinchilloid extinction rate and eustatic variations that we retrieved in our MBD analyses (</w:t>
      </w:r>
      <w:hyperlink w:anchor="fig-ExtinctionDrivers">
        <w:r>
          <w:rPr>
            <w:rStyle w:val="Hyperlink"/>
          </w:rPr>
          <w:t xml:space="preserve">Figure 6</w:t>
        </w:r>
      </w:hyperlink>
      <w:r>
        <w:t xml:space="preserve"> </w:t>
      </w:r>
      <w:r>
        <w:t xml:space="preserve">D), the effect of the Andes on the extinction rate variations across lineages can be interpreted under the lens of continent-wise hydrographic pattern remodelling – it should nevertheless be mentioned that sea level was among the least important predictors for extinction rate variations across lineages in our BDNN analyses (Table S6). Several palaeontological studies indeed evidenced that many Late Miocene chinchilloids – and particularly large forms – were likely semi-aquatic, suggesting their macroevolutionary dynamics to be tightly related to the hydrographic history of South America</w:t>
      </w:r>
      <w:r>
        <w:t xml:space="preserve"> </w:t>
      </w:r>
      <w:r>
        <w:t xml:space="preserve">(</w:t>
      </w:r>
      <w:r>
        <w:rPr>
          <w:i/>
          <w:iCs/>
        </w:rPr>
        <w:t xml:space="preserve">see</w:t>
      </w:r>
      <w:r>
        <w:t xml:space="preserve"> </w:t>
      </w:r>
      <w:r>
        <w:t xml:space="preserve">Carrillo et al. 2026</w:t>
      </w:r>
      <w:r>
        <w:t xml:space="preserve"> </w:t>
      </w:r>
      <w:r>
        <w:rPr>
          <w:i/>
          <w:iCs/>
        </w:rPr>
        <w:t xml:space="preserve">and literature therein</w:t>
      </w:r>
      <w:r>
        <w:t xml:space="preserve">)</w:t>
      </w:r>
      <w:r>
        <w:t xml:space="preserve">. During most of the Miocene, what is now western Amazonia was flooded by a vast wetland known as the Pebas System, recognised to have greatly favoured lineage diversification in tropical South America</w:t>
      </w:r>
      <w:r>
        <w:t xml:space="preserve"> </w:t>
      </w:r>
      <w:r>
        <w:t xml:space="preserve">(Antoine et al. 2017; Hoorn et al. 2022)</w:t>
      </w:r>
      <w:r>
        <w:t xml:space="preserve">. Similarly, a marine introgression known as the</w:t>
      </w:r>
      <w:r>
        <w:t xml:space="preserve"> </w:t>
      </w:r>
      <w:r>
        <w:t xml:space="preserve">‘</w:t>
      </w:r>
      <w:r>
        <w:t xml:space="preserve">Paranense sea</w:t>
      </w:r>
      <w:r>
        <w:t xml:space="preserve">’</w:t>
      </w:r>
      <w:r>
        <w:t xml:space="preserve"> </w:t>
      </w:r>
      <w:r>
        <w:t xml:space="preserve">flooded a vast portion of southern South America during the Middle–Late Miocene</w:t>
      </w:r>
      <w:r>
        <w:t xml:space="preserve"> </w:t>
      </w:r>
      <w:r>
        <w:t xml:space="preserve">(Hernández et al. 2005)</w:t>
      </w:r>
      <w:r>
        <w:t xml:space="preserve">. The environmental heterogeneity that emerged following the final regressive stages of the Paranense sea, during the Late Miocene, has been proposed to have favoured dinomyid diversification in the Mesopotamian region (northeastern Argentina)</w:t>
      </w:r>
      <w:r>
        <w:t xml:space="preserve"> </w:t>
      </w:r>
      <w:r>
        <w:t xml:space="preserve">(Candela et al. 2013; Nasif et al. 2013)</w:t>
      </w:r>
      <w:r>
        <w:t xml:space="preserve">. Our results fail to quantitatively support a positive imprint of these hydrographic changes in the diversification of Chinchilloidea. That being said, the Late Miocene demise of the Pebas System, a by-product of tectonic (Andean) and eustatic factors</w:t>
      </w:r>
      <w:r>
        <w:t xml:space="preserve"> </w:t>
      </w:r>
      <w:r>
        <w:t xml:space="preserve">(Hoorn et al. 2022)</w:t>
      </w:r>
      <w:r>
        <w:t xml:space="preserve">, massively impacted low-latitude ecosystems from South America</w:t>
      </w:r>
      <w:r>
        <w:t xml:space="preserve"> </w:t>
      </w:r>
      <w:r>
        <w:t xml:space="preserve">(</w:t>
      </w:r>
      <w:r>
        <w:rPr>
          <w:i/>
          <w:iCs/>
        </w:rPr>
        <w:t xml:space="preserve">e</w:t>
      </w:r>
      <w:r>
        <w:t xml:space="preserve">.</w:t>
      </w:r>
      <w:r>
        <w:rPr>
          <w:i/>
          <w:iCs/>
        </w:rPr>
        <w:t xml:space="preserve">g</w:t>
      </w:r>
      <w:r>
        <w:t xml:space="preserve">., Salas-Gismondi et al. 2015; Jaramillo et al. 2017)</w:t>
      </w:r>
      <w:r>
        <w:t xml:space="preserve">. Our findings that the Andean elevation, together with sea-level changes, synergetically shaped the decline of Chinchilloidea may therefore be interpreted as a result from the Late Miocene disappearance of the unique South American wet ecosystems</w:t>
      </w:r>
      <w:r>
        <w:t xml:space="preserve"> </w:t>
      </w:r>
      <w:r>
        <w:t xml:space="preserve">(Hernández et al. 2005)</w:t>
      </w:r>
      <w:r>
        <w:t xml:space="preserve">.</w:t>
      </w:r>
    </w:p>
    <w:p>
      <w:pPr>
        <w:pStyle w:val="BodyText"/>
      </w:pPr>
      <w:r>
        <w:t xml:space="preserve">The ecologically-selective demise of chinchilloids somewhat mirrors that of sloths (Xenarthra: Folivora), that also experienced a massive decline in both species diversity and body mass disparity over their evolutionary history</w:t>
      </w:r>
      <w:r>
        <w:t xml:space="preserve"> </w:t>
      </w:r>
      <w:r>
        <w:t xml:space="preserve">(Boscaini et al. 2025)</w:t>
      </w:r>
      <w:r>
        <w:t xml:space="preserve">. This decline was characterised by the extinction of all species with terrestrial or semi-arboreal (and aquatic,</w:t>
      </w:r>
      <w:r>
        <w:t xml:space="preserve"> </w:t>
      </w:r>
      <w:r>
        <w:rPr>
          <w:i/>
          <w:iCs/>
        </w:rPr>
        <w:t xml:space="preserve">e</w:t>
      </w:r>
      <w:r>
        <w:t xml:space="preserve">.</w:t>
      </w:r>
      <w:r>
        <w:rPr>
          <w:i/>
          <w:iCs/>
        </w:rPr>
        <w:t xml:space="preserve">g</w:t>
      </w:r>
      <w:r>
        <w:t xml:space="preserve">.,</w:t>
      </w:r>
      <w:r>
        <w:t xml:space="preserve"> </w:t>
      </w:r>
      <w:r>
        <w:t xml:space="preserve">Valenzuela-Toro et al. (2025)</w:t>
      </w:r>
      <w:r>
        <w:t xml:space="preserve">) lifestyles. The two distantly-related sloth lineages that persisted until the present are small-sized and share an arboreal lifestyle. In the case of Chinchilloidea, large-sized semi-aquatic taxa all went extinct, and the extant small-to-moderate-sized representatives of the group are either found in the Andean Cordillera (six species) or in the plains of Western Amazonia and Argentina (two species).</w:t>
      </w:r>
    </w:p>
    <w:p>
      <w:pPr>
        <w:pStyle w:val="BodyText"/>
      </w:pPr>
      <w:r>
        <w:t xml:space="preserve">We also evidenced heterogeneous extinction rates across hypsodonty classes, with euhypsodont (high-crowned ever-growing cheek teeth) species having attenuated extinction rates (Figure S27). This result aligns with the common paradigm that continuously-growing cheek teeth, offering a sustainable protection against demanding food items (</w:t>
      </w:r>
      <w:r>
        <w:rPr>
          <w:i/>
          <w:iCs/>
        </w:rPr>
        <w:t xml:space="preserve">e</w:t>
      </w:r>
      <w:r>
        <w:t xml:space="preserve">.</w:t>
      </w:r>
      <w:r>
        <w:rPr>
          <w:i/>
          <w:iCs/>
        </w:rPr>
        <w:t xml:space="preserve">g</w:t>
      </w:r>
      <w:r>
        <w:t xml:space="preserve">., abrasive elements), provide more dietary flexibility to taxa that acquired this innovation</w:t>
      </w:r>
      <w:r>
        <w:t xml:space="preserve"> </w:t>
      </w:r>
      <w:r>
        <w:t xml:space="preserve">(Candela et al. 2013)</w:t>
      </w:r>
      <w:r>
        <w:t xml:space="preserve">. High-crowned cheek teeth emerged early in the evolution of Chinchilloidea. Basal species of the early Oligocene genera</w:t>
      </w:r>
      <w:r>
        <w:t xml:space="preserve"> </w:t>
      </w:r>
      <m:oMath>
        <m:r>
          <m:rPr>
            <m:sty m:val="p"/>
          </m:rPr>
          <m:t>†</m:t>
        </m:r>
      </m:oMath>
      <w:r>
        <w:rPr>
          <w:i/>
          <w:iCs/>
        </w:rPr>
        <w:t xml:space="preserve">Eoincamys</w:t>
      </w:r>
      <w:r>
        <w:t xml:space="preserve"> </w:t>
      </w:r>
      <w:r>
        <w:t xml:space="preserve">and</w:t>
      </w:r>
      <w:r>
        <w:t xml:space="preserve"> </w:t>
      </w:r>
      <m:oMath>
        <m:r>
          <m:rPr>
            <m:sty m:val="p"/>
          </m:rPr>
          <m:t>†</m:t>
        </m:r>
      </m:oMath>
      <w:r>
        <w:rPr>
          <w:i/>
          <w:iCs/>
        </w:rPr>
        <w:t xml:space="preserve">Eoviscaccia</w:t>
      </w:r>
      <w:r>
        <w:t xml:space="preserve"> </w:t>
      </w:r>
      <w:r>
        <w:t xml:space="preserve">were already classified as protohypsodont, meanwhile euhypsodont cheek teeth emerged in the late Oligocene (Deseadan SALMA) and became conspicuous in the Early Miocene (Figure S7). On the contrary, few chinchilloid taxa have been described with low-crowned cheek teeth (</w:t>
      </w:r>
      <w:r>
        <w:rPr>
          <w:i/>
          <w:iCs/>
        </w:rPr>
        <w:t xml:space="preserve">i</w:t>
      </w:r>
      <w:r>
        <w:t xml:space="preserve">.</w:t>
      </w:r>
      <w:r>
        <w:rPr>
          <w:i/>
          <w:iCs/>
        </w:rPr>
        <w:t xml:space="preserve">e</w:t>
      </w:r>
      <w:r>
        <w:t xml:space="preserve">., brachydont and mesodont, Figure S7). In South America, high-crowned cheek teeth have been acquired several times independently among various lineages of native ungulates</w:t>
      </w:r>
      <w:r>
        <w:t xml:space="preserve"> </w:t>
      </w:r>
      <w:r>
        <w:t xml:space="preserve">(Croft et al. 2020)</w:t>
      </w:r>
      <w:r>
        <w:t xml:space="preserve"> </w:t>
      </w:r>
      <w:r>
        <w:t xml:space="preserve">and caviomorph rodents</w:t>
      </w:r>
      <w:r>
        <w:t xml:space="preserve"> </w:t>
      </w:r>
      <w:r>
        <w:t xml:space="preserve">(Vucetich et al. 2015)</w:t>
      </w:r>
      <w:r>
        <w:t xml:space="preserve">. Growing evidence increasingly suggests that, instead of being related to grass consumption – as it has been historically proposed</w:t>
      </w:r>
      <w:r>
        <w:t xml:space="preserve"> </w:t>
      </w:r>
      <w:r>
        <w:t xml:space="preserve">(</w:t>
      </w:r>
      <w:r>
        <w:rPr>
          <w:i/>
          <w:iCs/>
        </w:rPr>
        <w:t xml:space="preserve">e</w:t>
      </w:r>
      <w:r>
        <w:t xml:space="preserve">.</w:t>
      </w:r>
      <w:r>
        <w:rPr>
          <w:i/>
          <w:iCs/>
        </w:rPr>
        <w:t xml:space="preserve">g</w:t>
      </w:r>
      <w:r>
        <w:t xml:space="preserve">., Stebbins 1981; MacFadden 2000)</w:t>
      </w:r>
      <w:r>
        <w:t xml:space="preserve"> </w:t>
      </w:r>
      <w:r>
        <w:t xml:space="preserve">– hypsodonty (at least in South American mammals) might be promoted by external sources of abrasive materials in the diet, such as grit or volcanic dust</w:t>
      </w:r>
      <w:r>
        <w:t xml:space="preserve"> </w:t>
      </w:r>
      <w:r>
        <w:t xml:space="preserve">(</w:t>
      </w:r>
      <w:r>
        <w:rPr>
          <w:i/>
          <w:iCs/>
        </w:rPr>
        <w:t xml:space="preserve">e</w:t>
      </w:r>
      <w:r>
        <w:t xml:space="preserve">.</w:t>
      </w:r>
      <w:r>
        <w:rPr>
          <w:i/>
          <w:iCs/>
        </w:rPr>
        <w:t xml:space="preserve">g</w:t>
      </w:r>
      <w:r>
        <w:t xml:space="preserve">., Billet et al. 2009; Jardine et al. 2012; Selkin et al. 2015; Armella and Croft 2026)</w:t>
      </w:r>
      <w:r>
        <w:t xml:space="preserve">. Our findings do not permit to conclude on the drivers that underlay the notable success of euhypsodont chinchilloids. However, by making euhypsodont taxa less prone to extinction, they add another piece of evidence suggesting that this morpho-functional innovation had an adaptive value at macroevolutionary scales for this clade of rodents.</w:t>
      </w:r>
    </w:p>
    <w:p>
      <w:pPr>
        <w:pStyle w:val="BodyText"/>
      </w:pPr>
      <w:r>
        <w:t xml:space="preserve">Last, our analyses failed to provide support for an effect of diversity dependence and temperature change on the diversification dynamics of Chinchilloidea, both across time (</w:t>
      </w:r>
      <w:hyperlink w:anchor="fig-ExtinctionDrivers">
        <w:r>
          <w:rPr>
            <w:rStyle w:val="Hyperlink"/>
          </w:rPr>
          <w:t xml:space="preserve">Figure 6</w:t>
        </w:r>
      </w:hyperlink>
      <w:r>
        <w:t xml:space="preserve"> </w:t>
      </w:r>
      <w:r>
        <w:t xml:space="preserve">D) and lineages (Table S6). Yet, several studies proposed that climate cooling and aridification from the Late Miocene onwards affected diversification dynamics and evolution of large sizes in the Caviomorpha</w:t>
      </w:r>
      <w:r>
        <w:t xml:space="preserve"> </w:t>
      </w:r>
      <w:r>
        <w:t xml:space="preserve">(</w:t>
      </w:r>
      <w:r>
        <w:rPr>
          <w:i/>
          <w:iCs/>
        </w:rPr>
        <w:t xml:space="preserve">e</w:t>
      </w:r>
      <w:r>
        <w:t xml:space="preserve">.</w:t>
      </w:r>
      <w:r>
        <w:rPr>
          <w:i/>
          <w:iCs/>
        </w:rPr>
        <w:t xml:space="preserve">g</w:t>
      </w:r>
      <w:r>
        <w:t xml:space="preserve">., Vucetich et al. 2015; Álvarez et al. 2017)</w:t>
      </w:r>
      <w:r>
        <w:t xml:space="preserve">. On the other hand, despite the wide recognition of the importance of (self-)diversity-dependent effects in the macroevolutionary fate of the clades</w:t>
      </w:r>
      <w:r>
        <w:t xml:space="preserve"> </w:t>
      </w:r>
      <w:r>
        <w:t xml:space="preserve">(</w:t>
      </w:r>
      <w:r>
        <w:rPr>
          <w:i/>
          <w:iCs/>
        </w:rPr>
        <w:t xml:space="preserve">e</w:t>
      </w:r>
      <w:r>
        <w:t xml:space="preserve">.</w:t>
      </w:r>
      <w:r>
        <w:rPr>
          <w:i/>
          <w:iCs/>
        </w:rPr>
        <w:t xml:space="preserve">g</w:t>
      </w:r>
      <w:r>
        <w:t xml:space="preserve">., Etienne et al. 2011; Condamine et al. 2019a)</w:t>
      </w:r>
      <w:r>
        <w:t xml:space="preserve">, recent advances in macroevolutionary modelling have challenged the importance of diversity dependence as a primary driver of diversification rates</w:t>
      </w:r>
      <w:r>
        <w:t xml:space="preserve"> </w:t>
      </w:r>
      <w:r>
        <w:t xml:space="preserve">(Quintero et al. 2025)</w:t>
      </w:r>
      <w:r>
        <w:t xml:space="preserve">.</w:t>
      </w:r>
    </w:p>
    <w:bookmarkEnd w:id="41"/>
    <w:bookmarkStart w:id="46" w:name="limitations-and-perspectives"/>
    <w:p>
      <w:pPr>
        <w:pStyle w:val="Heading2"/>
      </w:pPr>
      <w:r>
        <w:t xml:space="preserve">Limitations and perspectives</w:t>
      </w:r>
    </w:p>
    <w:p>
      <w:pPr>
        <w:pStyle w:val="FirstParagraph"/>
      </w:pPr>
      <w:r>
        <w:t xml:space="preserve">Over this work, we proposed a conceptual improvement of the pipeline for putting together data from the fossil record and dated molecular phylogenies of extant taxa for diversification inference introduced by</w:t>
      </w:r>
      <w:r>
        <w:t xml:space="preserve"> </w:t>
      </w:r>
      <w:r>
        <w:t xml:space="preserve">Brée et al. (2022)</w:t>
      </w:r>
      <w:r>
        <w:t xml:space="preserve">. This pipeline was initially designed for clades for which a large proportion of the extant diversity is missing from the fossil record, and paved insightful avenues to overcome long-formulated concerns around estimating extinction rates from extant timetrees</w:t>
      </w:r>
      <w:r>
        <w:t xml:space="preserve"> </w:t>
      </w:r>
      <w:r>
        <w:t xml:space="preserve">(</w:t>
      </w:r>
      <w:r>
        <w:rPr>
          <w:i/>
          <w:iCs/>
        </w:rPr>
        <w:t xml:space="preserve">e</w:t>
      </w:r>
      <w:r>
        <w:t xml:space="preserve">.</w:t>
      </w:r>
      <w:r>
        <w:rPr>
          <w:i/>
          <w:iCs/>
        </w:rPr>
        <w:t xml:space="preserve">g</w:t>
      </w:r>
      <w:r>
        <w:t xml:space="preserve">., Rabosky 2010)</w:t>
      </w:r>
      <w:r>
        <w:t xml:space="preserve"> </w:t>
      </w:r>
      <w:r>
        <w:t xml:space="preserve">meanwhile taking advantage of the invaluable information encapsulated in the fossil record. Our improvement relied on the fact that we no longer considered divergence times leading to extant species directly as species’ ages of origination (</w:t>
      </w:r>
      <m:oMath>
        <m:sSub>
          <m:e>
            <m:r>
              <m:t>T</m:t>
            </m:r>
          </m:e>
          <m:sub>
            <m:r>
              <m:t>s</m:t>
            </m:r>
          </m:sub>
        </m:sSub>
      </m:oMath>
      <w:r>
        <w:t xml:space="preserve">), as done by</w:t>
      </w:r>
      <w:r>
        <w:t xml:space="preserve"> </w:t>
      </w:r>
      <w:r>
        <w:t xml:space="preserve">Brée et al. (2022)</w:t>
      </w:r>
      <w:r>
        <w:t xml:space="preserve">, but rather as upper bounds for</w:t>
      </w:r>
      <w:r>
        <w:t xml:space="preserve"> </w:t>
      </w:r>
      <m:oMath>
        <m:sSub>
          <m:e>
            <m:r>
              <m:t>T</m:t>
            </m:r>
          </m:e>
          <m:sub>
            <m:r>
              <m:t>s</m:t>
            </m:r>
          </m:sub>
        </m:sSub>
      </m:oMath>
      <w:r>
        <w:t xml:space="preserve">. This approach can unfortunately not be validated with simulations and has some part of arbitrary. Nevertheless, since node ages of phylogenies are expected to be older than actual species divergence ages</w:t>
      </w:r>
      <w:r>
        <w:t xml:space="preserve"> </w:t>
      </w:r>
      <w:r>
        <w:t xml:space="preserve">(Arbogast et al. 2002)</w:t>
      </w:r>
      <w:r>
        <w:t xml:space="preserve">, we argue that, at least conceptually, our approach makes some sense. Our analyses evidenced that reconstructions of chinchilloid diversification dynamics were highly impacted by the extant sampling scheme (Figure S2). In particular, incorporating extant taxa using our new sampling scheme totally eroded any temporal shift in speciation rate, and significantly reduced the magnitude of the Late Miocene shift in extinction rate (Figure S2). This must be due to the fact that the number of species concerned by this incorporation procedure (7) was actually very close to the number of fossil taxa recorded in the last 5 million years, and thus, that any change in occurrence age would have significant repercussions on the estimations of diversification rates over this time frame. We therefore encourage to take advantage of different sources of data to reconstruct macroevolutionary patterns and to perform sensitivity analyses to evaluate the robustness of the reconstructions to the input data and methodologies.</w:t>
      </w:r>
    </w:p>
    <w:p>
      <w:pPr>
        <w:pStyle w:val="BodyText"/>
      </w:pPr>
      <w:r>
        <w:t xml:space="preserve">Our analyses evidenced the sensitivity of occurrence-based diversification inference to the input data. As expected, incorporating the taxonomic revisions of</w:t>
      </w:r>
      <w:r>
        <w:t xml:space="preserve"> </w:t>
      </w:r>
      <w:r>
        <w:t xml:space="preserve">Rasia (2026)</w:t>
      </w:r>
      <w:r>
        <w:t xml:space="preserve"> </w:t>
      </w:r>
      <w:r>
        <w:t xml:space="preserve">on the hyperdiverse dinomyid fauna from the Late Miocene (Ituzaingó Fm.) of Mesopotamia (Argentina), formerely encompassing many synonymies, significantly altered the magnitude of the late Miocene change in extinction regime (Figure S12). Recently, worries have been expressed about the importance of conducting thorough taxonomic revisions before carrying out occurrence-based analyses of clade diversification relying on online databases</w:t>
      </w:r>
      <w:r>
        <w:t xml:space="preserve"> </w:t>
      </w:r>
      <w:r>
        <w:t xml:space="preserve">(Guinot et al. 2026)</w:t>
      </w:r>
      <w:r>
        <w:t xml:space="preserve">. Despite the invaluable character of such databases</w:t>
      </w:r>
      <w:r>
        <w:rPr>
          <w:rStyle w:val="FootnoteReference"/>
        </w:rPr>
        <w:footnoteReference w:id="42"/>
      </w:r>
      <w:r>
        <w:t xml:space="preserve"> </w:t>
      </w:r>
      <w:r>
        <w:t xml:space="preserve">for the whole field of quantitative palaeobiology, the occurrences that they contain are prone to several types of errors (</w:t>
      </w:r>
      <w:r>
        <w:rPr>
          <w:i/>
          <w:iCs/>
        </w:rPr>
        <w:t xml:space="preserve">e</w:t>
      </w:r>
      <w:r>
        <w:t xml:space="preserve">.</w:t>
      </w:r>
      <w:r>
        <w:rPr>
          <w:i/>
          <w:iCs/>
        </w:rPr>
        <w:t xml:space="preserve">g</w:t>
      </w:r>
      <w:r>
        <w:t xml:space="preserve">., incorrect or non-updated age assignment, taxonomic issues). Our study primarily relies on data from The Paleobiology Database, subsequently carefully reviewed by taxonomic experts and updated if necessary (see</w:t>
      </w:r>
      <w:r>
        <w:t xml:space="preserve"> </w:t>
      </w:r>
      <w:r>
        <w:rPr>
          <w:i/>
          <w:iCs/>
        </w:rPr>
        <w:t xml:space="preserve">Methods</w:t>
      </w:r>
      <w:r>
        <w:t xml:space="preserve">,</w:t>
      </w:r>
      <w:r>
        <w:t xml:space="preserve"> </w:t>
      </w:r>
      <w:r>
        <w:rPr>
          <w:i/>
          <w:iCs/>
        </w:rPr>
        <w:t xml:space="preserve">Supplementary text</w:t>
      </w:r>
      <w:r>
        <w:t xml:space="preserve"> </w:t>
      </w:r>
      <w:r>
        <w:t xml:space="preserve">and</w:t>
      </w:r>
      <w:r>
        <w:t xml:space="preserve"> </w:t>
      </w:r>
      <w:r>
        <w:rPr>
          <w:i/>
          <w:iCs/>
        </w:rPr>
        <w:t xml:space="preserve">Supplementary Data</w:t>
      </w:r>
      <w:r>
        <w:t xml:space="preserve">). A recent work conducted similar reconstructions of the temporal trends in chinchilloid diversity from fossil occurrence data, but their taxonomic sampling was less exhaustive than ours (330 occurrences for 97 species, whereas our fossil occurrence database prior incorporation of extant taxa lacking fossil evidence comprised 466 occurrences for 118 species, see</w:t>
      </w:r>
      <w:r>
        <w:t xml:space="preserve"> </w:t>
      </w:r>
      <w:r>
        <w:rPr>
          <w:i/>
          <w:iCs/>
        </w:rPr>
        <w:t xml:space="preserve">Supplementary Data</w:t>
      </w:r>
      <w:r>
        <w:t xml:space="preserve">)</w:t>
      </w:r>
      <w:r>
        <w:t xml:space="preserve"> </w:t>
      </w:r>
      <w:r>
        <w:t xml:space="preserve">(Carrillo et al. 2026)</w:t>
      </w:r>
      <w:r>
        <w:t xml:space="preserve">. Marked differences in the persistence of some species in the fossil record may be noticed between the two datasets (Figure S22), overall summarised in that species tend to persist longer in their database (due to the fact that they preferentially binned occurrences in their corresponding geological stages whereas we intended to use more refined published ages of the corresponding localities when available), though this trend is not statistically significant (Figure S21). In addition, we spotted that 12 of their species had taxonomic issues or were assigned to an incorrect bibliographic reference, making them intractable. Despite these contrasts, possibly reflecting the arbitrary character of the cleaning process as well as differences in cleaning intensities, the outcome of our DeepDive diversity-through-time analyses (</w:t>
      </w:r>
      <w:hyperlink w:anchor="fig-diversityBM">
        <w:r>
          <w:rPr>
            <w:rStyle w:val="Hyperlink"/>
          </w:rPr>
          <w:t xml:space="preserve">Figure 3</w:t>
        </w:r>
      </w:hyperlink>
      <w:r>
        <w:t xml:space="preserve"> </w:t>
      </w:r>
      <w:r>
        <w:t xml:space="preserve">B) does not substantially differ from their reconstruction, both in trends and amplitude. The only noticeable difference is that they estimate larger species diversities in the Oligocene–Early Miocene compared to us. That being said, in light of all these elements and in the continuity of</w:t>
      </w:r>
      <w:r>
        <w:t xml:space="preserve"> </w:t>
      </w:r>
      <w:r>
        <w:t xml:space="preserve">Guinot et al. (2026)</w:t>
      </w:r>
      <w:r>
        <w:t xml:space="preserve">, we recall the importance of the initial data – at the foundation of any empirical study, beyond fancy methodological frameworks – when carrying out macroevolutionary inferences.</w:t>
      </w:r>
    </w:p>
    <w:p>
      <w:pPr>
        <w:pStyle w:val="BodyText"/>
      </w:pPr>
      <w:r>
        <w:t xml:space="preserve">A broadly-recognised limitation of the PyRate framework is that it unrealistically assumes complete lineage sampling in its reconstructions of macroevolutionary processes</w:t>
      </w:r>
      <w:r>
        <w:t xml:space="preserve"> </w:t>
      </w:r>
      <w:r>
        <w:t xml:space="preserve">(Silvestro et al. 2014)</w:t>
      </w:r>
      <w:r>
        <w:t xml:space="preserve">. We intended to overcome this limitation by reconstructing complete diversity through time using the simulation-based framework implemented in DeepDive</w:t>
      </w:r>
      <w:r>
        <w:t xml:space="preserve"> </w:t>
      </w:r>
      <w:r>
        <w:t xml:space="preserve">(Cooper et al. 2024)</w:t>
      </w:r>
      <w:r>
        <w:t xml:space="preserve">, leading to no major difference in the trends of diversity through time that we reconstructed for the Chinchilloidea (</w:t>
      </w:r>
      <w:hyperlink w:anchor="fig-diversityBM">
        <w:r>
          <w:rPr>
            <w:rStyle w:val="Hyperlink"/>
          </w:rPr>
          <w:t xml:space="preserve">Figure 3</w:t>
        </w:r>
      </w:hyperlink>
      <w:r>
        <w:t xml:space="preserve">). An additional avenue that could be explored could involve the use of a probabilistic framework incorporating a sampling parameter to test the impact of the assumption of complete sampling on diversification rate estimations</w:t>
      </w:r>
      <w:r>
        <w:t xml:space="preserve"> </w:t>
      </w:r>
      <w:r>
        <w:t xml:space="preserve">(</w:t>
      </w:r>
      <w:r>
        <w:rPr>
          <w:i/>
          <w:iCs/>
        </w:rPr>
        <w:t xml:space="preserve">e</w:t>
      </w:r>
      <w:r>
        <w:t xml:space="preserve">.</w:t>
      </w:r>
      <w:r>
        <w:rPr>
          <w:i/>
          <w:iCs/>
        </w:rPr>
        <w:t xml:space="preserve">g</w:t>
      </w:r>
      <w:r>
        <w:t xml:space="preserve">., Warnock et al. 2020)</w:t>
      </w:r>
      <w:r>
        <w:t xml:space="preserve">.</w:t>
      </w:r>
    </w:p>
    <w:p>
      <w:pPr>
        <w:pStyle w:val="BodyText"/>
      </w:pPr>
      <w:r>
        <w:t xml:space="preserve">An additional limitation to this study is the absence of integrative phylogenetic reconstruction for our focal clade. To date, existing phylogenies incorporating extinct members of Chinchilloidea have respectively accounted for 26</w:t>
      </w:r>
      <w:r>
        <w:t xml:space="preserve"> </w:t>
      </w:r>
      <w:r>
        <w:t xml:space="preserve">(Boivin et al. 2019)</w:t>
      </w:r>
      <w:r>
        <w:t xml:space="preserve"> </w:t>
      </w:r>
      <w:r>
        <w:t xml:space="preserve">and 43</w:t>
      </w:r>
      <w:r>
        <w:t xml:space="preserve"> </w:t>
      </w:r>
      <w:r>
        <w:t xml:space="preserve">(Rasia et al. 2021)</w:t>
      </w:r>
      <w:r>
        <w:t xml:space="preserve"> </w:t>
      </w:r>
      <w:r>
        <w:t xml:space="preserve">taxa, thus only a fraction of the 124 species recognised and used over this work. Future directions towards a better understanding of the macroevolutionary dynamics of Chinchilloidea would greatly benefit from the information provided by a phylogeny of increased completeness (</w:t>
      </w:r>
      <w:r>
        <w:rPr>
          <w:i/>
          <w:iCs/>
        </w:rPr>
        <w:t xml:space="preserve">work in progress</w:t>
      </w:r>
      <w:r>
        <w:t xml:space="preserve">). Information regarding phylogenetic relatedness between taxa has proven relevant in occurrence-based analyses of proboscid diversification dynamics using BDNN</w:t>
      </w:r>
      <w:r>
        <w:t xml:space="preserve"> </w:t>
      </w:r>
      <w:r>
        <w:t xml:space="preserve">(Hauffe et al. 2024)</w:t>
      </w:r>
      <w:r>
        <w:t xml:space="preserve">. In our case, it cannot be excluded that the trait-diversification relationships that we uncovered are an artefact of phylogenetic inertia</w:t>
      </w:r>
      <w:r>
        <w:t xml:space="preserve"> </w:t>
      </w:r>
      <w:r>
        <w:t xml:space="preserve">(Felsenstein 1985)</w:t>
      </w:r>
      <w:r>
        <w:t xml:space="preserve">. In addition, phylogeny-based estimates of chinchilloid rate of body size and cranio-dental evolution were already produced by</w:t>
      </w:r>
      <w:r>
        <w:t xml:space="preserve"> </w:t>
      </w:r>
      <w:r>
        <w:t xml:space="preserve">Carrillo et al. (2026)</w:t>
      </w:r>
      <w:r>
        <w:t xml:space="preserve">, but these findings were limited by the low completeness of the phylogeny that they used</w:t>
      </w:r>
      <w:r>
        <w:t xml:space="preserve"> </w:t>
      </w:r>
      <w:r>
        <w:t xml:space="preserve">(Boivin et al. 2019)</w:t>
      </w:r>
      <w:r>
        <w:t xml:space="preserve">. A better-resolved phylogeny would thus be of high value to better elucidate the joint dynamics of chinchilloid diversification and body mass evolution. Moreover, State-dependent Speciation and Extinction models</w:t>
      </w:r>
      <w:r>
        <w:t xml:space="preserve"> </w:t>
      </w:r>
      <w:r>
        <w:t xml:space="preserve">(</w:t>
      </w:r>
      <w:r>
        <w:rPr>
          <w:i/>
          <w:iCs/>
        </w:rPr>
        <w:t xml:space="preserve">reviewed in</w:t>
      </w:r>
      <w:r>
        <w:t xml:space="preserve"> </w:t>
      </w:r>
      <w:r>
        <w:t xml:space="preserve">Morlon et al. 2024)</w:t>
      </w:r>
      <w:r>
        <w:t xml:space="preserve"> </w:t>
      </w:r>
      <w:r>
        <w:t xml:space="preserve">fitted to such a phylogeny could provide an elegant way to validate the extinction selectivity that we raised over this work, with larger extratropical species having greater extinction rates (</w:t>
      </w:r>
      <w:hyperlink w:anchor="fig-ExtinctionDrivers">
        <w:r>
          <w:rPr>
            <w:rStyle w:val="Hyperlink"/>
          </w:rPr>
          <w:t xml:space="preserve">Figure 6</w:t>
        </w:r>
      </w:hyperlink>
      <w:r>
        <w:t xml:space="preserve"> </w:t>
      </w:r>
      <w:r>
        <w:t xml:space="preserve">A–B and Figure S26). Last, recent development in phylogenetic comparative methods may provide precious insights into the likely abiotic</w:t>
      </w:r>
      <w:r>
        <w:t xml:space="preserve"> </w:t>
      </w:r>
      <w:r>
        <w:t xml:space="preserve">(Clavel and Morlon 2017; Troyer et al. 2022)</w:t>
      </w:r>
      <w:r>
        <w:t xml:space="preserve"> </w:t>
      </w:r>
      <w:r>
        <w:t xml:space="preserve">or biotic</w:t>
      </w:r>
      <w:r>
        <w:t xml:space="preserve"> </w:t>
      </w:r>
      <w:r>
        <w:t xml:space="preserve">(Drury et al. 2016)</w:t>
      </w:r>
      <w:r>
        <w:t xml:space="preserve"> </w:t>
      </w:r>
      <w:r>
        <w:t xml:space="preserve">factors that shaped the dynamics of chinchilloid morphological evolution.</w:t>
      </w:r>
    </w:p>
    <w:bookmarkStart w:id="44" w:name="size-increase-pattern"/>
    <w:p>
      <w:pPr>
        <w:pStyle w:val="Heading3"/>
      </w:pPr>
      <w:r>
        <w:t xml:space="preserve">Size-increase pattern</w:t>
      </w:r>
    </w:p>
    <w:p>
      <w:pPr>
        <w:pStyle w:val="FirstParagraph"/>
      </w:pPr>
      <w:r>
        <w:t xml:space="preserve">Body mass evolution = disparity?</w:t>
      </w:r>
    </w:p>
    <w:p>
      <w:pPr>
        <w:pStyle w:val="BodyText"/>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Size-selectivity of extiction still relevant to consider as small species (XS, S) were absent from Late Miocene faunas? On the other hand, we no longer find large-sized chinchilloids at present.</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p>
      <w:pPr>
        <w:pStyle w:val="BodyText"/>
      </w:pPr>
      <w:r>
        <w:t xml:space="preserve">Many questions persists, for instance, related to the drivers of the spectacular and unique increase in body mass among this clade. Whether this unique trajectory stems from intrinsic developmental capability, ecological opportunity or a combination of both remains an open question</w:t>
      </w:r>
      <w:r>
        <w:t xml:space="preserve"> </w:t>
      </w:r>
      <w:r>
        <w:t xml:space="preserve">(Vucetich et al. 2015)</w:t>
      </w:r>
      <w:r>
        <w:t xml:space="preserve">. Generalised size-increase pattern in the Miocene of South America, for instance among sloths</w:t>
      </w:r>
      <w:r>
        <w:t xml:space="preserve"> </w:t>
      </w:r>
      <w:r>
        <w:t xml:space="preserve">(Boscaini et al. 2025)</w:t>
      </w:r>
      <w:r>
        <w:t xml:space="preserve">, native ungulates</w:t>
      </w:r>
      <w:r>
        <w:t xml:space="preserve"> </w:t>
      </w:r>
      <w:r>
        <w:t xml:space="preserve">(Solórzano and Núñez-Flores 2021)</w:t>
      </w:r>
    </w:p>
    <w:p>
      <w:pPr>
        <w:pStyle w:val="BodyText"/>
      </w:pPr>
      <w:r>
        <w:t xml:space="preserve">Our fossil record is biased westwards, likely exacerbating the prominence of the role of the Andes for chinchilloid diversification</w:t>
      </w:r>
    </w:p>
    <w:p>
      <w:pPr>
        <w:pStyle w:val="BodyText"/>
      </w:pPr>
      <w:r>
        <w:t xml:space="preserve">The effect of competition may also be evaluated on diversification.</w:t>
      </w:r>
    </w:p>
    <w:bookmarkEnd w:id="44"/>
    <w:bookmarkStart w:id="45" w:name="additional-perspectives"/>
    <w:p>
      <w:pPr>
        <w:pStyle w:val="Heading3"/>
      </w:pPr>
      <w:r>
        <w:t xml:space="preserve">Additional perspectives</w:t>
      </w:r>
    </w:p>
    <w:p>
      <w:pPr>
        <w:pStyle w:val="FirstParagraph"/>
      </w:pPr>
      <w:r>
        <w:t xml:space="preserve">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bookmarkEnd w:id="45"/>
    <w:bookmarkEnd w:id="46"/>
    <w:bookmarkEnd w:id="47"/>
    <w:bookmarkStart w:id="48" w:name="conclusions"/>
    <w:p>
      <w:pPr>
        <w:pStyle w:val="Heading1"/>
      </w:pPr>
      <w:r>
        <w:t xml:space="preserve">Conclusions</w:t>
      </w:r>
    </w:p>
    <w:bookmarkEnd w:id="48"/>
    <w:bookmarkStart w:id="49" w:name="acknowledgements"/>
    <w:p>
      <w:pPr>
        <w:pStyle w:val="Heading1"/>
      </w:pPr>
      <w:r>
        <w:t xml:space="preserve">Acknowledgements</w:t>
      </w:r>
    </w:p>
    <w:p>
      <w:pPr>
        <w:pStyle w:val="FirstParagraph"/>
      </w:pPr>
      <w:r>
        <w:t xml:space="preserve">We are grateful to Torsten Hauffe, Rebecca B. Cooper and Bethany J. Allen for their helpful methodological advice. We also thank Guillaume Guinot for useful feedbacks and recommendations. L.B. was funded by a grant offered by the École Normale Supérieure de Lyon.</w:t>
      </w:r>
    </w:p>
    <w:p>
      <w:r>
        <w:br w:type="page"/>
      </w:r>
    </w:p>
    <w:bookmarkEnd w:id="49"/>
    <w:bookmarkStart w:id="309" w:name="references"/>
    <w:p>
      <w:pPr>
        <w:pStyle w:val="Heading1"/>
      </w:pPr>
      <w:r>
        <w:t xml:space="preserve">References</w:t>
      </w:r>
    </w:p>
    <w:bookmarkStart w:id="308" w:name="refs"/>
    <w:bookmarkStart w:id="51" w:name="ref-alhajeri2016"/>
    <w:p>
      <w:pPr>
        <w:pStyle w:val="Bibliography"/>
      </w:pPr>
      <w:r>
        <w:t xml:space="preserve">Alhajeri, B. H., J. J. Schenk, and S. J. Steppan. 2016.</w:t>
      </w:r>
      <w:r>
        <w:t xml:space="preserve"> </w:t>
      </w:r>
      <w:hyperlink r:id="rId50">
        <w:r>
          <w:rPr>
            <w:rStyle w:val="Hyperlink"/>
          </w:rPr>
          <w:t xml:space="preserve">Ecomorphological diversification following continental colonization in muroid rodents (rodentia: muroidea)</w:t>
        </w:r>
      </w:hyperlink>
      <w:r>
        <w:t xml:space="preserve">. Biological Journal of the Linnean Society 117:463–481.</w:t>
      </w:r>
    </w:p>
    <w:bookmarkEnd w:id="51"/>
    <w:bookmarkStart w:id="53" w:name="ref-álvarez2017"/>
    <w:p>
      <w:pPr>
        <w:pStyle w:val="Bibliography"/>
      </w:pPr>
      <w:r>
        <w:t xml:space="preserve">Álvarez, A., R. L. M. Arévalo, and D. H. Verzi. 2017.</w:t>
      </w:r>
      <w:r>
        <w:t xml:space="preserve"> </w:t>
      </w:r>
      <w:hyperlink r:id="rId52">
        <w:r>
          <w:rPr>
            <w:rStyle w:val="Hyperlink"/>
          </w:rPr>
          <w:t xml:space="preserve">Diversification patterns and size evolution in caviomorph rodents</w:t>
        </w:r>
      </w:hyperlink>
      <w:r>
        <w:t xml:space="preserve">. Biological Journal of the Linnean Society 121:907–922.</w:t>
      </w:r>
    </w:p>
    <w:bookmarkEnd w:id="53"/>
    <w:bookmarkStart w:id="55" w:name="ref-antoine2017"/>
    <w:p>
      <w:pPr>
        <w:pStyle w:val="Bibliography"/>
      </w:pPr>
      <w:r>
        <w:t xml:space="preserve">Antoine, P.-O., R. Salas-Gismondi, F. Pujos, M. Ganerød, and L. Marivaux. 2017.</w:t>
      </w:r>
      <w:r>
        <w:t xml:space="preserve"> </w:t>
      </w:r>
      <w:hyperlink r:id="rId54">
        <w:r>
          <w:rPr>
            <w:rStyle w:val="Hyperlink"/>
          </w:rPr>
          <w:t xml:space="preserve">Western Amazonia as a Hotspot of Mammalian Biodiversity Throughout the Cenozoic</w:t>
        </w:r>
      </w:hyperlink>
      <w:r>
        <w:t xml:space="preserve">. Journal of Mammalian Evolution 24:5–17.</w:t>
      </w:r>
    </w:p>
    <w:bookmarkEnd w:id="55"/>
    <w:bookmarkStart w:id="57"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6">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7"/>
    <w:bookmarkStart w:id="59" w:name="ref-antonelli2018"/>
    <w:p>
      <w:pPr>
        <w:pStyle w:val="Bibliography"/>
      </w:pPr>
      <w:r>
        <w:t xml:space="preserve">Antonelli, A., W. D. Kissling, S. G. A. Flantua, M. A. Bermúdez, A. Mulch, A. N. Muellner-Riehl, H. Kreft, H. P. Linder, C. Badgley, J. Fjeldså, S. A. Fritz, C. Rahbek, F. Herman, H. Hooghiemstra, and C. Hoorn. 2018.</w:t>
      </w:r>
      <w:r>
        <w:t xml:space="preserve"> </w:t>
      </w:r>
      <w:hyperlink r:id="rId58">
        <w:r>
          <w:rPr>
            <w:rStyle w:val="Hyperlink"/>
          </w:rPr>
          <w:t xml:space="preserve">Geological and climatic influences on mountain biodiversity</w:t>
        </w:r>
      </w:hyperlink>
      <w:r>
        <w:t xml:space="preserve">. Nature Geoscience 11:718–725.</w:t>
      </w:r>
    </w:p>
    <w:bookmarkEnd w:id="59"/>
    <w:bookmarkStart w:id="61" w:name="ref-antonelli2009"/>
    <w:p>
      <w:pPr>
        <w:pStyle w:val="Bibliography"/>
      </w:pPr>
      <w:r>
        <w:t xml:space="preserve">Antonelli, A., J. A. A. Nylander, C. Persson, and I. Sanmartín. 2009.</w:t>
      </w:r>
      <w:r>
        <w:t xml:space="preserve"> </w:t>
      </w:r>
      <w:hyperlink r:id="rId60">
        <w:r>
          <w:rPr>
            <w:rStyle w:val="Hyperlink"/>
          </w:rPr>
          <w:t xml:space="preserve">Tracing the impact of the andean uplift on neotropical plant evolution</w:t>
        </w:r>
      </w:hyperlink>
      <w:r>
        <w:t xml:space="preserve">. Proceedings of the National Academy of Sciences 106:9749–9754.</w:t>
      </w:r>
    </w:p>
    <w:bookmarkEnd w:id="61"/>
    <w:bookmarkStart w:id="63" w:name="ref-arbogast2002"/>
    <w:p>
      <w:pPr>
        <w:pStyle w:val="Bibliography"/>
      </w:pPr>
      <w:r>
        <w:t xml:space="preserve">Arbogast, B. S., S. V. Edwards, J. Wakeley, P. Beerli, and J. B. Slowinski. 2002.</w:t>
      </w:r>
      <w:r>
        <w:t xml:space="preserve"> </w:t>
      </w:r>
      <w:hyperlink r:id="rId62">
        <w:r>
          <w:rPr>
            <w:rStyle w:val="Hyperlink"/>
          </w:rPr>
          <w:t xml:space="preserve">Estimating Divergence Times from Molecular Data on Phylogenetic and Population Genetic Timescales</w:t>
        </w:r>
      </w:hyperlink>
      <w:r>
        <w:t xml:space="preserve">. Annual Review of Ecology, Evolution, and Systematics 33:707–740.</w:t>
      </w:r>
    </w:p>
    <w:bookmarkEnd w:id="63"/>
    <w:bookmarkStart w:id="65" w:name="ref-armella2026"/>
    <w:p>
      <w:pPr>
        <w:pStyle w:val="Bibliography"/>
      </w:pPr>
      <w:r>
        <w:t xml:space="preserve">Armella, M. A., and D. A. Croft. 2026.</w:t>
      </w:r>
      <w:r>
        <w:t xml:space="preserve"> </w:t>
      </w:r>
      <w:hyperlink r:id="rId64">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65"/>
    <w:bookmarkStart w:id="67" w:name="ref-arnal2026"/>
    <w:p>
      <w:pPr>
        <w:pStyle w:val="Bibliography"/>
      </w:pPr>
      <w:r>
        <w:t xml:space="preserve">Arnal, M., R. F. Kay, L. A. Valdivia, W. Salenbien, P. E. Morse, M. R. Borths, B. A. Williams, C. Riddle, J.-N. Martínez, and L. A. Gonzales. 2026.</w:t>
      </w:r>
      <w:r>
        <w:t xml:space="preserve"> </w:t>
      </w:r>
      <w:hyperlink r:id="rId66">
        <w:r>
          <w:rPr>
            <w:rStyle w:val="Hyperlink"/>
          </w:rPr>
          <w:t xml:space="preserve">New Early Miocene hystricognath rodents (Caviomorpha) from the Madre de Dios River in the southeastern Peruvian Amazon</w:t>
        </w:r>
      </w:hyperlink>
      <w:r>
        <w:t xml:space="preserve">. Papers in Palaeontology 12:e70064.</w:t>
      </w:r>
    </w:p>
    <w:bookmarkEnd w:id="67"/>
    <w:bookmarkStart w:id="69" w:name="ref-balseiro2025"/>
    <w:p>
      <w:pPr>
        <w:pStyle w:val="Bibliography"/>
      </w:pPr>
      <w:r>
        <w:t xml:space="preserve">Balseiro, D., F. Serra, and A. Bignon. 2025. Extinction drives both expansion and contraction of morphological disparity in trilobites. Proceedings B, doi:</w:t>
      </w:r>
      <w:r>
        <w:t xml:space="preserve"> </w:t>
      </w:r>
      <w:hyperlink r:id="rId68">
        <w:r>
          <w:rPr>
            <w:rStyle w:val="Hyperlink"/>
          </w:rPr>
          <w:t xml:space="preserve">10.1098/rspb.2025.1418</w:t>
        </w:r>
      </w:hyperlink>
      <w:r>
        <w:t xml:space="preserve">.</w:t>
      </w:r>
    </w:p>
    <w:bookmarkEnd w:id="69"/>
    <w:bookmarkStart w:id="71" w:name="ref-barnosky2001"/>
    <w:p>
      <w:pPr>
        <w:pStyle w:val="Bibliography"/>
      </w:pPr>
      <w:r>
        <w:t xml:space="preserve">Barnosky, A. D. 2001.</w:t>
      </w:r>
      <w:r>
        <w:t xml:space="preserve"> </w:t>
      </w:r>
      <w:hyperlink r:id="rId70">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71"/>
    <w:bookmarkStart w:id="73" w:name="ref-benton2009"/>
    <w:p>
      <w:pPr>
        <w:pStyle w:val="Bibliography"/>
      </w:pPr>
      <w:r>
        <w:t xml:space="preserve">Benton, M. J. 2009.</w:t>
      </w:r>
      <w:r>
        <w:t xml:space="preserve"> </w:t>
      </w:r>
      <w:hyperlink r:id="rId72">
        <w:r>
          <w:rPr>
            <w:rStyle w:val="Hyperlink"/>
          </w:rPr>
          <w:t xml:space="preserve">The red queen and the court jester: Species diversity and the role of biotic and abiotic factors through time</w:t>
        </w:r>
      </w:hyperlink>
      <w:r>
        <w:t xml:space="preserve">. Science 323:728–732.</w:t>
      </w:r>
    </w:p>
    <w:bookmarkEnd w:id="73"/>
    <w:bookmarkStart w:id="75"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74">
        <w:r>
          <w:rPr>
            <w:rStyle w:val="Hyperlink"/>
          </w:rPr>
          <w:t xml:space="preserve">A heavyweight early whale pushes the boundaries of vertebrate morphology</w:t>
        </w:r>
      </w:hyperlink>
      <w:r>
        <w:t xml:space="preserve">. Nature 620:824–829.</w:t>
      </w:r>
    </w:p>
    <w:bookmarkEnd w:id="75"/>
    <w:bookmarkStart w:id="76"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76"/>
    <w:bookmarkStart w:id="78" w:name="ref-billet2009"/>
    <w:p>
      <w:pPr>
        <w:pStyle w:val="Bibliography"/>
      </w:pPr>
      <w:r>
        <w:t xml:space="preserve">Billet, G., C. Blondel, and C. de Muizon. 2009.</w:t>
      </w:r>
      <w:r>
        <w:t xml:space="preserve"> </w:t>
      </w:r>
      <w:hyperlink r:id="rId77">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8"/>
    <w:bookmarkStart w:id="80" w:name="ref-boessenecker2019"/>
    <w:p>
      <w:pPr>
        <w:pStyle w:val="Bibliography"/>
      </w:pPr>
      <w:r>
        <w:t xml:space="preserve">Boessenecker, R. W., D. J. Ehret, D. J. Long, M. Churchill, E. Martin, and S. J. Boessenecker. 2019.</w:t>
      </w:r>
      <w:r>
        <w:t xml:space="preserve"> </w:t>
      </w:r>
      <w:hyperlink r:id="rId79">
        <w:r>
          <w:rPr>
            <w:rStyle w:val="Hyperlink"/>
          </w:rPr>
          <w:t xml:space="preserve">The Early Pliocene extinction of the mega-toothed shark Otodus megalodon: a view from the eastern North Pacific</w:t>
        </w:r>
      </w:hyperlink>
      <w:r>
        <w:t xml:space="preserve">. PeerJ 7:e6088.</w:t>
      </w:r>
    </w:p>
    <w:bookmarkEnd w:id="80"/>
    <w:bookmarkStart w:id="82" w:name="ref-boivin2024"/>
    <w:p>
      <w:pPr>
        <w:pStyle w:val="Bibliography"/>
      </w:pPr>
      <w:r>
        <w:t xml:space="preserve">Boivin, M., A. Álvarez, M. D. Ercoli, S. R. Moyano, J. S. Salgado-Ahumada, A. M. O. Tejerina, and G. H. Cassini. 2024.</w:t>
      </w:r>
      <w:r>
        <w:t xml:space="preserve"> </w:t>
      </w:r>
      <w:hyperlink r:id="rId81">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82"/>
    <w:bookmarkStart w:id="84" w:name="ref-boivin2019"/>
    <w:p>
      <w:pPr>
        <w:pStyle w:val="Bibliography"/>
      </w:pPr>
      <w:r>
        <w:t xml:space="preserve">Boivin, M., L. Marivaux, and P.-O. Antoine. 2019.</w:t>
      </w:r>
      <w:r>
        <w:t xml:space="preserve"> </w:t>
      </w:r>
      <w:hyperlink r:id="rId83">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4"/>
    <w:bookmarkStart w:id="86"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5">
        <w:r>
          <w:rPr>
            <w:rStyle w:val="Hyperlink"/>
          </w:rPr>
          <w:t xml:space="preserve">The emergence and demise of giant sloths</w:t>
        </w:r>
      </w:hyperlink>
      <w:r>
        <w:t xml:space="preserve">. Science 388:864–868.</w:t>
      </w:r>
    </w:p>
    <w:bookmarkEnd w:id="86"/>
    <w:bookmarkStart w:id="88" w:name="ref-boschman2021"/>
    <w:p>
      <w:pPr>
        <w:pStyle w:val="Bibliography"/>
      </w:pPr>
      <w:r>
        <w:t xml:space="preserve">Boschman, L. M. 2021.</w:t>
      </w:r>
      <w:r>
        <w:t xml:space="preserve"> </w:t>
      </w:r>
      <w:hyperlink r:id="rId87">
        <w:r>
          <w:rPr>
            <w:rStyle w:val="Hyperlink"/>
          </w:rPr>
          <w:t xml:space="preserve">Andean mountain building since the late cretaceous: A paleoelevation reconstruction</w:t>
        </w:r>
      </w:hyperlink>
      <w:r>
        <w:t xml:space="preserve">. Earth-Science Reviews 220:103640.</w:t>
      </w:r>
    </w:p>
    <w:bookmarkEnd w:id="88"/>
    <w:bookmarkStart w:id="90" w:name="ref-boschman2022"/>
    <w:p>
      <w:pPr>
        <w:pStyle w:val="Bibliography"/>
      </w:pPr>
      <w:r>
        <w:t xml:space="preserve">Boschman, L. M., and F. L. Condamine. 2022.</w:t>
      </w:r>
      <w:r>
        <w:t xml:space="preserve"> </w:t>
      </w:r>
      <w:hyperlink r:id="rId89">
        <w:r>
          <w:rPr>
            <w:rStyle w:val="Hyperlink"/>
          </w:rPr>
          <w:t xml:space="preserve">Mountain radiations are not only rapid and recent: Ancient diversification of South American frog and lizard families related to Paleogene Andean orogeny and Cenozoic climate variations</w:t>
        </w:r>
      </w:hyperlink>
      <w:r>
        <w:t xml:space="preserve">. Global and Planetary Change 208:103704.</w:t>
      </w:r>
    </w:p>
    <w:bookmarkEnd w:id="90"/>
    <w:bookmarkStart w:id="92" w:name="ref-brandoni2016"/>
    <w:p>
      <w:pPr>
        <w:pStyle w:val="Bibliography"/>
      </w:pPr>
      <w:r>
        <w:t xml:space="preserve">Brandoni, D., L. G. Ruiz, M. F. Tejedor, G. Martin, and J. G. Fleagle. 2016.</w:t>
      </w:r>
      <w:r>
        <w:t xml:space="preserve"> </w:t>
      </w:r>
      <w:hyperlink r:id="rId91">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92"/>
    <w:bookmarkStart w:id="94" w:name="ref-brée2022"/>
    <w:p>
      <w:pPr>
        <w:pStyle w:val="Bibliography"/>
      </w:pPr>
      <w:r>
        <w:t xml:space="preserve">Brée, B., F. L. Condamine, and G. Guinot. 2022.</w:t>
      </w:r>
      <w:r>
        <w:t xml:space="preserve"> </w:t>
      </w:r>
      <w:hyperlink r:id="rId93">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94"/>
    <w:bookmarkStart w:id="96" w:name="ref-buffan2025"/>
    <w:p>
      <w:pPr>
        <w:pStyle w:val="Bibliography"/>
      </w:pPr>
      <w:r>
        <w:t xml:space="preserve">Buffan, L., F. L. Condamine, N. S. Stutz, F. Pujos, P.-O. Antoine, and L. Marivaux. 2025.</w:t>
      </w:r>
      <w:r>
        <w:t xml:space="preserve"> </w:t>
      </w:r>
      <w:hyperlink r:id="rId95">
        <w:r>
          <w:rPr>
            <w:rStyle w:val="Hyperlink"/>
          </w:rPr>
          <w:t xml:space="preserve">The fate of south america</w:t>
        </w:r>
        <w:r>
          <w:rPr>
            <w:rStyle w:val="Hyperlink"/>
          </w:rPr>
          <w:t xml:space="preserve">’</w:t>
        </w:r>
        <w:r>
          <w:rPr>
            <w:rStyle w:val="Hyperlink"/>
          </w:rPr>
          <w:t xml:space="preserve">s endemic mammalian fauna in response to the most dramatic cenozoic climate disruption</w:t>
        </w:r>
      </w:hyperlink>
      <w:r>
        <w:t xml:space="preserve">. Proceedings of the National Academy of Sciences 122:e2419520122.</w:t>
      </w:r>
    </w:p>
    <w:bookmarkEnd w:id="96"/>
    <w:bookmarkStart w:id="97"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7"/>
    <w:bookmarkStart w:id="99" w:name="ref-candela2013"/>
    <w:p>
      <w:pPr>
        <w:pStyle w:val="Bibliography"/>
      </w:pPr>
      <w:r>
        <w:t xml:space="preserve">Candela, A. M., G. H. Cassini, and N. L. Nasif. 2013.</w:t>
      </w:r>
      <w:r>
        <w:t xml:space="preserve"> </w:t>
      </w:r>
      <w:hyperlink r:id="rId98">
        <w:r>
          <w:rPr>
            <w:rStyle w:val="Hyperlink"/>
          </w:rPr>
          <w:t xml:space="preserve">Fractal dimension and cheek teeth crown complexity in the giant rodent eumegamys paranensis</w:t>
        </w:r>
      </w:hyperlink>
      <w:r>
        <w:t xml:space="preserve">. Lethaia 46:369–377.</w:t>
      </w:r>
    </w:p>
    <w:bookmarkEnd w:id="99"/>
    <w:bookmarkStart w:id="101" w:name="ref-cantalapiedra2017"/>
    <w:p>
      <w:pPr>
        <w:pStyle w:val="Bibliography"/>
      </w:pPr>
      <w:r>
        <w:t xml:space="preserve">Cantalapiedra, J. L., J. L. Prado, M. Hernández Fernández, and M. T. Alberdi. 2017.</w:t>
      </w:r>
      <w:r>
        <w:t xml:space="preserve"> </w:t>
      </w:r>
      <w:hyperlink r:id="rId100">
        <w:r>
          <w:rPr>
            <w:rStyle w:val="Hyperlink"/>
          </w:rPr>
          <w:t xml:space="preserve">Decoupled ecomorphological evolution and diversification in neogene-quaternary horses</w:t>
        </w:r>
      </w:hyperlink>
      <w:r>
        <w:t xml:space="preserve">. Science 355:627–630.</w:t>
      </w:r>
    </w:p>
    <w:bookmarkEnd w:id="101"/>
    <w:bookmarkStart w:id="103" w:name="ref-carrillo2026"/>
    <w:p>
      <w:pPr>
        <w:pStyle w:val="Bibliography"/>
      </w:pPr>
      <w:r>
        <w:t xml:space="preserve">Carrillo, J. D., M. F. Torres Jimenez, F. J. Urrea-Barreto, K. Pino, R. B. Cooper, A. Antonelli, C. D. Bacon, S. Faurby, and D. Silvestro. 2026.</w:t>
      </w:r>
      <w:r>
        <w:t xml:space="preserve"> </w:t>
      </w:r>
      <w:hyperlink r:id="rId102">
        <w:r>
          <w:rPr>
            <w:rStyle w:val="Hyperlink"/>
          </w:rPr>
          <w:t xml:space="preserve">Decoupled diversity and disparity after faunistic turnover in caviomorph rodents</w:t>
        </w:r>
      </w:hyperlink>
      <w:r>
        <w:t xml:space="preserve">. Proceedings of the Royal Society B: Biological Sciences 293:20252586.</w:t>
      </w:r>
    </w:p>
    <w:bookmarkEnd w:id="103"/>
    <w:bookmarkStart w:id="105" w:name="ref-chiarenza2020"/>
    <w:p>
      <w:pPr>
        <w:pStyle w:val="Bibliography"/>
      </w:pPr>
      <w:r>
        <w:t xml:space="preserve">Chiarenza, A. A., A. Farnsworth, P. D. Mannion, D. J. Lunt, P. J. Valdes, J. V. Morgan, and P. A. Allison. 2020.</w:t>
      </w:r>
      <w:r>
        <w:t xml:space="preserve"> </w:t>
      </w:r>
      <w:hyperlink r:id="rId104">
        <w:r>
          <w:rPr>
            <w:rStyle w:val="Hyperlink"/>
          </w:rPr>
          <w:t xml:space="preserve">Asteroid impact, not volcanism, caused the end-cretaceous dinosaur extinction</w:t>
        </w:r>
      </w:hyperlink>
      <w:r>
        <w:t xml:space="preserve">. Proceedings of the National Academy of Sciences 117:17084–17093.</w:t>
      </w:r>
    </w:p>
    <w:bookmarkEnd w:id="105"/>
    <w:bookmarkStart w:id="107" w:name="ref-clavel2017"/>
    <w:p>
      <w:pPr>
        <w:pStyle w:val="Bibliography"/>
      </w:pPr>
      <w:r>
        <w:t xml:space="preserve">Clavel, J., and H. Morlon. 2017.</w:t>
      </w:r>
      <w:r>
        <w:t xml:space="preserve"> </w:t>
      </w:r>
      <w:hyperlink r:id="rId106">
        <w:r>
          <w:rPr>
            <w:rStyle w:val="Hyperlink"/>
          </w:rPr>
          <w:t xml:space="preserve">Accelerated body size evolution during cold climatic periods in the cenozoic</w:t>
        </w:r>
      </w:hyperlink>
      <w:r>
        <w:t xml:space="preserve">. Proceedings of the National Academy of Sciences 114:4183–4188.</w:t>
      </w:r>
    </w:p>
    <w:bookmarkEnd w:id="107"/>
    <w:bookmarkStart w:id="109" w:name="ref-cohen2025"/>
    <w:p>
      <w:pPr>
        <w:pStyle w:val="Bibliography"/>
      </w:pPr>
      <w:r>
        <w:t xml:space="preserve">Cohen, K., D. Harper, P. Gibbard, and N. Car. 2025.</w:t>
      </w:r>
      <w:r>
        <w:t xml:space="preserve"> </w:t>
      </w:r>
      <w:hyperlink r:id="rId108">
        <w:r>
          <w:rPr>
            <w:rStyle w:val="Hyperlink"/>
          </w:rPr>
          <w:t xml:space="preserve">The ICS international chronostratigraphic chart this decade</w:t>
        </w:r>
      </w:hyperlink>
      <w:r>
        <w:t xml:space="preserve">. Episodes Journal of International Geoscience 48:105–115.</w:t>
      </w:r>
    </w:p>
    <w:bookmarkEnd w:id="109"/>
    <w:bookmarkStart w:id="111" w:name="ref-condamine2018"/>
    <w:p>
      <w:pPr>
        <w:pStyle w:val="Bibliography"/>
      </w:pPr>
      <w:r>
        <w:t xml:space="preserve">Condamine, F. L., J. Rolland, S. Höhna, F. A. H. Sperling, and I. Sanmartín. 2018.</w:t>
      </w:r>
      <w:r>
        <w:t xml:space="preserve"> </w:t>
      </w:r>
      <w:hyperlink r:id="rId110">
        <w:r>
          <w:rPr>
            <w:rStyle w:val="Hyperlink"/>
          </w:rPr>
          <w:t xml:space="preserve">Testing the role of the red queen and court jester as drivers of the macroevolution of apollo butterflies</w:t>
        </w:r>
      </w:hyperlink>
      <w:r>
        <w:t xml:space="preserve">. Systematic Biology 67:940–964.</w:t>
      </w:r>
    </w:p>
    <w:bookmarkEnd w:id="111"/>
    <w:bookmarkStart w:id="113" w:name="ref-condamine2019"/>
    <w:p>
      <w:pPr>
        <w:pStyle w:val="Bibliography"/>
      </w:pPr>
      <w:r>
        <w:t xml:space="preserve">Condamine, F. L., J. Rolland, and H. Morlon. 2019a.</w:t>
      </w:r>
      <w:r>
        <w:t xml:space="preserve"> </w:t>
      </w:r>
      <w:hyperlink r:id="rId112">
        <w:r>
          <w:rPr>
            <w:rStyle w:val="Hyperlink"/>
          </w:rPr>
          <w:t xml:space="preserve">Assessing the causes of diversification slowdowns: temperature-dependent and diversity-dependent models receive equivalent support</w:t>
        </w:r>
      </w:hyperlink>
      <w:r>
        <w:t xml:space="preserve">. Ecology Letters 22:1900–1912.</w:t>
      </w:r>
    </w:p>
    <w:bookmarkEnd w:id="113"/>
    <w:bookmarkStart w:id="115" w:name="ref-condamine_climate_2019"/>
    <w:p>
      <w:pPr>
        <w:pStyle w:val="Bibliography"/>
      </w:pPr>
      <w:r>
        <w:t xml:space="preserve">Condamine, F. L., J. Romieu, and G. Guinot. 2019b.</w:t>
      </w:r>
      <w:r>
        <w:t xml:space="preserve"> </w:t>
      </w:r>
      <w:hyperlink r:id="rId114">
        <w:r>
          <w:rPr>
            <w:rStyle w:val="Hyperlink"/>
          </w:rPr>
          <w:t xml:space="preserve">Climate cooling and clade competition likely drove the decline of lamniform sharks</w:t>
        </w:r>
      </w:hyperlink>
      <w:r>
        <w:t xml:space="preserve">. Proc. Nat. Acad. Sc. U.S.A 116. Proceedings of the National Academy of Sciences.</w:t>
      </w:r>
    </w:p>
    <w:bookmarkEnd w:id="115"/>
    <w:bookmarkStart w:id="117" w:name="ref-condamine2020"/>
    <w:p>
      <w:pPr>
        <w:pStyle w:val="Bibliography"/>
      </w:pPr>
      <w:r>
        <w:t xml:space="preserve">Condamine, F. L., D. Silvestro, E. B. Koppelhus, and A. Antonelli. 2020.</w:t>
      </w:r>
      <w:r>
        <w:t xml:space="preserve"> </w:t>
      </w:r>
      <w:hyperlink r:id="rId116">
        <w:r>
          <w:rPr>
            <w:rStyle w:val="Hyperlink"/>
          </w:rPr>
          <w:t xml:space="preserve">The rise of angiosperms pushed conifers to decline during global cooling</w:t>
        </w:r>
      </w:hyperlink>
      <w:r>
        <w:t xml:space="preserve">. Proceedings of the National Academy of Sciences 117:28867–28875.</w:t>
      </w:r>
    </w:p>
    <w:bookmarkEnd w:id="117"/>
    <w:bookmarkStart w:id="119" w:name="ref-cooney2021"/>
    <w:p>
      <w:pPr>
        <w:pStyle w:val="Bibliography"/>
      </w:pPr>
      <w:r>
        <w:t xml:space="preserve">Cooney, C. R., and G. H. Thomas. 2021.</w:t>
      </w:r>
      <w:r>
        <w:t xml:space="preserve"> </w:t>
      </w:r>
      <w:hyperlink r:id="rId118">
        <w:r>
          <w:rPr>
            <w:rStyle w:val="Hyperlink"/>
          </w:rPr>
          <w:t xml:space="preserve">Heterogeneous relationships between rates of speciation and body size evolution across vertebrate clades</w:t>
        </w:r>
      </w:hyperlink>
      <w:r>
        <w:t xml:space="preserve">. Nature Ecology &amp; Evolution 5:101–110.</w:t>
      </w:r>
    </w:p>
    <w:bookmarkEnd w:id="119"/>
    <w:bookmarkStart w:id="121" w:name="ref-cooper2025"/>
    <w:p>
      <w:pPr>
        <w:pStyle w:val="Bibliography"/>
      </w:pPr>
      <w:r>
        <w:t xml:space="preserve">Cooper, R. B., B. J. Allen, and D. Silvestro. 2025.</w:t>
      </w:r>
      <w:r>
        <w:t xml:space="preserve"> </w:t>
      </w:r>
      <w:hyperlink r:id="rId120">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21"/>
    <w:bookmarkStart w:id="123" w:name="ref-cooper2024"/>
    <w:p>
      <w:pPr>
        <w:pStyle w:val="Bibliography"/>
      </w:pPr>
      <w:r>
        <w:t xml:space="preserve">Cooper, R. B., J. T. Flannery-Sutherland, and D. Silvestro. 2024.</w:t>
      </w:r>
      <w:r>
        <w:t xml:space="preserve"> </w:t>
      </w:r>
      <w:hyperlink r:id="rId122">
        <w:r>
          <w:rPr>
            <w:rStyle w:val="Hyperlink"/>
          </w:rPr>
          <w:t xml:space="preserve">DeepDive: estimating global biodiversity patterns through time using deep learning</w:t>
        </w:r>
      </w:hyperlink>
      <w:r>
        <w:t xml:space="preserve">. Nature Communications 15:4199.</w:t>
      </w:r>
    </w:p>
    <w:bookmarkEnd w:id="123"/>
    <w:bookmarkStart w:id="124" w:name="ref-cope1896"/>
    <w:p>
      <w:pPr>
        <w:pStyle w:val="Bibliography"/>
      </w:pPr>
      <w:r>
        <w:t xml:space="preserve">Cope, E. D. 1896. The primary factors of organic evolution. The Open Court Publishing Company.</w:t>
      </w:r>
    </w:p>
    <w:bookmarkEnd w:id="124"/>
    <w:bookmarkStart w:id="126" w:name="ref-croft2020"/>
    <w:p>
      <w:pPr>
        <w:pStyle w:val="Bibliography"/>
      </w:pPr>
      <w:r>
        <w:t xml:space="preserve">Croft, D. A., J. N. Gelfo, and G. M. López. 2020.</w:t>
      </w:r>
      <w:r>
        <w:t xml:space="preserve"> </w:t>
      </w:r>
      <w:hyperlink r:id="rId125">
        <w:r>
          <w:rPr>
            <w:rStyle w:val="Hyperlink"/>
          </w:rPr>
          <w:t xml:space="preserve">Splendid innovation: The extinct south american native ungulates</w:t>
        </w:r>
      </w:hyperlink>
      <w:r>
        <w:t xml:space="preserve">. Annual Review of Earth and Planetary Sciences 48:259–290.</w:t>
      </w:r>
    </w:p>
    <w:bookmarkEnd w:id="126"/>
    <w:bookmarkStart w:id="128" w:name="ref-cuitiño2021"/>
    <w:p>
      <w:pPr>
        <w:pStyle w:val="Bibliography"/>
      </w:pPr>
      <w:r>
        <w:t xml:space="preserve">Cuitiño, J. I., M. Sol Raigemborn, M. Susana Bargo, S. F. Vizcaíno, N. A. Muñoz, M. J. Kohn, and R. F. Kay. 2021.</w:t>
      </w:r>
      <w:r>
        <w:t xml:space="preserve"> </w:t>
      </w:r>
      <w:hyperlink r:id="rId127">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28"/>
    <w:bookmarkStart w:id="130" w:name="ref-dacunha2023"/>
    <w:p>
      <w:pPr>
        <w:pStyle w:val="Bibliography"/>
      </w:pPr>
      <w:r>
        <w:t xml:space="preserve">Da Cunha, L., L. W. Viñola-López, R. D. E. MacPhee, L. Kerber, J. Vélez-Juarbe, P.-O. Antoine, M. Boivin, L. Hautier, R. Lebrun, L. Marivaux, and P.-H. Fabre. 2023.</w:t>
      </w:r>
      <w:r>
        <w:t xml:space="preserve"> </w:t>
      </w:r>
      <w:hyperlink r:id="rId129">
        <w:r>
          <w:rPr>
            <w:rStyle w:val="Hyperlink"/>
          </w:rPr>
          <w:t xml:space="preserve">The inner ear of caviomorph rodents: Phylogenetic implications and application to extinct West Indian taxa</w:t>
        </w:r>
      </w:hyperlink>
      <w:r>
        <w:t xml:space="preserve">. Journal of Mammalian Evolution 30:1155–1176.</w:t>
      </w:r>
    </w:p>
    <w:bookmarkEnd w:id="130"/>
    <w:bookmarkStart w:id="132" w:name="ref-drury2016"/>
    <w:p>
      <w:pPr>
        <w:pStyle w:val="Bibliography"/>
      </w:pPr>
      <w:r>
        <w:t xml:space="preserve">Drury, J., J. Clavel, M. Manceau, and H. Morlon. 2016.</w:t>
      </w:r>
      <w:r>
        <w:t xml:space="preserve"> </w:t>
      </w:r>
      <w:hyperlink r:id="rId131">
        <w:r>
          <w:rPr>
            <w:rStyle w:val="Hyperlink"/>
          </w:rPr>
          <w:t xml:space="preserve">Estimating the effect of competition on trait evolution using maximum likelihood inference</w:t>
        </w:r>
      </w:hyperlink>
      <w:r>
        <w:t xml:space="preserve">. Systematic Biology 65:700–710.</w:t>
      </w:r>
    </w:p>
    <w:bookmarkEnd w:id="132"/>
    <w:bookmarkStart w:id="134" w:name="ref-dunn2013"/>
    <w:p>
      <w:pPr>
        <w:pStyle w:val="Bibliography"/>
      </w:pPr>
      <w:r>
        <w:t xml:space="preserve">Dunn, R. E., R. H. Madden, M. J. Kohn, M. D. Schmitz, C. A. E. Strömberg, A. A. Carlini, G. H. Ré, and J. Crowley. 2013.</w:t>
      </w:r>
      <w:r>
        <w:t xml:space="preserve"> </w:t>
      </w:r>
      <w:hyperlink r:id="rId133">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34"/>
    <w:bookmarkStart w:id="136" w:name="ref-esteve2025"/>
    <w:p>
      <w:pPr>
        <w:pStyle w:val="Bibliography"/>
      </w:pPr>
      <w:r>
        <w:t xml:space="preserve">Esteve, J. 2025.</w:t>
      </w:r>
      <w:r>
        <w:t xml:space="preserve"> </w:t>
      </w:r>
      <w:hyperlink r:id="rId135">
        <w:r>
          <w:rPr>
            <w:rStyle w:val="Hyperlink"/>
          </w:rPr>
          <w:t xml:space="preserve">When extinction expands morphospace: Lessons from trilobites</w:t>
        </w:r>
      </w:hyperlink>
      <w:r>
        <w:t xml:space="preserve">. Proceedings of the Royal Society B: Biological Sciences 292:20252245.</w:t>
      </w:r>
    </w:p>
    <w:bookmarkEnd w:id="136"/>
    <w:bookmarkStart w:id="138" w:name="ref-etienne2011"/>
    <w:p>
      <w:pPr>
        <w:pStyle w:val="Bibliography"/>
      </w:pPr>
      <w:r>
        <w:t xml:space="preserve">Etienne, R. S., B. Haegeman, T. Stadler, T. Aze, P. N. Pearson, A. Purvis, and A. B. Phillimore. 2011.</w:t>
      </w:r>
      <w:r>
        <w:t xml:space="preserve"> </w:t>
      </w:r>
      <w:hyperlink r:id="rId137">
        <w:r>
          <w:rPr>
            <w:rStyle w:val="Hyperlink"/>
          </w:rPr>
          <w:t xml:space="preserve">Diversity-dependence brings molecular phylogenies closer to agreement with the fossil record</w:t>
        </w:r>
      </w:hyperlink>
      <w:r>
        <w:t xml:space="preserve">. Proceedings of the Royal Society B: Biological Sciences 279:1300–1309.</w:t>
      </w:r>
    </w:p>
    <w:bookmarkEnd w:id="138"/>
    <w:bookmarkStart w:id="140" w:name="ref-felsenstein1985"/>
    <w:p>
      <w:pPr>
        <w:pStyle w:val="Bibliography"/>
      </w:pPr>
      <w:r>
        <w:t xml:space="preserve">Felsenstein, J. 1985.</w:t>
      </w:r>
      <w:r>
        <w:t xml:space="preserve"> </w:t>
      </w:r>
      <w:hyperlink r:id="rId139">
        <w:r>
          <w:rPr>
            <w:rStyle w:val="Hyperlink"/>
          </w:rPr>
          <w:t xml:space="preserve">Phylogenies and the comparative method</w:t>
        </w:r>
      </w:hyperlink>
      <w:r>
        <w:t xml:space="preserve">. The American Naturalist 125:1–15.</w:t>
      </w:r>
    </w:p>
    <w:bookmarkEnd w:id="140"/>
    <w:bookmarkStart w:id="142" w:name="ref-fernicola2019"/>
    <w:p>
      <w:pPr>
        <w:pStyle w:val="Bibliography"/>
      </w:pPr>
      <w:r>
        <w:t xml:space="preserve">Fernicola, J. C., S. F. Vizcaíno, M. S. Bargo, R. F. Kay, and J. I. Cuitiño. 2019.</w:t>
      </w:r>
      <w:r>
        <w:t xml:space="preserve"> </w:t>
      </w:r>
      <w:hyperlink r:id="rId141">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42"/>
    <w:bookmarkStart w:id="144" w:name="ref-flannery-sutherland2022"/>
    <w:p>
      <w:pPr>
        <w:pStyle w:val="Bibliography"/>
      </w:pPr>
      <w:r>
        <w:t xml:space="preserve">Flannery-Sutherland, J. T., D. Silvestro, and M. J. Benton. 2022.</w:t>
      </w:r>
      <w:r>
        <w:t xml:space="preserve"> </w:t>
      </w:r>
      <w:hyperlink r:id="rId143">
        <w:r>
          <w:rPr>
            <w:rStyle w:val="Hyperlink"/>
          </w:rPr>
          <w:t xml:space="preserve">Global diversity dynamics in the fossil record are regionally heterogeneous</w:t>
        </w:r>
      </w:hyperlink>
      <w:r>
        <w:t xml:space="preserve">. Nature Communications 13:2751.</w:t>
      </w:r>
    </w:p>
    <w:bookmarkEnd w:id="144"/>
    <w:bookmarkStart w:id="146" w:name="ref-foote1993"/>
    <w:p>
      <w:pPr>
        <w:pStyle w:val="Bibliography"/>
      </w:pPr>
      <w:r>
        <w:t xml:space="preserve">Foote, M. 1993.</w:t>
      </w:r>
      <w:r>
        <w:t xml:space="preserve"> </w:t>
      </w:r>
      <w:hyperlink r:id="rId145">
        <w:r>
          <w:rPr>
            <w:rStyle w:val="Hyperlink"/>
          </w:rPr>
          <w:t xml:space="preserve">Discordance and concordance between morphological and taxonomic diversity</w:t>
        </w:r>
      </w:hyperlink>
      <w:r>
        <w:t xml:space="preserve">. Paleobiology 19:185–204.</w:t>
      </w:r>
    </w:p>
    <w:bookmarkEnd w:id="146"/>
    <w:bookmarkStart w:id="148" w:name="ref-gould1977"/>
    <w:p>
      <w:pPr>
        <w:pStyle w:val="Bibliography"/>
      </w:pPr>
      <w:r>
        <w:t xml:space="preserve">Gould, S. J., and N. Eldredge. 1977.</w:t>
      </w:r>
      <w:r>
        <w:t xml:space="preserve"> </w:t>
      </w:r>
      <w:hyperlink r:id="rId147">
        <w:r>
          <w:rPr>
            <w:rStyle w:val="Hyperlink"/>
          </w:rPr>
          <w:t xml:space="preserve">Punctuated equilibria: the tempo and mode of evolution reconsidered</w:t>
        </w:r>
      </w:hyperlink>
      <w:r>
        <w:t xml:space="preserve">. Paleobiology 3:115–151.</w:t>
      </w:r>
    </w:p>
    <w:bookmarkEnd w:id="148"/>
    <w:bookmarkStart w:id="150" w:name="ref-guayasamin2024"/>
    <w:p>
      <w:pPr>
        <w:pStyle w:val="Bibliography"/>
      </w:pPr>
      <w:r>
        <w:t xml:space="preserve">Guayasamin, J. M., C. C. Ribas, A. C. Carnaval, J. D. Carrillo, C. Hoorn, L. G. Lohmann, D. Riff, C. Ulloa Ulloa, and J. S. Albert. 2024.</w:t>
      </w:r>
      <w:r>
        <w:t xml:space="preserve"> </w:t>
      </w:r>
      <w:hyperlink r:id="rId149">
        <w:r>
          <w:rPr>
            <w:rStyle w:val="Hyperlink"/>
          </w:rPr>
          <w:t xml:space="preserve">Evolution of Amazonian biodiversity: A review</w:t>
        </w:r>
      </w:hyperlink>
      <w:r>
        <w:t xml:space="preserve">. Acta Amazonica 54:e54bc21360.</w:t>
      </w:r>
    </w:p>
    <w:bookmarkEnd w:id="150"/>
    <w:bookmarkStart w:id="152" w:name="ref-guinot2026"/>
    <w:p>
      <w:pPr>
        <w:pStyle w:val="Bibliography"/>
      </w:pPr>
      <w:r>
        <w:t xml:space="preserve">Guinot, G., S. Adnet, G. Cuny, I. Feichtinger, K. Shimada, M. Siversson, C. J. Underwood, R. Vullo, D. J. Ward, and F. L. Condamine. 2026. Fossil-based analyses of clades</w:t>
      </w:r>
      <w:r>
        <w:t xml:space="preserve">’</w:t>
      </w:r>
      <w:r>
        <w:t xml:space="preserve"> </w:t>
      </w:r>
      <w:r>
        <w:t xml:space="preserve">diversification patterns require taxonomic expertise and appropriate methodology, doi:</w:t>
      </w:r>
      <w:r>
        <w:t xml:space="preserve"> </w:t>
      </w:r>
      <w:hyperlink r:id="rId151">
        <w:r>
          <w:rPr>
            <w:rStyle w:val="Hyperlink"/>
          </w:rPr>
          <w:t xml:space="preserve">10.64898/2026.02.27.708174</w:t>
        </w:r>
      </w:hyperlink>
      <w:r>
        <w:t xml:space="preserve">.</w:t>
      </w:r>
    </w:p>
    <w:bookmarkEnd w:id="152"/>
    <w:bookmarkStart w:id="154" w:name="ref-hagen2018"/>
    <w:p>
      <w:pPr>
        <w:pStyle w:val="Bibliography"/>
      </w:pPr>
      <w:r>
        <w:t xml:space="preserve">Hagen, O., T. Andermann, T. B. Quental, A. Antonelli, and D. Silvestro. 2018.</w:t>
      </w:r>
      <w:r>
        <w:t xml:space="preserve"> </w:t>
      </w:r>
      <w:hyperlink r:id="rId153">
        <w:r>
          <w:rPr>
            <w:rStyle w:val="Hyperlink"/>
          </w:rPr>
          <w:t xml:space="preserve">Estimating age-dependent extinction: Contrasting evidence from fossils and phylogenies</w:t>
        </w:r>
      </w:hyperlink>
      <w:r>
        <w:t xml:space="preserve">. Systematic Biology 67:458–474.</w:t>
      </w:r>
    </w:p>
    <w:bookmarkEnd w:id="154"/>
    <w:bookmarkStart w:id="156" w:name="ref-hauffe2024"/>
    <w:p>
      <w:pPr>
        <w:pStyle w:val="Bibliography"/>
      </w:pPr>
      <w:r>
        <w:t xml:space="preserve">Hauffe, T., J. L. Cantalapiedra, and D. Silvestro. 2024.</w:t>
      </w:r>
      <w:r>
        <w:t xml:space="preserve"> </w:t>
      </w:r>
      <w:hyperlink r:id="rId155">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56"/>
    <w:bookmarkStart w:id="158" w:name="ref-hernández2005"/>
    <w:p>
      <w:pPr>
        <w:pStyle w:val="Bibliography"/>
      </w:pPr>
      <w:r>
        <w:t xml:space="preserve">Hernández, R. M., T. E. Jordan, A. Dalenz Farjat, L. Echavarría, B. D. Idleman, and J. H. Reynolds. 2005.</w:t>
      </w:r>
      <w:r>
        <w:t xml:space="preserve"> </w:t>
      </w:r>
      <w:hyperlink r:id="rId157">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58"/>
    <w:bookmarkStart w:id="160" w:name="ref-hoorn2022"/>
    <w:p>
      <w:pPr>
        <w:pStyle w:val="Bibliography"/>
      </w:pPr>
      <w:r>
        <w:t xml:space="preserve">Hoorn, C., L. M. Boschman, T. Kukla, M. Sciumbata, and P. Val. 2022.</w:t>
      </w:r>
      <w:r>
        <w:t xml:space="preserve"> </w:t>
      </w:r>
      <w:hyperlink r:id="rId159">
        <w:r>
          <w:rPr>
            <w:rStyle w:val="Hyperlink"/>
          </w:rPr>
          <w:t xml:space="preserve">The miocene wetland of western amazonia and its role in neotropical biogeography</w:t>
        </w:r>
      </w:hyperlink>
      <w:r>
        <w:t xml:space="preserve">. Botanical Journal of the Linnean Society 199:25–35.</w:t>
      </w:r>
    </w:p>
    <w:bookmarkEnd w:id="160"/>
    <w:bookmarkStart w:id="162" w:name="ref-hoorn1995"/>
    <w:p>
      <w:pPr>
        <w:pStyle w:val="Bibliography"/>
      </w:pPr>
      <w:r>
        <w:t xml:space="preserve">Hoorn, C., J. Guerrero, G. A. Sarmiento, and M. A. Lorente. 1995.</w:t>
      </w:r>
      <w:r>
        <w:t xml:space="preserve"> </w:t>
      </w:r>
      <w:hyperlink r:id="rId161">
        <w:r>
          <w:rPr>
            <w:rStyle w:val="Hyperlink"/>
          </w:rPr>
          <w:t xml:space="preserve">Andean tectonics as a cause for changing drainage patterns in Miocene northern South America</w:t>
        </w:r>
      </w:hyperlink>
      <w:r>
        <w:t xml:space="preserve">. Geology 23:237.</w:t>
      </w:r>
    </w:p>
    <w:bookmarkEnd w:id="162"/>
    <w:bookmarkStart w:id="164" w:name="ref-hoorn2023"/>
    <w:p>
      <w:pPr>
        <w:pStyle w:val="Bibliography"/>
      </w:pPr>
      <w:r>
        <w:t xml:space="preserve">Hoorn, C., L. G. Lohmann, L. M. Boschman, and F. L. Condamine. 2023.</w:t>
      </w:r>
      <w:r>
        <w:t xml:space="preserve"> </w:t>
      </w:r>
      <w:hyperlink r:id="rId163">
        <w:r>
          <w:rPr>
            <w:rStyle w:val="Hyperlink"/>
          </w:rPr>
          <w:t xml:space="preserve">Neogene History of the Amazonian Flora: A Perspective Based on Geological, Palynological, and Molecular Phylogenetic Data</w:t>
        </w:r>
      </w:hyperlink>
      <w:r>
        <w:t xml:space="preserve">. Annual Review of Earth and Planetary Sciences 51:419–446.</w:t>
      </w:r>
    </w:p>
    <w:bookmarkEnd w:id="164"/>
    <w:bookmarkStart w:id="166"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65">
        <w:r>
          <w:rPr>
            <w:rStyle w:val="Hyperlink"/>
          </w:rPr>
          <w:t xml:space="preserve">Amazonia through time: Andean uplift, climate change, landscape evolution, and biodiversity</w:t>
        </w:r>
      </w:hyperlink>
      <w:r>
        <w:t xml:space="preserve">. Science 330:927–931.</w:t>
      </w:r>
    </w:p>
    <w:bookmarkEnd w:id="166"/>
    <w:bookmarkStart w:id="168" w:name="ref-hughes2013"/>
    <w:p>
      <w:pPr>
        <w:pStyle w:val="Bibliography"/>
      </w:pPr>
      <w:r>
        <w:t xml:space="preserve">Hughes, M., S. Gerber, and M. A. Wills. 2013.</w:t>
      </w:r>
      <w:r>
        <w:t xml:space="preserve"> </w:t>
      </w:r>
      <w:hyperlink r:id="rId167">
        <w:r>
          <w:rPr>
            <w:rStyle w:val="Hyperlink"/>
          </w:rPr>
          <w:t xml:space="preserve">Clades reach highest morphological disparity early in their evolution</w:t>
        </w:r>
      </w:hyperlink>
      <w:r>
        <w:t xml:space="preserve">. Proceedings of the National Academy of Sciences 110:13875–13879.</w:t>
      </w:r>
    </w:p>
    <w:bookmarkEnd w:id="168"/>
    <w:bookmarkStart w:id="170" w:name="ref-hullot2025"/>
    <w:p>
      <w:pPr>
        <w:pStyle w:val="Bibliography"/>
      </w:pPr>
      <w:r>
        <w:t xml:space="preserve">Hullot, M., C. Robinet, Q. Vautrin, R. Tabuce, P.-O. Antoine, G. Merceron, and F. Lihoreau. 2025.</w:t>
      </w:r>
      <w:r>
        <w:t xml:space="preserve"> </w:t>
      </w:r>
      <w:hyperlink r:id="rId169">
        <w:r>
          <w:rPr>
            <w:rStyle w:val="Hyperlink"/>
          </w:rPr>
          <w:t xml:space="preserve">Evolution of dietary preferences of the lophiodontidae (mammalia, perissodactyla) from southern france</w:t>
        </w:r>
      </w:hyperlink>
      <w:r>
        <w:t xml:space="preserve">. Palaeogeography, Palaeoclimatology, Palaeoecology 675:113076.</w:t>
      </w:r>
    </w:p>
    <w:bookmarkEnd w:id="170"/>
    <w:bookmarkStart w:id="172" w:name="ref-jablonski2017"/>
    <w:p>
      <w:pPr>
        <w:pStyle w:val="Bibliography"/>
      </w:pPr>
      <w:r>
        <w:t xml:space="preserve">Jablonski, D. 2017.</w:t>
      </w:r>
      <w:r>
        <w:t xml:space="preserve"> </w:t>
      </w:r>
      <w:hyperlink r:id="rId171">
        <w:r>
          <w:rPr>
            <w:rStyle w:val="Hyperlink"/>
          </w:rPr>
          <w:t xml:space="preserve">Approaches to Macroevolution: 2. Sorting of Variation, Some Overarching Issues, and General Conclusions</w:t>
        </w:r>
      </w:hyperlink>
      <w:r>
        <w:t xml:space="preserve">. Evolutionary Biology 44:451–475.</w:t>
      </w:r>
    </w:p>
    <w:bookmarkEnd w:id="172"/>
    <w:bookmarkStart w:id="173"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73"/>
    <w:bookmarkStart w:id="175"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74">
        <w:r>
          <w:rPr>
            <w:rStyle w:val="Hyperlink"/>
          </w:rPr>
          <w:t xml:space="preserve">Miocene flooding events of western amazonia</w:t>
        </w:r>
      </w:hyperlink>
      <w:r>
        <w:t xml:space="preserve">. Science Advances 3:e1601693.</w:t>
      </w:r>
    </w:p>
    <w:bookmarkEnd w:id="175"/>
    <w:bookmarkStart w:id="177" w:name="ref-jardine2012"/>
    <w:p>
      <w:pPr>
        <w:pStyle w:val="Bibliography"/>
      </w:pPr>
      <w:r>
        <w:t xml:space="preserve">Jardine, P. E., C. M. Janis, S. Sahney, and M. J. Benton. 2012.</w:t>
      </w:r>
      <w:r>
        <w:t xml:space="preserve"> </w:t>
      </w:r>
      <w:hyperlink r:id="rId176">
        <w:r>
          <w:rPr>
            <w:rStyle w:val="Hyperlink"/>
          </w:rPr>
          <w:t xml:space="preserve">Grit not grass: Concordant patterns of early origin of hypsodonty in great plains ungulates and glires</w:t>
        </w:r>
      </w:hyperlink>
      <w:r>
        <w:t xml:space="preserve">. Palaeogeography, Palaeoclimatology, Palaeoecology 365-366:1–10.</w:t>
      </w:r>
    </w:p>
    <w:bookmarkEnd w:id="177"/>
    <w:bookmarkStart w:id="179" w:name="ref-jouault_ants_2024"/>
    <w:p>
      <w:pPr>
        <w:pStyle w:val="Bibliography"/>
      </w:pPr>
      <w:r>
        <w:t xml:space="preserve">Jouault, C., F. L. Condamine, F. Legendre, and V. Perrichot. 2024.</w:t>
      </w:r>
      <w:r>
        <w:t xml:space="preserve"> </w:t>
      </w:r>
      <w:hyperlink r:id="rId178">
        <w:r>
          <w:rPr>
            <w:rStyle w:val="Hyperlink"/>
          </w:rPr>
          <w:t xml:space="preserve">The angiosperm terrestrial revolution buffered ants against extinction</w:t>
        </w:r>
      </w:hyperlink>
      <w:r>
        <w:t xml:space="preserve">. Proc. Nat. Acad. Sc. U.S.A 121:e2317795121. Proceedings of the National Academy of Sciences.</w:t>
      </w:r>
    </w:p>
    <w:bookmarkEnd w:id="179"/>
    <w:bookmarkStart w:id="181" w:name="ref-kass1995"/>
    <w:p>
      <w:pPr>
        <w:pStyle w:val="Bibliography"/>
      </w:pPr>
      <w:r>
        <w:t xml:space="preserve">Kass, R. E., and A. E. Raftery. 1995.</w:t>
      </w:r>
      <w:r>
        <w:t xml:space="preserve"> </w:t>
      </w:r>
      <w:hyperlink r:id="rId180">
        <w:r>
          <w:rPr>
            <w:rStyle w:val="Hyperlink"/>
          </w:rPr>
          <w:t xml:space="preserve">Bayes factors</w:t>
        </w:r>
      </w:hyperlink>
      <w:r>
        <w:t xml:space="preserve">. Journal of the American Statistical Association 90:773–795.</w:t>
      </w:r>
    </w:p>
    <w:bookmarkEnd w:id="181"/>
    <w:bookmarkStart w:id="183" w:name="ref-lehtonen2017"/>
    <w:p>
      <w:pPr>
        <w:pStyle w:val="Bibliography"/>
      </w:pPr>
      <w:r>
        <w:t xml:space="preserve">Lehtonen, S., D. Silvestro, D. N. Karger, C. Scotese, H. Tuomisto, M. Kessler, C. Peña, N. Wahlberg, and A. Antonelli. 2017.</w:t>
      </w:r>
      <w:r>
        <w:t xml:space="preserve"> </w:t>
      </w:r>
      <w:hyperlink r:id="rId182">
        <w:r>
          <w:rPr>
            <w:rStyle w:val="Hyperlink"/>
          </w:rPr>
          <w:t xml:space="preserve">Environmentally driven extinction and opportunistic origination explain fern diversification patterns</w:t>
        </w:r>
      </w:hyperlink>
      <w:r>
        <w:t xml:space="preserve">. Scientific Reports 7:4831.</w:t>
      </w:r>
    </w:p>
    <w:bookmarkEnd w:id="183"/>
    <w:bookmarkStart w:id="185" w:name="ref-liow2008"/>
    <w:p>
      <w:pPr>
        <w:pStyle w:val="Bibliography"/>
      </w:pPr>
      <w:r>
        <w:t xml:space="preserve">Liow, L. H., M. Fortelius, E. Bingham, K. Lintulaakso, H. Mannila, L. Flynn, and N. Chr. Stenseth. 2008.</w:t>
      </w:r>
      <w:r>
        <w:t xml:space="preserve"> </w:t>
      </w:r>
      <w:hyperlink r:id="rId184">
        <w:r>
          <w:rPr>
            <w:rStyle w:val="Hyperlink"/>
          </w:rPr>
          <w:t xml:space="preserve">Higher origination and extinction rates in larger mammals</w:t>
        </w:r>
      </w:hyperlink>
      <w:r>
        <w:t xml:space="preserve">. Proceedings of the National Academy of Sciences 105:6097–6102.</w:t>
      </w:r>
    </w:p>
    <w:bookmarkEnd w:id="185"/>
    <w:bookmarkStart w:id="187" w:name="ref-liow2010"/>
    <w:p>
      <w:pPr>
        <w:pStyle w:val="Bibliography"/>
      </w:pPr>
      <w:r>
        <w:t xml:space="preserve">Liow, L. H., T. B. Quental, and C. R. Marshall. 2010.</w:t>
      </w:r>
      <w:r>
        <w:t xml:space="preserve"> </w:t>
      </w:r>
      <w:hyperlink r:id="rId186">
        <w:r>
          <w:rPr>
            <w:rStyle w:val="Hyperlink"/>
          </w:rPr>
          <w:t xml:space="preserve">When can decreasing diversification rates be detected with molecular phylogenies and the fossil record?</w:t>
        </w:r>
      </w:hyperlink>
      <w:r>
        <w:t xml:space="preserve"> Systematic Biology 59:646–659.</w:t>
      </w:r>
    </w:p>
    <w:bookmarkEnd w:id="187"/>
    <w:bookmarkStart w:id="189" w:name="ref-macfadden2000"/>
    <w:p>
      <w:pPr>
        <w:pStyle w:val="Bibliography"/>
      </w:pPr>
      <w:r>
        <w:t xml:space="preserve">MacFadden, B. J. 2000.</w:t>
      </w:r>
      <w:r>
        <w:t xml:space="preserve"> </w:t>
      </w:r>
      <w:hyperlink r:id="rId188">
        <w:r>
          <w:rPr>
            <w:rStyle w:val="Hyperlink"/>
          </w:rPr>
          <w:t xml:space="preserve">Cenozoic mammalian herbivores from the americas: Reconstructing ancient diets and terrestrial communities</w:t>
        </w:r>
      </w:hyperlink>
      <w:r>
        <w:t xml:space="preserve">. Annual Review of Ecology and Systematics 31:33–59.</w:t>
      </w:r>
    </w:p>
    <w:bookmarkEnd w:id="189"/>
    <w:bookmarkStart w:id="191" w:name="ref-macphee2011"/>
    <w:p>
      <w:pPr>
        <w:pStyle w:val="Bibliography"/>
      </w:pPr>
      <w:r>
        <w:t xml:space="preserve">MacPhee, R. D. E. 2011.</w:t>
      </w:r>
      <w:r>
        <w:t xml:space="preserve"> </w:t>
      </w:r>
      <w:hyperlink r:id="rId190">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91"/>
    <w:bookmarkStart w:id="193" w:name="ref-maestri2017"/>
    <w:p>
      <w:pPr>
        <w:pStyle w:val="Bibliography"/>
      </w:pPr>
      <w:r>
        <w:t xml:space="preserve">Maestri, R., L. R. Monteiro, R. Fornel, N. S. Upham, B. D. Patterson, and T. R. O. de Freitas. 2017.</w:t>
      </w:r>
      <w:r>
        <w:t xml:space="preserve"> </w:t>
      </w:r>
      <w:hyperlink r:id="rId192">
        <w:r>
          <w:rPr>
            <w:rStyle w:val="Hyperlink"/>
          </w:rPr>
          <w:t xml:space="preserve">The ecology of a continental evolutionary radiation: Is the radiation of sigmodontine rodents adaptive?</w:t>
        </w:r>
      </w:hyperlink>
      <w:r>
        <w:t xml:space="preserve"> Evolution 71:610–632.</w:t>
      </w:r>
    </w:p>
    <w:bookmarkEnd w:id="193"/>
    <w:bookmarkStart w:id="195" w:name="ref-marion_bioluminescence_2025"/>
    <w:p>
      <w:pPr>
        <w:pStyle w:val="Bibliography"/>
      </w:pPr>
      <w:r>
        <w:t xml:space="preserve">Marion, A. F. P., F. L. Condamine, and G. Guinot. 2025.</w:t>
      </w:r>
      <w:r>
        <w:t xml:space="preserve"> </w:t>
      </w:r>
      <w:hyperlink r:id="rId194">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95"/>
    <w:bookmarkStart w:id="197" w:name="ref-marivaux2022"/>
    <w:p>
      <w:pPr>
        <w:pStyle w:val="Bibliography"/>
      </w:pPr>
      <w:r>
        <w:t xml:space="preserve">Marivaux, L., L. W. V. López, M. Boivin, L. Da Cunha, P.-H. Fabre, R. Joannes-Boyau, G. Maincent, P. Münch, N. S. Stutz, J. Vélez-Juarbe, and P.-O. Antoine. 2022.</w:t>
      </w:r>
      <w:r>
        <w:t xml:space="preserve"> </w:t>
      </w:r>
      <w:hyperlink r:id="rId196">
        <w:r>
          <w:rPr>
            <w:rStyle w:val="Hyperlink"/>
          </w:rPr>
          <w:t xml:space="preserve">Incisor enamel microstructure of West Indian caviomorph hystricognathous rodents (Octodontoidea and Chinchilloidea)</w:t>
        </w:r>
      </w:hyperlink>
      <w:r>
        <w:t xml:space="preserve">. Journal of Mammalian Evolution 29:969–995.</w:t>
      </w:r>
    </w:p>
    <w:bookmarkEnd w:id="197"/>
    <w:bookmarkStart w:id="199"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98">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99"/>
    <w:bookmarkStart w:id="201" w:name="ref-marshall1982"/>
    <w:p>
      <w:pPr>
        <w:pStyle w:val="Bibliography"/>
      </w:pPr>
      <w:r>
        <w:t xml:space="preserve">Marshall, L. G., S. D. Webb, J. J. Sepkoski, and D. M. Raup. 1982.</w:t>
      </w:r>
      <w:r>
        <w:t xml:space="preserve"> </w:t>
      </w:r>
      <w:hyperlink r:id="rId200">
        <w:r>
          <w:rPr>
            <w:rStyle w:val="Hyperlink"/>
          </w:rPr>
          <w:t xml:space="preserve">Mammalian evolution and the great american interchange</w:t>
        </w:r>
      </w:hyperlink>
      <w:r>
        <w:t xml:space="preserve">. Science 215:1351–1357.</w:t>
      </w:r>
    </w:p>
    <w:bookmarkEnd w:id="201"/>
    <w:bookmarkStart w:id="203" w:name="ref-mcfarlane1998"/>
    <w:p>
      <w:pPr>
        <w:pStyle w:val="Bibliography"/>
      </w:pPr>
      <w:r>
        <w:t xml:space="preserve">McFarlane, D. A., R. D. E. MacPhee, and D. C. Ford. 1998.</w:t>
      </w:r>
      <w:r>
        <w:t xml:space="preserve"> </w:t>
      </w:r>
      <w:hyperlink r:id="rId202">
        <w:r>
          <w:rPr>
            <w:rStyle w:val="Hyperlink"/>
          </w:rPr>
          <w:t xml:space="preserve">Body Size Variability and a Sangamonian Extinction Model for Amblyrhiza,a West Indian Megafaunal Rodent</w:t>
        </w:r>
      </w:hyperlink>
      <w:r>
        <w:t xml:space="preserve">. Quaternary Research 50:80–89.</w:t>
      </w:r>
    </w:p>
    <w:bookmarkEnd w:id="203"/>
    <w:bookmarkStart w:id="205" w:name="ref-meiri2007"/>
    <w:p>
      <w:pPr>
        <w:pStyle w:val="Bibliography"/>
      </w:pPr>
      <w:r>
        <w:t xml:space="preserve">Meiri, S., N. Cooper, and A. Purvis. 2007.</w:t>
      </w:r>
      <w:r>
        <w:t xml:space="preserve"> </w:t>
      </w:r>
      <w:hyperlink r:id="rId204">
        <w:r>
          <w:rPr>
            <w:rStyle w:val="Hyperlink"/>
          </w:rPr>
          <w:t xml:space="preserve">The island rule: Made to be broken?</w:t>
        </w:r>
      </w:hyperlink>
      <w:r>
        <w:t xml:space="preserve"> Proceedings of the Royal Society B: Biological Sciences 275:141–148.</w:t>
      </w:r>
    </w:p>
    <w:bookmarkEnd w:id="205"/>
    <w:bookmarkStart w:id="207" w:name="ref-meseguer2020"/>
    <w:p>
      <w:pPr>
        <w:pStyle w:val="Bibliography"/>
      </w:pPr>
      <w:r>
        <w:t xml:space="preserve">Meseguer, A. S., and F. L. Condamine. 2020.</w:t>
      </w:r>
      <w:r>
        <w:t xml:space="preserve"> </w:t>
      </w:r>
      <w:hyperlink r:id="rId206">
        <w:r>
          <w:rPr>
            <w:rStyle w:val="Hyperlink"/>
          </w:rPr>
          <w:t xml:space="preserve">Ancient tropical extinctions at high latitudes contributed to the latitudinal diversity gradient</w:t>
        </w:r>
      </w:hyperlink>
      <w:r>
        <w:t xml:space="preserve">. Evolution 74:1966–1987.</w:t>
      </w:r>
    </w:p>
    <w:bookmarkEnd w:id="207"/>
    <w:bookmarkStart w:id="209" w:name="ref-miller2020"/>
    <w:p>
      <w:pPr>
        <w:pStyle w:val="Bibliography"/>
      </w:pPr>
      <w:r>
        <w:t xml:space="preserve">Miller, K. G., J. V. Browning, W. J. Schmelz, R. E. Kopp, G. S. Mountain, and J. D. Wright. 2020.</w:t>
      </w:r>
      <w:r>
        <w:t xml:space="preserve"> </w:t>
      </w:r>
      <w:hyperlink r:id="rId208">
        <w:r>
          <w:rPr>
            <w:rStyle w:val="Hyperlink"/>
          </w:rPr>
          <w:t xml:space="preserve">Cenozoic sea-level and cryospheric evolution from deep-sea geochemical and continental margin records</w:t>
        </w:r>
      </w:hyperlink>
      <w:r>
        <w:t xml:space="preserve">. Science Advances 6:eaaz1346.</w:t>
      </w:r>
    </w:p>
    <w:bookmarkEnd w:id="209"/>
    <w:bookmarkStart w:id="211" w:name="ref-missagia2023"/>
    <w:p>
      <w:pPr>
        <w:pStyle w:val="Bibliography"/>
      </w:pPr>
      <w:r>
        <w:t xml:space="preserve">Missagia, R. V., D. M. Casali, B. D. Patterson, and F. A. Perini. 2023.</w:t>
      </w:r>
      <w:r>
        <w:t xml:space="preserve"> </w:t>
      </w:r>
      <w:hyperlink r:id="rId210">
        <w:r>
          <w:rPr>
            <w:rStyle w:val="Hyperlink"/>
          </w:rPr>
          <w:t xml:space="preserve">Decoupled Patterns of Diversity and Disparity Characterize an Ecologically Specialized Lineage of Neotropical Cricetids</w:t>
        </w:r>
      </w:hyperlink>
      <w:r>
        <w:t xml:space="preserve">. Evolutionary Biology 50:181–196.</w:t>
      </w:r>
    </w:p>
    <w:bookmarkEnd w:id="211"/>
    <w:bookmarkStart w:id="213" w:name="ref-mones1982"/>
    <w:p>
      <w:pPr>
        <w:pStyle w:val="Bibliography"/>
      </w:pPr>
      <w:r>
        <w:t xml:space="preserve">Mones, A. 1982.</w:t>
      </w:r>
      <w:r>
        <w:t xml:space="preserve"> </w:t>
      </w:r>
      <w:hyperlink r:id="rId212">
        <w:r>
          <w:rPr>
            <w:rStyle w:val="Hyperlink"/>
          </w:rPr>
          <w:t xml:space="preserve">An equivocal nomenclature: What means hypsodonty?</w:t>
        </w:r>
      </w:hyperlink>
      <w:r>
        <w:t xml:space="preserve"> Paläontologische Zeitschrift 56:107–111.</w:t>
      </w:r>
    </w:p>
    <w:bookmarkEnd w:id="213"/>
    <w:bookmarkStart w:id="215"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214">
        <w:r>
          <w:rPr>
            <w:rStyle w:val="Hyperlink"/>
          </w:rPr>
          <w:t xml:space="preserve">10.1146/annurev-ecolsys-102722-020508</w:t>
        </w:r>
      </w:hyperlink>
      <w:r>
        <w:t xml:space="preserve">.</w:t>
      </w:r>
    </w:p>
    <w:bookmarkEnd w:id="215"/>
    <w:bookmarkStart w:id="217" w:name="ref-muñoz2023"/>
    <w:p>
      <w:pPr>
        <w:pStyle w:val="Bibliography"/>
      </w:pPr>
      <w:r>
        <w:t xml:space="preserve">Muñoz, C. O. R., R. Bonini, S. Hemming, M. Cenizo, U. F. J. Pardiñas, and F. J. Prevosti. 2023.</w:t>
      </w:r>
      <w:r>
        <w:t xml:space="preserve"> </w:t>
      </w:r>
      <w:hyperlink r:id="rId216">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17"/>
    <w:bookmarkStart w:id="218" w:name="ref-nasif2013"/>
    <w:p>
      <w:pPr>
        <w:pStyle w:val="Bibliography"/>
      </w:pPr>
      <w:r>
        <w:t xml:space="preserve">Nasif, N. L., A. M. Candela, L. Rasia, and M. C. M. Jaén. 2013. Actualización del conocimiento de los roedores del Mioceno tardío de la Mesopotamia argentina: aspectos sistemáticos, evolutivos y paleobiogeográficos. Pp. 147–163</w:t>
      </w:r>
      <w:r>
        <w:t xml:space="preserve"> </w:t>
      </w:r>
      <w:r>
        <w:rPr>
          <w:i/>
          <w:iCs/>
        </w:rPr>
        <w:t xml:space="preserve">in</w:t>
      </w:r>
      <w:r>
        <w:t xml:space="preserve">.</w:t>
      </w:r>
    </w:p>
    <w:bookmarkEnd w:id="218"/>
    <w:bookmarkStart w:id="220" w:name="ref-ogg2020"/>
    <w:p>
      <w:pPr>
        <w:pStyle w:val="Bibliography"/>
      </w:pPr>
      <w:r>
        <w:t xml:space="preserve">Ogg, J. G. 2020.</w:t>
      </w:r>
      <w:r>
        <w:t xml:space="preserve"> </w:t>
      </w:r>
      <w:hyperlink r:id="rId219">
        <w:r>
          <w:rPr>
            <w:rStyle w:val="Hyperlink"/>
          </w:rPr>
          <w:t xml:space="preserve">Geomagnetic polarity time scale</w:t>
        </w:r>
      </w:hyperlink>
      <w:r>
        <w:t xml:space="preserve">. Pp. 159–192</w:t>
      </w:r>
      <w:r>
        <w:t xml:space="preserve"> </w:t>
      </w:r>
      <w:r>
        <w:rPr>
          <w:i/>
          <w:iCs/>
        </w:rPr>
        <w:t xml:space="preserve">in</w:t>
      </w:r>
      <w:r>
        <w:t xml:space="preserve"> </w:t>
      </w:r>
      <w:r>
        <w:t xml:space="preserve">F. M. Gradstein, J. G. Ogg, M. D. Schmitz, and G. M. Ogg, eds. Geologic time scale 2020. Elsevier.</w:t>
      </w:r>
    </w:p>
    <w:bookmarkEnd w:id="220"/>
    <w:bookmarkStart w:id="222" w:name="ref-paiva2026"/>
    <w:p>
      <w:pPr>
        <w:pStyle w:val="Bibliography"/>
      </w:pPr>
      <w:r>
        <w:t xml:space="preserve">Paiva, A. L., P. Godoy, D. dos Santos, M. Langer, and P. Mannion. 2026.</w:t>
      </w:r>
      <w:r>
        <w:t xml:space="preserve"> </w:t>
      </w:r>
      <w:hyperlink r:id="rId221">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222"/>
    <w:bookmarkStart w:id="224" w:name="ref-patton2015"/>
    <w:p>
      <w:pPr>
        <w:pStyle w:val="Bibliography"/>
      </w:pPr>
      <w:r>
        <w:t xml:space="preserve">Patton, J. L., U. F. J. Pardiñas, and G. D’Elía. 2015.</w:t>
      </w:r>
      <w:r>
        <w:t xml:space="preserve"> </w:t>
      </w:r>
      <w:hyperlink r:id="rId223">
        <w:r>
          <w:rPr>
            <w:rStyle w:val="Hyperlink"/>
          </w:rPr>
          <w:t xml:space="preserve">Mammals of South America, Volume 2: Rodents</w:t>
        </w:r>
      </w:hyperlink>
      <w:r>
        <w:t xml:space="preserve">. University of Chicago Press, Chicago, IL.</w:t>
      </w:r>
    </w:p>
    <w:bookmarkEnd w:id="224"/>
    <w:bookmarkStart w:id="226" w:name="ref-pérez_new_2010"/>
    <w:p>
      <w:pPr>
        <w:pStyle w:val="Bibliography"/>
      </w:pPr>
      <w:r>
        <w:t xml:space="preserve">Pérez, M. E. 2010.</w:t>
      </w:r>
      <w:r>
        <w:t xml:space="preserve"> </w:t>
      </w:r>
      <w:hyperlink r:id="rId225">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26"/>
    <w:bookmarkStart w:id="228" w:name="ref-pimiento2019"/>
    <w:p>
      <w:pPr>
        <w:pStyle w:val="Bibliography"/>
      </w:pPr>
      <w:r>
        <w:t xml:space="preserve">Pimiento, C., J. L. Cantalapiedra, K. Shimada, D. J. Field, and J. B. Smaers. 2019.</w:t>
      </w:r>
      <w:r>
        <w:t xml:space="preserve"> </w:t>
      </w:r>
      <w:hyperlink r:id="rId227">
        <w:r>
          <w:rPr>
            <w:rStyle w:val="Hyperlink"/>
          </w:rPr>
          <w:t xml:space="preserve">Evolutionary pathways toward gigantism in sharks and rays</w:t>
        </w:r>
      </w:hyperlink>
      <w:r>
        <w:t xml:space="preserve">. Evolution 73:588–599.</w:t>
      </w:r>
    </w:p>
    <w:bookmarkEnd w:id="228"/>
    <w:bookmarkStart w:id="230" w:name="ref-quental2013"/>
    <w:p>
      <w:pPr>
        <w:pStyle w:val="Bibliography"/>
      </w:pPr>
      <w:r>
        <w:t xml:space="preserve">Quental, T. B., and C. R. Marshall. 2013.</w:t>
      </w:r>
      <w:r>
        <w:t xml:space="preserve"> </w:t>
      </w:r>
      <w:hyperlink r:id="rId229">
        <w:r>
          <w:rPr>
            <w:rStyle w:val="Hyperlink"/>
          </w:rPr>
          <w:t xml:space="preserve">How the red queen drives terrestrial mammals to extinction</w:t>
        </w:r>
      </w:hyperlink>
      <w:r>
        <w:t xml:space="preserve">. Science 341:290–292.</w:t>
      </w:r>
    </w:p>
    <w:bookmarkEnd w:id="230"/>
    <w:bookmarkStart w:id="232" w:name="ref-quintero_loss_2025"/>
    <w:p>
      <w:pPr>
        <w:pStyle w:val="Bibliography"/>
      </w:pPr>
      <w:r>
        <w:t xml:space="preserve">Quintero, I., J. Andréoletti, D. Silvestro, and H. Morlon. 2025.</w:t>
      </w:r>
      <w:r>
        <w:t xml:space="preserve"> </w:t>
      </w:r>
      <w:hyperlink r:id="rId231">
        <w:r>
          <w:rPr>
            <w:rStyle w:val="Hyperlink"/>
          </w:rPr>
          <w:t xml:space="preserve">Loss of macroevolutionary species fitness explains the rise and fall of clades</w:t>
        </w:r>
      </w:hyperlink>
      <w:r>
        <w:t xml:space="preserve">. Nat Ecol Evol 1–12. Nature Publishing Group.</w:t>
      </w:r>
    </w:p>
    <w:bookmarkEnd w:id="232"/>
    <w:bookmarkStart w:id="234" w:name="ref-quintero2023"/>
    <w:p>
      <w:pPr>
        <w:pStyle w:val="Bibliography"/>
      </w:pPr>
      <w:r>
        <w:t xml:space="preserve">Quintero, I., M. J. Landis, W. Jetz, and H. Morlon. 2023.</w:t>
      </w:r>
      <w:r>
        <w:t xml:space="preserve"> </w:t>
      </w:r>
      <w:hyperlink r:id="rId233">
        <w:r>
          <w:rPr>
            <w:rStyle w:val="Hyperlink"/>
          </w:rPr>
          <w:t xml:space="preserve">The build-up of the present-day tropical diversity of tetrapods</w:t>
        </w:r>
      </w:hyperlink>
      <w:r>
        <w:t xml:space="preserve">. Proceedings of the National Academy of Sciences 120:e2220672120.</w:t>
      </w:r>
    </w:p>
    <w:bookmarkEnd w:id="234"/>
    <w:bookmarkStart w:id="236" w:name="ref-rabosky2010"/>
    <w:p>
      <w:pPr>
        <w:pStyle w:val="Bibliography"/>
      </w:pPr>
      <w:r>
        <w:t xml:space="preserve">Rabosky, D. L. 2010.</w:t>
      </w:r>
      <w:r>
        <w:t xml:space="preserve"> </w:t>
      </w:r>
      <w:hyperlink r:id="rId235">
        <w:r>
          <w:rPr>
            <w:rStyle w:val="Hyperlink"/>
          </w:rPr>
          <w:t xml:space="preserve">Extinction rates should not be estimated from molecular phylogenies</w:t>
        </w:r>
      </w:hyperlink>
      <w:r>
        <w:t xml:space="preserve">. Evolution 64:1816–1824.</w:t>
      </w:r>
    </w:p>
    <w:bookmarkEnd w:id="236"/>
    <w:bookmarkStart w:id="238" w:name="ref-rabosky2013"/>
    <w:p>
      <w:pPr>
        <w:pStyle w:val="Bibliography"/>
      </w:pPr>
      <w:r>
        <w:t xml:space="preserve">Rabosky, D. L., F. Santini, J. Eastman, S. A. Smith, B. Sidlauskas, J. Chang, and M. E. Alfaro. 2013.</w:t>
      </w:r>
      <w:r>
        <w:t xml:space="preserve"> </w:t>
      </w:r>
      <w:hyperlink r:id="rId237">
        <w:r>
          <w:rPr>
            <w:rStyle w:val="Hyperlink"/>
          </w:rPr>
          <w:t xml:space="preserve">Rates of speciation and morphological evolution are correlated across the largest vertebrate radiation</w:t>
        </w:r>
      </w:hyperlink>
      <w:r>
        <w:t xml:space="preserve">. Nature Communications 4:1958.</w:t>
      </w:r>
    </w:p>
    <w:bookmarkEnd w:id="238"/>
    <w:bookmarkStart w:id="239" w:name="ref-rasia2026"/>
    <w:p>
      <w:pPr>
        <w:pStyle w:val="Bibliography"/>
      </w:pPr>
      <w:r>
        <w:t xml:space="preserve">Rasia, L. L. 2026. Reassessing the hyperdiverse dinomyid (rodentia, caviomorpha) assemblage from the late miocene ituzaingó formation (entre ríos province, argentina). Ameghiniana.</w:t>
      </w:r>
    </w:p>
    <w:bookmarkEnd w:id="239"/>
    <w:bookmarkStart w:id="241" w:name="ref-rasia_comprehensive_2021"/>
    <w:p>
      <w:pPr>
        <w:pStyle w:val="Bibliography"/>
      </w:pPr>
      <w:r>
        <w:t xml:space="preserve">Rasia, L. L., A. M. Candela, and C. Cañón. 2021.</w:t>
      </w:r>
      <w:r>
        <w:t xml:space="preserve"> </w:t>
      </w:r>
      <w:hyperlink r:id="rId240">
        <w:r>
          <w:rPr>
            <w:rStyle w:val="Hyperlink"/>
          </w:rPr>
          <w:t xml:space="preserve">Comprehensive total evidence phylogeny of chinchillids (rodentia, caviomorpha): Cheek teeth anatomy and evolution</w:t>
        </w:r>
      </w:hyperlink>
      <w:r>
        <w:t xml:space="preserve">. Journal of Anatomy 239:405–423.</w:t>
      </w:r>
    </w:p>
    <w:bookmarkEnd w:id="241"/>
    <w:bookmarkStart w:id="243" w:name="ref-rasia2024"/>
    <w:p>
      <w:pPr>
        <w:pStyle w:val="Bibliography"/>
      </w:pPr>
      <w:r>
        <w:t xml:space="preserve">Rasia, L. L., C. I. Montalvo, R. Sostillo, L. Kerber, and R. L. Tomassini. 2024.</w:t>
      </w:r>
      <w:r>
        <w:t xml:space="preserve"> </w:t>
      </w:r>
      <w:hyperlink r:id="rId242">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43"/>
    <w:bookmarkStart w:id="245" w:name="ref-raup1986"/>
    <w:p>
      <w:pPr>
        <w:pStyle w:val="Bibliography"/>
      </w:pPr>
      <w:r>
        <w:t xml:space="preserve">Raup, D. M. 1986.</w:t>
      </w:r>
      <w:r>
        <w:t xml:space="preserve"> </w:t>
      </w:r>
      <w:hyperlink r:id="rId244">
        <w:r>
          <w:rPr>
            <w:rStyle w:val="Hyperlink"/>
          </w:rPr>
          <w:t xml:space="preserve">Biological extinction in earth history</w:t>
        </w:r>
      </w:hyperlink>
      <w:r>
        <w:t xml:space="preserve">. Science 231:1528–1533.</w:t>
      </w:r>
    </w:p>
    <w:bookmarkEnd w:id="245"/>
    <w:bookmarkStart w:id="247" w:name="ref-rinderknecht2008"/>
    <w:p>
      <w:pPr>
        <w:pStyle w:val="Bibliography"/>
      </w:pPr>
      <w:r>
        <w:t xml:space="preserve">Rinderknecht, A., and R. E. Blanco. 2008.</w:t>
      </w:r>
      <w:r>
        <w:t xml:space="preserve"> </w:t>
      </w:r>
      <w:hyperlink r:id="rId246">
        <w:r>
          <w:rPr>
            <w:rStyle w:val="Hyperlink"/>
          </w:rPr>
          <w:t xml:space="preserve">The largest fossil rodent</w:t>
        </w:r>
      </w:hyperlink>
      <w:r>
        <w:t xml:space="preserve">. Proceedings of the Royal Society B: Biological Sciences 275:923–928.</w:t>
      </w:r>
    </w:p>
    <w:bookmarkEnd w:id="247"/>
    <w:bookmarkStart w:id="249" w:name="ref-robinet2020"/>
    <w:p>
      <w:pPr>
        <w:pStyle w:val="Bibliography"/>
      </w:pPr>
      <w:r>
        <w:t xml:space="preserve">Robinet, C., G. Merceron, A. M. Candela, and L. Marivaux. 2020.</w:t>
      </w:r>
      <w:r>
        <w:t xml:space="preserve"> </w:t>
      </w:r>
      <w:hyperlink r:id="rId248">
        <w:r>
          <w:rPr>
            <w:rStyle w:val="Hyperlink"/>
          </w:rPr>
          <w:t xml:space="preserve">Dental microwear texture analysis and diet in caviomorphs (rodentia) from the serra do mar atlantic forest (brazil)</w:t>
        </w:r>
      </w:hyperlink>
      <w:r>
        <w:t xml:space="preserve">. Journal of Mammalogy 101:386–402.</w:t>
      </w:r>
    </w:p>
    <w:bookmarkEnd w:id="249"/>
    <w:bookmarkStart w:id="251" w:name="ref-rowe2011"/>
    <w:p>
      <w:pPr>
        <w:pStyle w:val="Bibliography"/>
      </w:pPr>
      <w:r>
        <w:t xml:space="preserve">Rowe, K. C., K. P. Aplin, P. R. Baverstock, and C. Moritz. 2011.</w:t>
      </w:r>
      <w:r>
        <w:t xml:space="preserve"> </w:t>
      </w:r>
      <w:hyperlink r:id="rId250">
        <w:r>
          <w:rPr>
            <w:rStyle w:val="Hyperlink"/>
          </w:rPr>
          <w:t xml:space="preserve">Recent and rapid speciation with limited morphological disparity in the genus rattus</w:t>
        </w:r>
      </w:hyperlink>
      <w:r>
        <w:t xml:space="preserve">. Systematic Biology 60:188–203.</w:t>
      </w:r>
    </w:p>
    <w:bookmarkEnd w:id="251"/>
    <w:bookmarkStart w:id="253" w:name="ref-ruta2013"/>
    <w:p>
      <w:pPr>
        <w:pStyle w:val="Bibliography"/>
      </w:pPr>
      <w:r>
        <w:t xml:space="preserve">Ruta, M., K. D. Angielczyk, J. Fröbisch, and M. J. Benton. 2013.</w:t>
      </w:r>
      <w:r>
        <w:t xml:space="preserve"> </w:t>
      </w:r>
      <w:hyperlink r:id="rId252">
        <w:r>
          <w:rPr>
            <w:rStyle w:val="Hyperlink"/>
          </w:rPr>
          <w:t xml:space="preserve">Decoupling of morphological disparity and taxic diversity during the adaptive radiation of anomodont therapsids</w:t>
        </w:r>
      </w:hyperlink>
      <w:r>
        <w:t xml:space="preserve">. Proceedings of the Royal Society B: Biological Sciences 280:20131071.</w:t>
      </w:r>
    </w:p>
    <w:bookmarkEnd w:id="253"/>
    <w:bookmarkStart w:id="255" w:name="ref-salas-gismondi2015"/>
    <w:p>
      <w:pPr>
        <w:pStyle w:val="Bibliography"/>
      </w:pPr>
      <w:r>
        <w:t xml:space="preserve">Salas-Gismondi, R., J. J. Flynn, P. Baby, J. V. Tejada-Lara, F. P. Wesselingh, and P.-O. Antoine. 2015.</w:t>
      </w:r>
      <w:r>
        <w:t xml:space="preserve"> </w:t>
      </w:r>
      <w:hyperlink r:id="rId254">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55"/>
    <w:bookmarkStart w:id="257" w:name="ref-sánchez-villagra2003"/>
    <w:p>
      <w:pPr>
        <w:pStyle w:val="Bibliography"/>
      </w:pPr>
      <w:r>
        <w:t xml:space="preserve">Sánchez-Villagra, M. R., O. Aguilera, and I. Horovitz. 2003.</w:t>
      </w:r>
      <w:r>
        <w:t xml:space="preserve"> </w:t>
      </w:r>
      <w:hyperlink r:id="rId256">
        <w:r>
          <w:rPr>
            <w:rStyle w:val="Hyperlink"/>
          </w:rPr>
          <w:t xml:space="preserve">The anatomy of the world’s largest extinct rodent</w:t>
        </w:r>
      </w:hyperlink>
      <w:r>
        <w:t xml:space="preserve">. Science 301:1708–1710.</w:t>
      </w:r>
    </w:p>
    <w:bookmarkEnd w:id="257"/>
    <w:bookmarkStart w:id="259"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58">
        <w:r>
          <w:rPr>
            <w:rStyle w:val="Hyperlink"/>
          </w:rPr>
          <w:t xml:space="preserve">Biology of the sauropod dinosaurs: the evolution of gigantism</w:t>
        </w:r>
      </w:hyperlink>
      <w:r>
        <w:t xml:space="preserve">. Biological Reviews 86:117–155.</w:t>
      </w:r>
    </w:p>
    <w:bookmarkEnd w:id="259"/>
    <w:bookmarkStart w:id="261" w:name="ref-selkin2015"/>
    <w:p>
      <w:pPr>
        <w:pStyle w:val="Bibliography"/>
      </w:pPr>
      <w:r>
        <w:t xml:space="preserve">Selkin, P. A., C. A. E. Strömberg, R. Dunn, M. J. Kohn, A. A. Carlini, K. S. Davies-Vollum, and R. H. Madden. 2015.</w:t>
      </w:r>
      <w:r>
        <w:t xml:space="preserve"> </w:t>
      </w:r>
      <w:hyperlink r:id="rId260">
        <w:r>
          <w:rPr>
            <w:rStyle w:val="Hyperlink"/>
          </w:rPr>
          <w:t xml:space="preserve">Climate, dust, and fire across the eocene-oligocene transition, patagonia</w:t>
        </w:r>
      </w:hyperlink>
      <w:r>
        <w:t xml:space="preserve">. Geology 43:567–570.</w:t>
      </w:r>
    </w:p>
    <w:bookmarkEnd w:id="261"/>
    <w:bookmarkStart w:id="263" w:name="ref-silvestro_angiosperm_2015"/>
    <w:p>
      <w:pPr>
        <w:pStyle w:val="Bibliography"/>
      </w:pPr>
      <w:r>
        <w:t xml:space="preserve">Silvestro, D., B. Cascales-Miñana, C. D. Bacon, and A. Antonelli. 2015.</w:t>
      </w:r>
      <w:r>
        <w:t xml:space="preserve"> </w:t>
      </w:r>
      <w:hyperlink r:id="rId262">
        <w:r>
          <w:rPr>
            <w:rStyle w:val="Hyperlink"/>
          </w:rPr>
          <w:t xml:space="preserve">Revisiting the origin and diversification of vascular plants through a comprehensive bayesian analysis of the fossil record</w:t>
        </w:r>
      </w:hyperlink>
      <w:r>
        <w:t xml:space="preserve">. New Phytologist 207:425–436.</w:t>
      </w:r>
    </w:p>
    <w:bookmarkEnd w:id="263"/>
    <w:bookmarkStart w:id="265" w:name="ref-silvestro2019"/>
    <w:p>
      <w:pPr>
        <w:pStyle w:val="Bibliography"/>
      </w:pPr>
      <w:r>
        <w:t xml:space="preserve">Silvestro, D., N. Salamin, A. Antonelli, and X. Meyer. 2019.</w:t>
      </w:r>
      <w:r>
        <w:t xml:space="preserve"> </w:t>
      </w:r>
      <w:hyperlink r:id="rId264">
        <w:r>
          <w:rPr>
            <w:rStyle w:val="Hyperlink"/>
          </w:rPr>
          <w:t xml:space="preserve">Improved estimation of macroevolutionary rates from fossil data using a Bayesian framework</w:t>
        </w:r>
      </w:hyperlink>
      <w:r>
        <w:t xml:space="preserve">. Paleobiology 45:546–570.</w:t>
      </w:r>
    </w:p>
    <w:bookmarkEnd w:id="265"/>
    <w:bookmarkStart w:id="267" w:name="ref-silvestro2014"/>
    <w:p>
      <w:pPr>
        <w:pStyle w:val="Bibliography"/>
      </w:pPr>
      <w:r>
        <w:t xml:space="preserve">Silvestro, D., N. Salamin, and J. Schnitzler. 2014.</w:t>
      </w:r>
      <w:r>
        <w:t xml:space="preserve"> </w:t>
      </w:r>
      <w:hyperlink r:id="rId266">
        <w:r>
          <w:rPr>
            <w:rStyle w:val="Hyperlink"/>
          </w:rPr>
          <w:t xml:space="preserve">PyRate: a new program to estimate speciation and extinction rates from incomplete fossil data</w:t>
        </w:r>
      </w:hyperlink>
      <w:r>
        <w:t xml:space="preserve">. Methods in Ecology and Evolution 5:1126–1131.</w:t>
      </w:r>
    </w:p>
    <w:bookmarkEnd w:id="267"/>
    <w:bookmarkStart w:id="268" w:name="ref-simpson1980"/>
    <w:p>
      <w:pPr>
        <w:pStyle w:val="Bibliography"/>
      </w:pPr>
      <w:r>
        <w:t xml:space="preserve">Simpson, G. G. 1980. Splendid isolation : The curious history of south american mammals. Yale University Press, New Haven.</w:t>
      </w:r>
    </w:p>
    <w:bookmarkEnd w:id="268"/>
    <w:bookmarkStart w:id="269" w:name="ref-simpson1953"/>
    <w:p>
      <w:pPr>
        <w:pStyle w:val="Bibliography"/>
      </w:pPr>
      <w:r>
        <w:t xml:space="preserve">Simpson, G. G. 1953. The major features of evolution. Columbia University Press.</w:t>
      </w:r>
    </w:p>
    <w:bookmarkEnd w:id="269"/>
    <w:bookmarkStart w:id="271" w:name="ref-solórzano2021"/>
    <w:p>
      <w:pPr>
        <w:pStyle w:val="Bibliography"/>
      </w:pPr>
      <w:r>
        <w:t xml:space="preserve">Solórzano, A., and M. Núñez-Flores. 2021.</w:t>
      </w:r>
      <w:r>
        <w:t xml:space="preserve"> </w:t>
      </w:r>
      <w:hyperlink r:id="rId270">
        <w:r>
          <w:rPr>
            <w:rStyle w:val="Hyperlink"/>
          </w:rPr>
          <w:t xml:space="preserve">Evolutionary trends of body size and hypsodonty in notoungulates and their probable drivers</w:t>
        </w:r>
      </w:hyperlink>
      <w:r>
        <w:t xml:space="preserve">. Palaeogeography, Palaeoclimatology, Palaeoecology 568:110306.</w:t>
      </w:r>
    </w:p>
    <w:bookmarkEnd w:id="271"/>
    <w:bookmarkStart w:id="273" w:name="ref-solórzano2024"/>
    <w:p>
      <w:pPr>
        <w:pStyle w:val="Bibliography"/>
      </w:pPr>
      <w:r>
        <w:t xml:space="preserve">Solórzano, A., M. Núñez-Flores, and E. Rodríguez-Serrano. 2024.</w:t>
      </w:r>
      <w:r>
        <w:t xml:space="preserve"> </w:t>
      </w:r>
      <w:hyperlink r:id="rId272">
        <w:r>
          <w:rPr>
            <w:rStyle w:val="Hyperlink"/>
          </w:rPr>
          <w:t xml:space="preserve">The rise and fall of notoungulates: How andean uplift, available land area, competition, and depredation driven its diversification dynamics</w:t>
        </w:r>
      </w:hyperlink>
      <w:r>
        <w:t xml:space="preserve">. Gondwana Research 116–132.</w:t>
      </w:r>
    </w:p>
    <w:bookmarkEnd w:id="273"/>
    <w:bookmarkStart w:id="275" w:name="ref-stebbins1981"/>
    <w:p>
      <w:pPr>
        <w:pStyle w:val="Bibliography"/>
      </w:pPr>
      <w:r>
        <w:t xml:space="preserve">Stebbins, G. L. 1981.</w:t>
      </w:r>
      <w:r>
        <w:t xml:space="preserve"> </w:t>
      </w:r>
      <w:hyperlink r:id="rId274">
        <w:r>
          <w:rPr>
            <w:rStyle w:val="Hyperlink"/>
          </w:rPr>
          <w:t xml:space="preserve">Coevolution of grasses and herbivores</w:t>
        </w:r>
      </w:hyperlink>
      <w:r>
        <w:t xml:space="preserve">. Annals of the Missouri Botanical Garden 68:75–86.</w:t>
      </w:r>
    </w:p>
    <w:bookmarkEnd w:id="275"/>
    <w:bookmarkStart w:id="277" w:name="ref-tardif2025"/>
    <w:p>
      <w:pPr>
        <w:pStyle w:val="Bibliography"/>
      </w:pPr>
      <w:r>
        <w:t xml:space="preserve">Tardif, D., F. L. Condamine, S. J. R. Streiff, P. Sepulchre, and T. L. P. Couvreur. 2025.</w:t>
      </w:r>
      <w:r>
        <w:t xml:space="preserve"> </w:t>
      </w:r>
      <w:hyperlink r:id="rId276">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77"/>
    <w:bookmarkStart w:id="279" w:name="ref-tarquini2022"/>
    <w:p>
      <w:pPr>
        <w:pStyle w:val="Bibliography"/>
      </w:pPr>
      <w:r>
        <w:t xml:space="preserve">Tarquini, S. D., S. Ladevèze, and F. J. Prevosti. 2022.</w:t>
      </w:r>
      <w:r>
        <w:t xml:space="preserve"> </w:t>
      </w:r>
      <w:hyperlink r:id="rId278">
        <w:r>
          <w:rPr>
            <w:rStyle w:val="Hyperlink"/>
          </w:rPr>
          <w:t xml:space="preserve">The multicausal twilight of South American native mammalian predators (Metatheria, Sparassodonta)</w:t>
        </w:r>
      </w:hyperlink>
      <w:r>
        <w:t xml:space="preserve">. Scientific Reports 12:1224.</w:t>
      </w:r>
    </w:p>
    <w:bookmarkEnd w:id="279"/>
    <w:bookmarkStart w:id="281" w:name="ref-troyer2022"/>
    <w:p>
      <w:pPr>
        <w:pStyle w:val="Bibliography"/>
      </w:pPr>
      <w:r>
        <w:t xml:space="preserve">Troyer, E. M., R. Betancur-R, L. C. Hughes, M. Westneat, G. Carnevale, W. T. White, J. J. Pogonoski, J. C. Tyler, C. C. Baldwin, G. Ortí, A. Brinkworth, J. Clavel, and D. Arcila. 2022.</w:t>
      </w:r>
      <w:r>
        <w:t xml:space="preserve"> </w:t>
      </w:r>
      <w:hyperlink r:id="rId280">
        <w:r>
          <w:rPr>
            <w:rStyle w:val="Hyperlink"/>
          </w:rPr>
          <w:t xml:space="preserve">The impact of paleoclimatic changes on body size evolution in marine fishes</w:t>
        </w:r>
      </w:hyperlink>
      <w:r>
        <w:t xml:space="preserve">. Proceedings of the National Academy of Sciences 119:e2122486119.</w:t>
      </w:r>
    </w:p>
    <w:bookmarkEnd w:id="281"/>
    <w:bookmarkStart w:id="283" w:name="ref-upham2019"/>
    <w:p>
      <w:pPr>
        <w:pStyle w:val="Bibliography"/>
      </w:pPr>
      <w:r>
        <w:t xml:space="preserve">Upham, N. S., J. A. Esselstyn, and W. Jetz. 2019.</w:t>
      </w:r>
      <w:r>
        <w:t xml:space="preserve"> </w:t>
      </w:r>
      <w:hyperlink r:id="rId282">
        <w:r>
          <w:rPr>
            <w:rStyle w:val="Hyperlink"/>
          </w:rPr>
          <w:t xml:space="preserve">Inferring the mammal tree: Species-level sets of phylogenies for questions in ecology, evolution, and conservation</w:t>
        </w:r>
      </w:hyperlink>
      <w:r>
        <w:t xml:space="preserve">. PLOS Biology 17:e3000494.</w:t>
      </w:r>
    </w:p>
    <w:bookmarkEnd w:id="283"/>
    <w:bookmarkStart w:id="285" w:name="ref-upham2026"/>
    <w:p>
      <w:pPr>
        <w:pStyle w:val="Bibliography"/>
      </w:pPr>
      <w:r>
        <w:t xml:space="preserve">Upham, N., C. Burgin, J. Widness, S. Liphardt, C. Parker, M. Becker, I. Rochon, D. Huckaby, and J. Zijlstra. 2026.</w:t>
      </w:r>
      <w:r>
        <w:t xml:space="preserve"> </w:t>
      </w:r>
      <w:hyperlink r:id="rId284">
        <w:r>
          <w:rPr>
            <w:rStyle w:val="Hyperlink"/>
          </w:rPr>
          <w:t xml:space="preserve">Mammal Diversity Database v2.4</w:t>
        </w:r>
      </w:hyperlink>
      <w:r>
        <w:t xml:space="preserve">.</w:t>
      </w:r>
    </w:p>
    <w:bookmarkEnd w:id="285"/>
    <w:bookmarkStart w:id="287" w:name="ref-valenzuela-toro2025"/>
    <w:p>
      <w:pPr>
        <w:pStyle w:val="Bibliography"/>
      </w:pPr>
      <w:r>
        <w:t xml:space="preserve">Valenzuela-Toro, A. M., N. D. Pyenson, J. Velez-Juarbe, and M. E. Suárez. 2025.</w:t>
      </w:r>
      <w:r>
        <w:t xml:space="preserve"> </w:t>
      </w:r>
      <w:hyperlink r:id="rId286">
        <w:r>
          <w:rPr>
            <w:rStyle w:val="Hyperlink"/>
          </w:rPr>
          <w:t xml:space="preserve">Aquatic sloths (Thalassocnus) from the Miocene of Chile and the evolution of marine mammal herbivory in the Pacific Ocean</w:t>
        </w:r>
      </w:hyperlink>
      <w:r>
        <w:t xml:space="preserve">. PeerJ 13:e19897.</w:t>
      </w:r>
    </w:p>
    <w:bookmarkEnd w:id="287"/>
    <w:bookmarkStart w:id="289"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88">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89"/>
    <w:bookmarkStart w:id="291" w:name="ref-vanvalen1960"/>
    <w:p>
      <w:pPr>
        <w:pStyle w:val="Bibliography"/>
      </w:pPr>
      <w:r>
        <w:t xml:space="preserve">Van Valen, L. 1960.</w:t>
      </w:r>
      <w:r>
        <w:t xml:space="preserve"> </w:t>
      </w:r>
      <w:hyperlink r:id="rId290">
        <w:r>
          <w:rPr>
            <w:rStyle w:val="Hyperlink"/>
          </w:rPr>
          <w:t xml:space="preserve">A functional index of hypsodonty</w:t>
        </w:r>
      </w:hyperlink>
      <w:r>
        <w:t xml:space="preserve">. Evolution 14:531–532.</w:t>
      </w:r>
    </w:p>
    <w:bookmarkEnd w:id="291"/>
    <w:bookmarkStart w:id="292" w:name="ref-vanvalen1973"/>
    <w:p>
      <w:pPr>
        <w:pStyle w:val="Bibliography"/>
      </w:pPr>
      <w:r>
        <w:t xml:space="preserve">Van Valen, L. 1973. A new evolutionary law. Evolutionary Theory 1–30.</w:t>
      </w:r>
    </w:p>
    <w:bookmarkEnd w:id="292"/>
    <w:bookmarkStart w:id="294" w:name="ref-vermeij1973"/>
    <w:p>
      <w:pPr>
        <w:pStyle w:val="Bibliography"/>
      </w:pPr>
      <w:r>
        <w:t xml:space="preserve">Vermeij, G. J. 1973a.</w:t>
      </w:r>
      <w:r>
        <w:t xml:space="preserve"> </w:t>
      </w:r>
      <w:hyperlink r:id="rId293">
        <w:r>
          <w:rPr>
            <w:rStyle w:val="Hyperlink"/>
          </w:rPr>
          <w:t xml:space="preserve">Adaptation, versatility, and evolution</w:t>
        </w:r>
      </w:hyperlink>
      <w:r>
        <w:t xml:space="preserve">. Systematic Zoology 22:466–477.</w:t>
      </w:r>
    </w:p>
    <w:bookmarkEnd w:id="294"/>
    <w:bookmarkStart w:id="296" w:name="ref-vermeij_pnas_1973"/>
    <w:p>
      <w:pPr>
        <w:pStyle w:val="Bibliography"/>
      </w:pPr>
      <w:r>
        <w:t xml:space="preserve">Vermeij, G. J. 1973b.</w:t>
      </w:r>
      <w:r>
        <w:t xml:space="preserve"> </w:t>
      </w:r>
      <w:hyperlink r:id="rId295">
        <w:r>
          <w:rPr>
            <w:rStyle w:val="Hyperlink"/>
          </w:rPr>
          <w:t xml:space="preserve">Biological versatility and earth history</w:t>
        </w:r>
      </w:hyperlink>
      <w:r>
        <w:t xml:space="preserve">. Proceedings of the National Academy of Sciences 70:1936–1938. Proceedings of the National Academy of Sciences.</w:t>
      </w:r>
    </w:p>
    <w:bookmarkEnd w:id="296"/>
    <w:bookmarkStart w:id="297"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w:t>
      </w:r>
      <w:r>
        <w:t xml:space="preserve">A. I. Vassalo and D. Antenucci, eds. Biology of caviomorph rodents: Diversity and evolution. Sociedad Argentina para el Estudio de los Mammíferos (SAREM), Buenos Aires, Argentina.</w:t>
      </w:r>
    </w:p>
    <w:bookmarkEnd w:id="297"/>
    <w:bookmarkStart w:id="298" w:name="ref-wallace1878"/>
    <w:p>
      <w:pPr>
        <w:pStyle w:val="Bibliography"/>
      </w:pPr>
      <w:r>
        <w:t xml:space="preserve">Wallace, A. R. 1878. Tropical Nature, and Other Essays. Macmillan; Company.</w:t>
      </w:r>
    </w:p>
    <w:bookmarkEnd w:id="298"/>
    <w:bookmarkStart w:id="300" w:name="ref-warnock2020"/>
    <w:p>
      <w:pPr>
        <w:pStyle w:val="Bibliography"/>
      </w:pPr>
      <w:r>
        <w:t xml:space="preserve">Warnock, R. C. M., T. A. Heath, and T. Stadler. 2020.</w:t>
      </w:r>
      <w:r>
        <w:t xml:space="preserve"> </w:t>
      </w:r>
      <w:hyperlink r:id="rId299">
        <w:r>
          <w:rPr>
            <w:rStyle w:val="Hyperlink"/>
          </w:rPr>
          <w:t xml:space="preserve">Assessing the impact of incomplete species sampling on estimates of speciation and extinction rates</w:t>
        </w:r>
      </w:hyperlink>
      <w:r>
        <w:t xml:space="preserve">. Paleobiology 46:137–157.</w:t>
      </w:r>
    </w:p>
    <w:bookmarkEnd w:id="300"/>
    <w:bookmarkStart w:id="301" w:name="ref-webb1985"/>
    <w:p>
      <w:pPr>
        <w:pStyle w:val="Bibliography"/>
      </w:pPr>
      <w:r>
        <w:t xml:space="preserve">Webb, S. D. 1985. Late cenozoic mammal dispersals between the americas.</w:t>
      </w:r>
      <w:r>
        <w:t xml:space="preserve"> </w:t>
      </w:r>
      <w:r>
        <w:rPr>
          <w:i/>
          <w:iCs/>
        </w:rPr>
        <w:t xml:space="preserve">in</w:t>
      </w:r>
      <w:r>
        <w:t xml:space="preserve"> </w:t>
      </w:r>
      <w:r>
        <w:t xml:space="preserve">F. G. Stehli and S. D. Webb, eds. The great american biotic interchange.</w:t>
      </w:r>
    </w:p>
    <w:bookmarkEnd w:id="301"/>
    <w:bookmarkStart w:id="303" w:name="ref-weppe2023"/>
    <w:p>
      <w:pPr>
        <w:pStyle w:val="Bibliography"/>
      </w:pPr>
      <w:r>
        <w:t xml:space="preserve">Weppe, R., F. L. Condamine, G. Guinot, J. Maugoust, and M. J. Orliac. 2023.</w:t>
      </w:r>
      <w:r>
        <w:t xml:space="preserve"> </w:t>
      </w:r>
      <w:hyperlink r:id="rId302">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303"/>
    <w:bookmarkStart w:id="305"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304">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305"/>
    <w:bookmarkStart w:id="307" w:name="ref-woods2021"/>
    <w:p>
      <w:pPr>
        <w:pStyle w:val="Bibliography"/>
      </w:pPr>
      <w:r>
        <w:t xml:space="preserve">Woods, R., I. Barnes, S. Brace, and S. T. Turvey. 2021.</w:t>
      </w:r>
      <w:r>
        <w:t xml:space="preserve"> </w:t>
      </w:r>
      <w:hyperlink r:id="rId306">
        <w:r>
          <w:rPr>
            <w:rStyle w:val="Hyperlink"/>
          </w:rPr>
          <w:t xml:space="preserve">Ancient DNA suggests single colonization and within-archipelago diversification of caribbean caviomorph rodents</w:t>
        </w:r>
      </w:hyperlink>
      <w:r>
        <w:t xml:space="preserve">. Molecular Biology and Evolution 38:84–95.</w:t>
      </w:r>
    </w:p>
    <w:bookmarkEnd w:id="307"/>
    <w:bookmarkEnd w:id="308"/>
    <w:p>
      <w:r>
        <w:br w:type="page"/>
      </w:r>
    </w:p>
    <w:bookmarkEnd w:id="309"/>
    <w:bookmarkStart w:id="335"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13" w:name="fig-context"/>
          <w:p>
            <w:pPr>
              <w:pStyle w:val="Compact"/>
              <w:jc w:val="center"/>
            </w:pPr>
            <w:r>
              <w:drawing>
                <wp:inline>
                  <wp:extent cx="4679999" cy="5399999"/>
                  <wp:effectExtent b="0" l="0" r="0" t="0"/>
                  <wp:docPr descr="" title="" id="311" name="Picture"/>
                  <a:graphic>
                    <a:graphicData uri="http://schemas.openxmlformats.org/drawingml/2006/picture">
                      <pic:pic>
                        <pic:nvPicPr>
                          <pic:cNvPr descr="../Figures/Main/Figure_set_the_scene/Figure_context.png" id="312" name="Picture"/>
                          <pic:cNvPicPr>
                            <a:picLocks noChangeArrowheads="1" noChangeAspect="1"/>
                          </pic:cNvPicPr>
                        </pic:nvPicPr>
                        <pic:blipFill>
                          <a:blip r:embed="rId310"/>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a dated phylogeny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313"/>
        </w:tc>
      </w:tr>
    </w:tbl>
    <w:tbl>
      <w:tblPr>
        <w:tblStyle w:val="Table"/>
        <w:tblW w:type="pct" w:w="5000"/>
        <w:tblLayout w:type="fixed"/>
        <w:tblLook w:firstRow="0" w:lastRow="0" w:firstColumn="0" w:lastColumn="0" w:noHBand="0" w:noVBand="0" w:val="0000"/>
      </w:tblPr>
      <w:tblGrid>
        <w:gridCol w:w="7920"/>
      </w:tblGrid>
      <w:tr>
        <w:tc>
          <w:tcPr/>
          <w:bookmarkStart w:id="318" w:name="fig-ExtSampl"/>
          <w:p>
            <w:pPr>
              <w:pStyle w:val="Compact"/>
              <w:jc w:val="center"/>
            </w:pPr>
            <w:r>
              <w:drawing>
                <wp:inline>
                  <wp:extent cx="5399999" cy="1486246"/>
                  <wp:effectExtent b="0" l="0" r="0" t="0"/>
                  <wp:docPr descr="" title="" id="315" name="Picture"/>
                  <a:graphic>
                    <a:graphicData uri="http://schemas.openxmlformats.org/drawingml/2006/picture">
                      <pic:pic>
                        <pic:nvPicPr>
                          <pic:cNvPr descr="../Figures/Main/extant_sampling/extant_sampling.png" id="316" name="Picture"/>
                          <pic:cNvPicPr>
                            <a:picLocks noChangeArrowheads="1" noChangeAspect="1"/>
                          </pic:cNvPicPr>
                        </pic:nvPicPr>
                        <pic:blipFill>
                          <a:blip r:embed="rId314"/>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317">
              <w:r>
                <w:rPr>
                  <w:rStyle w:val="Hyperlink"/>
                </w:rPr>
                <w:t xml:space="preserve">Phylopic</w:t>
              </w:r>
            </w:hyperlink>
            <w:r>
              <w:t xml:space="preserve">, see Tab. S3 for additional information.</w:t>
            </w:r>
          </w:p>
          <w:bookmarkEnd w:id="318"/>
        </w:tc>
      </w:tr>
    </w:tbl>
    <w:tbl>
      <w:tblPr>
        <w:tblStyle w:val="Table"/>
        <w:tblW w:type="pct" w:w="5000"/>
        <w:tblLayout w:type="fixed"/>
        <w:tblLook w:firstRow="0" w:lastRow="0" w:firstColumn="0" w:lastColumn="0" w:noHBand="0" w:noVBand="0" w:val="0000"/>
      </w:tblPr>
      <w:tblGrid>
        <w:gridCol w:w="7920"/>
      </w:tblGrid>
      <w:tr>
        <w:tc>
          <w:tcPr/>
          <w:bookmarkStart w:id="322" w:name="fig-diversityBM"/>
          <w:p>
            <w:pPr>
              <w:pStyle w:val="Compact"/>
              <w:jc w:val="center"/>
            </w:pPr>
            <w:r>
              <w:drawing>
                <wp:inline>
                  <wp:extent cx="1889999" cy="5399999"/>
                  <wp:effectExtent b="0" l="0" r="0" t="0"/>
                  <wp:docPr descr="" title="" id="320" name="Picture"/>
                  <a:graphic>
                    <a:graphicData uri="http://schemas.openxmlformats.org/drawingml/2006/picture">
                      <pic:pic>
                        <pic:nvPicPr>
                          <pic:cNvPr descr="../Figures/Main/Diversity_and_BM_through_time.png" id="321" name="Picture"/>
                          <pic:cNvPicPr>
                            <a:picLocks noChangeArrowheads="1" noChangeAspect="1"/>
                          </pic:cNvPicPr>
                        </pic:nvPicPr>
                        <pic:blipFill>
                          <a:blip r:embed="rId319"/>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322"/>
        </w:tc>
      </w:tr>
    </w:tbl>
    <w:tbl>
      <w:tblPr>
        <w:tblStyle w:val="Table"/>
        <w:tblW w:type="pct" w:w="5000"/>
        <w:tblLayout w:type="fixed"/>
        <w:tblLook w:firstRow="0" w:lastRow="0" w:firstColumn="0" w:lastColumn="0" w:noHBand="0" w:noVBand="0" w:val="0000"/>
      </w:tblPr>
      <w:tblGrid>
        <w:gridCol w:w="7920"/>
      </w:tblGrid>
      <w:tr>
        <w:tc>
          <w:tcPr/>
          <w:bookmarkStart w:id="326" w:name="fig-lifespans"/>
          <w:p>
            <w:pPr>
              <w:pStyle w:val="Compact"/>
              <w:jc w:val="center"/>
            </w:pPr>
            <w:r>
              <w:drawing>
                <wp:inline>
                  <wp:extent cx="5399999" cy="6839999"/>
                  <wp:effectExtent b="0" l="0" r="0" t="0"/>
                  <wp:docPr descr="" title="" id="324" name="Picture"/>
                  <a:graphic>
                    <a:graphicData uri="http://schemas.openxmlformats.org/drawingml/2006/picture">
                      <pic:pic>
                        <pic:nvPicPr>
                          <pic:cNvPr descr="../Figures/Main/Lifespans/lifespans_distribs.png" id="325" name="Picture"/>
                          <pic:cNvPicPr>
                            <a:picLocks noChangeArrowheads="1" noChangeAspect="1"/>
                          </pic:cNvPicPr>
                        </pic:nvPicPr>
                        <pic:blipFill>
                          <a:blip r:embed="rId323"/>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326"/>
        </w:tc>
      </w:tr>
    </w:tbl>
    <w:tbl>
      <w:tblPr>
        <w:tblStyle w:val="Table"/>
        <w:tblW w:type="pct" w:w="5000"/>
        <w:tblLayout w:type="fixed"/>
        <w:tblLook w:firstRow="0" w:lastRow="0" w:firstColumn="0" w:lastColumn="0" w:noHBand="0" w:noVBand="0" w:val="0000"/>
      </w:tblPr>
      <w:tblGrid>
        <w:gridCol w:w="7920"/>
      </w:tblGrid>
      <w:tr>
        <w:tc>
          <w:tcPr/>
          <w:bookmarkStart w:id="330" w:name="fig-diversification"/>
          <w:p>
            <w:pPr>
              <w:pStyle w:val="Compact"/>
              <w:jc w:val="center"/>
            </w:pPr>
            <w:r>
              <w:drawing>
                <wp:inline>
                  <wp:extent cx="5399999" cy="2591634"/>
                  <wp:effectExtent b="0" l="0" r="0" t="0"/>
                  <wp:docPr descr="" title="" id="328" name="Picture"/>
                  <a:graphic>
                    <a:graphicData uri="http://schemas.openxmlformats.org/drawingml/2006/picture">
                      <pic:pic>
                        <pic:nvPicPr>
                          <pic:cNvPr descr="../Figures/Main/Diversification_rates.png" id="329" name="Picture"/>
                          <pic:cNvPicPr>
                            <a:picLocks noChangeArrowheads="1" noChangeAspect="1"/>
                          </pic:cNvPicPr>
                        </pic:nvPicPr>
                        <pic:blipFill>
                          <a:blip r:embed="rId327"/>
                          <a:stretch>
                            <a:fillRect/>
                          </a:stretch>
                        </pic:blipFill>
                        <pic:spPr bwMode="auto">
                          <a:xfrm>
                            <a:off x="0" y="0"/>
                            <a:ext cx="5399999" cy="2591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four Bayesian fossil-based birth–death models. Speciation and extinction rates are respectively depicted in blue and red.</w:t>
            </w:r>
            <w:r>
              <w:t xml:space="preserve"> </w:t>
            </w:r>
            <w:r>
              <w:rPr>
                <w:b/>
                <w:bCs/>
              </w:rPr>
              <w:t xml:space="preserve">(A–B)</w:t>
            </w:r>
            <w:r>
              <w:t xml:space="preserve"> </w:t>
            </w:r>
            <w:r>
              <w:t xml:space="preserve">show the rates estimated by PyRate, using the rjMCMC algorithm</w:t>
            </w:r>
            <w:r>
              <w:t xml:space="preserve"> </w:t>
            </w:r>
            <w:r>
              <w:t xml:space="preserve">(Silvestro et al. 2019)</w:t>
            </w:r>
            <w:r>
              <w:t xml:space="preserve">. The star indicates a significant rate shift (see Figure S6).</w:t>
            </w:r>
            <w:r>
              <w:t xml:space="preserve"> </w:t>
            </w:r>
            <w:r>
              <w:rPr>
                <w:b/>
                <w:bCs/>
              </w:rPr>
              <w:t xml:space="preserve">(C–D)</w:t>
            </w:r>
            <w:r>
              <w:t xml:space="preserve"> </w:t>
            </w:r>
            <w:r>
              <w:t xml:space="preserve">show the rates estimated with the Birth–Death model with Constrained Shifts (BDCS)</w:t>
            </w:r>
            <w:r>
              <w:t xml:space="preserve"> </w:t>
            </w:r>
            <w:r>
              <w:t xml:space="preserve">(Silvestro et al. 2015)</w:t>
            </w:r>
            <w:r>
              <w:t xml:space="preserve">.</w:t>
            </w:r>
            <w:r>
              <w:t xml:space="preserve"> </w:t>
            </w:r>
            <w:r>
              <w:rPr>
                <w:b/>
                <w:bCs/>
              </w:rPr>
              <w:t xml:space="preserve">(E–F)</w:t>
            </w:r>
            <w:r>
              <w:t xml:space="preserve"> </w:t>
            </w:r>
            <w:r>
              <w:t xml:space="preserve">show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S16–S17). Last,</w:t>
            </w:r>
            <w:r>
              <w:t xml:space="preserve"> </w:t>
            </w:r>
            <w:r>
              <w:rPr>
                <w:b/>
                <w:bCs/>
              </w:rPr>
              <w:t xml:space="preserve">(G–H)</w:t>
            </w:r>
            <w:r>
              <w:t xml:space="preserve"> </w:t>
            </w:r>
            <w:r>
              <w:t xml:space="preserve">show the rates through time estimated by the MBD model as linear combinations of environmental variables.</w:t>
            </w:r>
          </w:p>
          <w:bookmarkEnd w:id="330"/>
        </w:tc>
      </w:tr>
    </w:tbl>
    <w:tbl>
      <w:tblPr>
        <w:tblStyle w:val="Table"/>
        <w:tblW w:type="pct" w:w="5000"/>
        <w:tblLayout w:type="fixed"/>
        <w:tblLook w:firstRow="0" w:lastRow="0" w:firstColumn="0" w:lastColumn="0" w:noHBand="0" w:noVBand="0" w:val="0000"/>
      </w:tblPr>
      <w:tblGrid>
        <w:gridCol w:w="7920"/>
      </w:tblGrid>
      <w:tr>
        <w:tc>
          <w:tcPr/>
          <w:bookmarkStart w:id="334" w:name="fig-ExtinctionDrivers"/>
          <w:p>
            <w:pPr>
              <w:pStyle w:val="Compact"/>
              <w:jc w:val="center"/>
            </w:pPr>
            <w:r>
              <w:drawing>
                <wp:inline>
                  <wp:extent cx="5305454" cy="5039999"/>
                  <wp:effectExtent b="0" l="0" r="0" t="0"/>
                  <wp:docPr descr="" title="" id="332" name="Picture"/>
                  <a:graphic>
                    <a:graphicData uri="http://schemas.openxmlformats.org/drawingml/2006/picture">
                      <pic:pic>
                        <pic:nvPicPr>
                          <pic:cNvPr descr="../Figures/Main/Drivers/Combined_driver_figure.png" id="333" name="Picture"/>
                          <pic:cNvPicPr>
                            <a:picLocks noChangeArrowheads="1" noChangeAspect="1"/>
                          </pic:cNvPicPr>
                        </pic:nvPicPr>
                        <pic:blipFill>
                          <a:blip r:embed="rId331"/>
                          <a:stretch>
                            <a:fillRect/>
                          </a:stretch>
                        </pic:blipFill>
                        <pic:spPr bwMode="auto">
                          <a:xfrm>
                            <a:off x="0" y="0"/>
                            <a:ext cx="5305454" cy="50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Trait and environmental drivers of chinchilloid extinction rate variations across lineages and time. Plots</w:t>
            </w:r>
            <w:r>
              <w:t xml:space="preserve"> </w:t>
            </w:r>
            <w:r>
              <w:rPr>
                <w:b/>
                <w:bCs/>
              </w:rPr>
              <w:t xml:space="preserve">(A–C)</w:t>
            </w:r>
            <w:r>
              <w:t xml:space="preserve"> </w:t>
            </w:r>
            <w:r>
              <w:t xml:space="preserve">depict the effects of the three best predictors of extinction rate variations across lineages according to the BDNN model (Table S6). These include body mass</w:t>
            </w:r>
            <w:r>
              <w:t xml:space="preserve"> </w:t>
            </w:r>
            <w:r>
              <w:rPr>
                <w:b/>
                <w:bCs/>
              </w:rPr>
              <w:t xml:space="preserve">(A)</w:t>
            </w:r>
            <w:r>
              <w:t xml:space="preserve">, latitude (</w:t>
            </w:r>
            <w:r>
              <w:rPr>
                <w:i/>
                <w:iCs/>
              </w:rPr>
              <w:t xml:space="preserve">i</w:t>
            </w:r>
            <w:r>
              <w:t xml:space="preserve">.</w:t>
            </w:r>
            <w:r>
              <w:rPr>
                <w:i/>
                <w:iCs/>
              </w:rPr>
              <w:t xml:space="preserve">e</w:t>
            </w:r>
            <w:r>
              <w:t xml:space="preserve">., tropical</w:t>
            </w:r>
            <w:r>
              <w:t xml:space="preserve"> </w:t>
            </w:r>
            <w:r>
              <w:rPr>
                <w:i/>
                <w:iCs/>
              </w:rPr>
              <w:t xml:space="preserve">vs</w:t>
            </w:r>
            <w:r>
              <w:t xml:space="preserve">. extratropical)</w:t>
            </w:r>
            <w:r>
              <w:t xml:space="preserve"> </w:t>
            </w:r>
            <w:r>
              <w:rPr>
                <w:b/>
                <w:bCs/>
              </w:rPr>
              <w:t xml:space="preserve">(B)</w:t>
            </w:r>
            <w:r>
              <w:t xml:space="preserve"> </w:t>
            </w:r>
            <w:r>
              <w:t xml:space="preserve">and the Andean uplift</w:t>
            </w:r>
            <w:r>
              <w:t xml:space="preserve"> </w:t>
            </w:r>
            <w:r>
              <w:rPr>
                <w:b/>
                <w:bCs/>
              </w:rPr>
              <w:t xml:space="preserve">(C)</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These findings are shown along with the outcome of the MBD analyses, showing the posterior distributions of correlation coefficients between the temporal variations of extinction rate and four biotic and abiotic variables</w:t>
            </w:r>
            <w:r>
              <w:t xml:space="preserve"> </w:t>
            </w:r>
            <w:r>
              <w:rPr>
                <w:b/>
                <w:bCs/>
              </w:rPr>
              <w:t xml:space="preserve">(D)</w:t>
            </w:r>
            <w:r>
              <w:t xml:space="preserve">. These four variables (from top to bottom) are: sea level changes</w:t>
            </w:r>
            <w:r>
              <w:t xml:space="preserve"> </w:t>
            </w:r>
            <w:r>
              <w:t xml:space="preserve">(Miller et al. 2020)</w:t>
            </w:r>
            <w:r>
              <w:t xml:space="preserve">, Andean uplift</w:t>
            </w:r>
            <w:r>
              <w:t xml:space="preserve"> </w:t>
            </w:r>
            <w:r>
              <w:t xml:space="preserve">(Boschman 2021)</w:t>
            </w:r>
            <w:r>
              <w:t xml:space="preserve">, regional temperature</w:t>
            </w:r>
            <w:r>
              <w:t xml:space="preserve"> </w:t>
            </w:r>
            <w:r>
              <w:t xml:space="preserve">(Tardif et al. 2025)</w:t>
            </w:r>
            <w:r>
              <w:t xml:space="preserve"> </w:t>
            </w:r>
            <w:r>
              <w:t xml:space="preserve">and self-diversity (</w:t>
            </w:r>
            <w:r>
              <w:rPr>
                <w:i/>
                <w:iCs/>
              </w:rPr>
              <w:t xml:space="preserve">i</w:t>
            </w:r>
            <w:r>
              <w:t xml:space="preserve">.</w:t>
            </w:r>
            <w:r>
              <w:rPr>
                <w:i/>
                <w:iCs/>
              </w:rPr>
              <w:t xml:space="preserve">e</w:t>
            </w:r>
            <w:r>
              <w:t xml:space="preserve">., diversity of the group). Significant correlations,</w:t>
            </w:r>
            <w:r>
              <w:t xml:space="preserve"> </w:t>
            </w:r>
            <w:r>
              <w:rPr>
                <w:i/>
                <w:iCs/>
              </w:rPr>
              <w:t xml:space="preserve">i</w:t>
            </w:r>
            <w:r>
              <w:t xml:space="preserve">.</w:t>
            </w:r>
            <w:r>
              <w:rPr>
                <w:i/>
                <w:iCs/>
              </w:rPr>
              <w:t xml:space="preserve">e</w:t>
            </w:r>
            <w:r>
              <w:t xml:space="preserve">.,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p>
          <w:bookmarkEnd w:id="334"/>
        </w:tc>
      </w:tr>
    </w:tbl>
    <w:bookmarkEnd w:id="335"/>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Lagidium viscacia</w:t>
      </w:r>
      <w:r>
        <w:t xml:space="preserve"> </w:t>
      </w:r>
      <w:r>
        <w:t xml:space="preserve">remains.</w:t>
      </w:r>
    </w:p>
  </w:footnote>
  <w:footnote w:id="28">
    <w:p>
      <w:pPr>
        <w:pStyle w:val="FootnoteText"/>
      </w:pPr>
      <w:r>
        <w:rPr>
          <w:rStyle w:val="FootnoteReference"/>
        </w:rPr>
        <w:footnoteRef/>
      </w:r>
      <w:r>
        <w:t xml:space="preserve"> </w:t>
      </w:r>
      <w:r>
        <w:rPr>
          <w:i/>
          <w:iCs/>
        </w:rPr>
        <w:t xml:space="preserve">Amblyrhiza inundata</w:t>
      </w:r>
      <w:r>
        <w:t xml:space="preserve">,</w:t>
      </w:r>
      <w:r>
        <w:t xml:space="preserve"> </w:t>
      </w:r>
      <w:r>
        <w:rPr>
          <w:i/>
          <w:iCs/>
        </w:rPr>
        <w:t xml:space="preserve">Borikenomys praecursor</w:t>
      </w:r>
      <w:r>
        <w:t xml:space="preserve">,</w:t>
      </w:r>
      <w:r>
        <w:t xml:space="preserve"> </w:t>
      </w:r>
      <w:r>
        <w:rPr>
          <w:i/>
          <w:iCs/>
        </w:rPr>
        <w:t xml:space="preserve">Clidomys osborni</w:t>
      </w:r>
      <w:r>
        <w:t xml:space="preserve">,</w:t>
      </w:r>
      <w:r>
        <w:t xml:space="preserve"> </w:t>
      </w:r>
      <w:r>
        <w:rPr>
          <w:i/>
          <w:iCs/>
        </w:rPr>
        <w:t xml:space="preserve">Elasmodontomys obliquus</w:t>
      </w:r>
      <w:r>
        <w:t xml:space="preserve">,</w:t>
      </w:r>
      <w:r>
        <w:t xml:space="preserve"> </w:t>
      </w:r>
      <w:r>
        <w:rPr>
          <w:i/>
          <w:iCs/>
        </w:rPr>
        <w:t xml:space="preserve">Quemisia gravis</w:t>
      </w:r>
      <w:r>
        <w:t xml:space="preserve">.</w:t>
      </w:r>
    </w:p>
  </w:footnote>
  <w:footnote w:id="31">
    <w:p>
      <w:pPr>
        <w:pStyle w:val="FootnoteText"/>
      </w:pPr>
      <w:r>
        <w:rPr>
          <w:rStyle w:val="FootnoteReference"/>
        </w:rPr>
        <w:footnoteRef/>
      </w:r>
      <w:r>
        <w:t xml:space="preserve"> </w:t>
      </w:r>
      <w:r>
        <w:t xml:space="preserve">The species that had missing body size and/or crown height category are:</w:t>
      </w:r>
      <w:r>
        <w:t xml:space="preserve"> </w:t>
      </w:r>
      <w:r>
        <w:rPr>
          <w:i/>
          <w:iCs/>
        </w:rPr>
        <w:t xml:space="preserve">Agnomys formosus</w:t>
      </w:r>
      <w:r>
        <w:t xml:space="preserve">,</w:t>
      </w:r>
      <w:r>
        <w:t xml:space="preserve"> </w:t>
      </w:r>
      <w:r>
        <w:rPr>
          <w:i/>
          <w:iCs/>
        </w:rPr>
        <w:t xml:space="preserve">Eusigmomys friasensis</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 w:id="42">
    <w:p>
      <w:pPr>
        <w:pStyle w:val="FootnoteText"/>
      </w:pPr>
      <w:r>
        <w:rPr>
          <w:rStyle w:val="FootnoteReference"/>
        </w:rPr>
        <w:footnoteRef/>
      </w:r>
      <w:r>
        <w:t xml:space="preserve"> </w:t>
      </w:r>
      <w:r>
        <w:rPr>
          <w:i/>
          <w:iCs/>
        </w:rPr>
        <w:t xml:space="preserve">e</w:t>
      </w:r>
      <w:r>
        <w:t xml:space="preserve">.</w:t>
      </w:r>
      <w:r>
        <w:rPr>
          <w:i/>
          <w:iCs/>
        </w:rPr>
        <w:t xml:space="preserve">g</w:t>
      </w:r>
      <w:r>
        <w:t xml:space="preserve">., The Paleobiology Database, Neotoma, NOW, Geobiodiversity database, … see</w:t>
      </w:r>
      <w:r>
        <w:t xml:space="preserve"> </w:t>
      </w:r>
      <w:hyperlink r:id="rId43">
        <w:r>
          <w:rPr>
            <w:rStyle w:val="Hyperlink"/>
          </w:rPr>
          <w:t xml:space="preserve">https://palaeoverse.org/external</w:t>
        </w:r>
      </w:hyperlink>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7" Target="media/rId327.png" /><Relationship Type="http://schemas.openxmlformats.org/officeDocument/2006/relationships/image" Id="rId319" Target="media/rId319.png" /><Relationship Type="http://schemas.openxmlformats.org/officeDocument/2006/relationships/image" Id="rId331" Target="media/rId331.png" /><Relationship Type="http://schemas.openxmlformats.org/officeDocument/2006/relationships/image" Id="rId310" Target="media/rId310.png" /><Relationship Type="http://schemas.openxmlformats.org/officeDocument/2006/relationships/image" Id="rId323" Target="media/rId323.png" /><Relationship Type="http://schemas.openxmlformats.org/officeDocument/2006/relationships/image" Id="rId314" Target="media/rId314.png" /><Relationship Type="http://schemas.openxmlformats.org/officeDocument/2006/relationships/hyperlink" Id="rId221" Target="https://discovery.ucl.ac.uk/id/eprint/10220325/" TargetMode="External" /><Relationship Type="http://schemas.openxmlformats.org/officeDocument/2006/relationships/hyperlink" Id="rId66" Target="https://doi.org/10.1002/spp2.70064" TargetMode="External" /><Relationship Type="http://schemas.openxmlformats.org/officeDocument/2006/relationships/hyperlink" Id="rId202" Target="https://doi.org/10.1006/qres.1998.1977" TargetMode="External" /><Relationship Type="http://schemas.openxmlformats.org/officeDocument/2006/relationships/hyperlink" Id="rId212" Target="https://doi.org/10.1007/BF02988789" TargetMode="External" /><Relationship Type="http://schemas.openxmlformats.org/officeDocument/2006/relationships/hyperlink" Id="rId54" Target="https://doi.org/10.1007/s10914-016-9333-1" TargetMode="External" /><Relationship Type="http://schemas.openxmlformats.org/officeDocument/2006/relationships/hyperlink" Id="rId196" Target="https://doi.org/10.1007/s10914-022-09631-7" TargetMode="External" /><Relationship Type="http://schemas.openxmlformats.org/officeDocument/2006/relationships/hyperlink" Id="rId129" Target="https://doi.org/10.1007/s10914-023-09675-3" TargetMode="External" /><Relationship Type="http://schemas.openxmlformats.org/officeDocument/2006/relationships/hyperlink" Id="rId81" Target="https://doi.org/10.1007/s10914-024-09739-y" TargetMode="External" /><Relationship Type="http://schemas.openxmlformats.org/officeDocument/2006/relationships/hyperlink" Id="rId171" Target="https://doi.org/10.1007/s11692-017-9434-7" TargetMode="External" /><Relationship Type="http://schemas.openxmlformats.org/officeDocument/2006/relationships/hyperlink" Id="rId210" Target="https://doi.org/10.1007/s11692-022-09596-8" TargetMode="External" /><Relationship Type="http://schemas.openxmlformats.org/officeDocument/2006/relationships/hyperlink" Id="rId91" Target="https://doi.org/10.1007/s12542-016-0306-8" TargetMode="External" /><Relationship Type="http://schemas.openxmlformats.org/officeDocument/2006/relationships/hyperlink" Id="rId219" Target="https://doi.org/10.1016/B978-0-12-824360-2.00005-X" TargetMode="External" /><Relationship Type="http://schemas.openxmlformats.org/officeDocument/2006/relationships/hyperlink" Id="rId87" Target="https://doi.org/10.1016/j.earscirev.2021.103640" TargetMode="External" /><Relationship Type="http://schemas.openxmlformats.org/officeDocument/2006/relationships/hyperlink" Id="rId56" Target="https://doi.org/10.1016/j.gloplacha.2021.103512" TargetMode="External" /><Relationship Type="http://schemas.openxmlformats.org/officeDocument/2006/relationships/hyperlink" Id="rId89" Target="https://doi.org/10.1016/j.gloplacha.2021.103704" TargetMode="External" /><Relationship Type="http://schemas.openxmlformats.org/officeDocument/2006/relationships/hyperlink" Id="rId272" Target="https://doi.org/10.1016/j.gr.2024.08.002" TargetMode="External" /><Relationship Type="http://schemas.openxmlformats.org/officeDocument/2006/relationships/hyperlink" Id="rId157" Target="https://doi.org/10.1016/j.jsames.2005.06.007" TargetMode="External" /><Relationship Type="http://schemas.openxmlformats.org/officeDocument/2006/relationships/hyperlink" Id="rId77" Target="https://doi.org/10.1016/j.palaeo.2009.01.004" TargetMode="External" /><Relationship Type="http://schemas.openxmlformats.org/officeDocument/2006/relationships/hyperlink" Id="rId176" Target="https://doi.org/10.1016/j.palaeo.2012.09.001" TargetMode="External" /><Relationship Type="http://schemas.openxmlformats.org/officeDocument/2006/relationships/hyperlink" Id="rId270" Target="https://doi.org/10.1016/j.palaeo.2021.110306" TargetMode="External" /><Relationship Type="http://schemas.openxmlformats.org/officeDocument/2006/relationships/hyperlink" Id="rId169" Target="https://doi.org/10.1016/j.palaeo.2025.113076" TargetMode="External" /><Relationship Type="http://schemas.openxmlformats.org/officeDocument/2006/relationships/hyperlink" Id="rId64" Target="https://doi.org/10.1016/j.palaeo.2026.113585" TargetMode="External" /><Relationship Type="http://schemas.openxmlformats.org/officeDocument/2006/relationships/hyperlink" Id="rId147" Target="https://doi.org/10.1017/S0094837300005224" TargetMode="External" /><Relationship Type="http://schemas.openxmlformats.org/officeDocument/2006/relationships/hyperlink" Id="rId145" Target="https://doi.org/10.1017/S0094837300015864" TargetMode="External" /><Relationship Type="http://schemas.openxmlformats.org/officeDocument/2006/relationships/hyperlink" Id="rId264" Target="https://doi.org/10.1017/pab.2019.23" TargetMode="External" /><Relationship Type="http://schemas.openxmlformats.org/officeDocument/2006/relationships/hyperlink" Id="rId299" Target="https://doi.org/10.1017/pab.2020.12" TargetMode="External" /><Relationship Type="http://schemas.openxmlformats.org/officeDocument/2006/relationships/hyperlink" Id="rId237" Target="https://doi.org/10.1038/ncomms2958" TargetMode="External" /><Relationship Type="http://schemas.openxmlformats.org/officeDocument/2006/relationships/hyperlink" Id="rId143" Target="https://doi.org/10.1038/s41467-022-30507-0" TargetMode="External" /><Relationship Type="http://schemas.openxmlformats.org/officeDocument/2006/relationships/hyperlink" Id="rId122" Target="https://doi.org/10.1038/s41467-024-48434-7" TargetMode="External" /><Relationship Type="http://schemas.openxmlformats.org/officeDocument/2006/relationships/hyperlink" Id="rId118" Target="https://doi.org/10.1038/s41559-020-01321-y" TargetMode="External" /><Relationship Type="http://schemas.openxmlformats.org/officeDocument/2006/relationships/hyperlink" Id="rId231" Target="https://doi.org/10.1038/s41559-025-02873-7" TargetMode="External" /><Relationship Type="http://schemas.openxmlformats.org/officeDocument/2006/relationships/hyperlink" Id="rId58" Target="https://doi.org/10.1038/s41561-018-0236-z" TargetMode="External" /><Relationship Type="http://schemas.openxmlformats.org/officeDocument/2006/relationships/hyperlink" Id="rId74" Target="https://doi.org/10.1038/s41586-023-06381-1" TargetMode="External" /><Relationship Type="http://schemas.openxmlformats.org/officeDocument/2006/relationships/hyperlink" Id="rId182" Target="https://doi.org/10.1038/s41598-017-05263-7" TargetMode="External" /><Relationship Type="http://schemas.openxmlformats.org/officeDocument/2006/relationships/hyperlink" Id="rId278" Target="https://doi.org/10.1038/s41598-022-05266-z" TargetMode="External" /><Relationship Type="http://schemas.openxmlformats.org/officeDocument/2006/relationships/hyperlink" Id="rId93" Target="https://doi.org/10.1038/s41598-022-26010-7" TargetMode="External" /><Relationship Type="http://schemas.openxmlformats.org/officeDocument/2006/relationships/hyperlink" Id="rId288" Target="https://doi.org/10.1038/s41598-023-28497-0" TargetMode="External" /><Relationship Type="http://schemas.openxmlformats.org/officeDocument/2006/relationships/hyperlink" Id="rId184" Target="https://doi.org/10.1073/pnas.0709763105" TargetMode="External" /><Relationship Type="http://schemas.openxmlformats.org/officeDocument/2006/relationships/hyperlink" Id="rId60" Target="https://doi.org/10.1073/pnas.0811421106" TargetMode="External" /><Relationship Type="http://schemas.openxmlformats.org/officeDocument/2006/relationships/hyperlink" Id="rId167" Target="https://doi.org/10.1073/pnas.1302642110" TargetMode="External" /><Relationship Type="http://schemas.openxmlformats.org/officeDocument/2006/relationships/hyperlink" Id="rId106" Target="https://doi.org/10.1073/pnas.1606868114" TargetMode="External" /><Relationship Type="http://schemas.openxmlformats.org/officeDocument/2006/relationships/hyperlink" Id="rId114" Target="https://doi.org/10.1073/pnas.1902693116" TargetMode="External" /><Relationship Type="http://schemas.openxmlformats.org/officeDocument/2006/relationships/hyperlink" Id="rId116" Target="https://doi.org/10.1073/pnas.2005571117" TargetMode="External" /><Relationship Type="http://schemas.openxmlformats.org/officeDocument/2006/relationships/hyperlink" Id="rId104" Target="https://doi.org/10.1073/pnas.2006087117" TargetMode="External" /><Relationship Type="http://schemas.openxmlformats.org/officeDocument/2006/relationships/hyperlink" Id="rId280" Target="https://doi.org/10.1073/pnas.2122486119" TargetMode="External" /><Relationship Type="http://schemas.openxmlformats.org/officeDocument/2006/relationships/hyperlink" Id="rId233" Target="https://doi.org/10.1073/pnas.2220672120" TargetMode="External" /><Relationship Type="http://schemas.openxmlformats.org/officeDocument/2006/relationships/hyperlink" Id="rId302" Target="https://doi.org/10.1073/pnas.2309945120" TargetMode="External" /><Relationship Type="http://schemas.openxmlformats.org/officeDocument/2006/relationships/hyperlink" Id="rId178" Target="https://doi.org/10.1073/pnas.2317795121" TargetMode="External" /><Relationship Type="http://schemas.openxmlformats.org/officeDocument/2006/relationships/hyperlink" Id="rId95" Target="https://doi.org/10.1073/pnas.2419520122" TargetMode="External" /><Relationship Type="http://schemas.openxmlformats.org/officeDocument/2006/relationships/hyperlink" Id="rId295" Target="https://doi.org/10.1073/pnas.70.7.1936" TargetMode="External" /><Relationship Type="http://schemas.openxmlformats.org/officeDocument/2006/relationships/hyperlink" Id="rId225" Target="https://doi.org/10.1080/02724634.2010.522432" TargetMode="External" /><Relationship Type="http://schemas.openxmlformats.org/officeDocument/2006/relationships/hyperlink" Id="rId242" Target="https://doi.org/10.1080/08912963.2024.2390518" TargetMode="External" /><Relationship Type="http://schemas.openxmlformats.org/officeDocument/2006/relationships/hyperlink" Id="rId52" Target="https://doi.org/10.1093/biolinnean/blx026" TargetMode="External" /><Relationship Type="http://schemas.openxmlformats.org/officeDocument/2006/relationships/hyperlink" Id="rId159" Target="https://doi.org/10.1093/botlinnean/boab098" TargetMode="External" /><Relationship Type="http://schemas.openxmlformats.org/officeDocument/2006/relationships/hyperlink" Id="rId248" Target="https://doi.org/10.1093/jmammal/gyz194" TargetMode="External" /><Relationship Type="http://schemas.openxmlformats.org/officeDocument/2006/relationships/hyperlink" Id="rId306" Target="https://doi.org/10.1093/molbev/msaa189" TargetMode="External" /><Relationship Type="http://schemas.openxmlformats.org/officeDocument/2006/relationships/hyperlink" Id="rId186" Target="https://doi.org/10.1093/sysbio/syq052" TargetMode="External" /><Relationship Type="http://schemas.openxmlformats.org/officeDocument/2006/relationships/hyperlink" Id="rId250" Target="https://doi.org/10.1093/sysbio/syq092" TargetMode="External" /><Relationship Type="http://schemas.openxmlformats.org/officeDocument/2006/relationships/hyperlink" Id="rId131" Target="https://doi.org/10.1093/sysbio/syw020" TargetMode="External" /><Relationship Type="http://schemas.openxmlformats.org/officeDocument/2006/relationships/hyperlink" Id="rId153" Target="https://doi.org/10.1093/sysbio/syx082" TargetMode="External" /><Relationship Type="http://schemas.openxmlformats.org/officeDocument/2006/relationships/hyperlink" Id="rId110" Target="https://doi.org/10.1093/sysbio/syy009" TargetMode="External" /><Relationship Type="http://schemas.openxmlformats.org/officeDocument/2006/relationships/hyperlink" Id="rId204" Target="https://doi.org/10.1098/rspb.2007.1056" TargetMode="External" /><Relationship Type="http://schemas.openxmlformats.org/officeDocument/2006/relationships/hyperlink" Id="rId246" Target="https://doi.org/10.1098/rspb.2007.1645" TargetMode="External" /><Relationship Type="http://schemas.openxmlformats.org/officeDocument/2006/relationships/hyperlink" Id="rId137" Target="https://doi.org/10.1098/rspb.2011.1439" TargetMode="External" /><Relationship Type="http://schemas.openxmlformats.org/officeDocument/2006/relationships/hyperlink" Id="rId252" Target="https://doi.org/10.1098/rspb.2013.1071" TargetMode="External" /><Relationship Type="http://schemas.openxmlformats.org/officeDocument/2006/relationships/hyperlink" Id="rId254" Target="https://doi.org/10.1098/rspb.2014.2490" TargetMode="External" /><Relationship Type="http://schemas.openxmlformats.org/officeDocument/2006/relationships/hyperlink" Id="rId198" Target="https://doi.org/10.1098/rspb.2019.2806" TargetMode="External" /><Relationship Type="http://schemas.openxmlformats.org/officeDocument/2006/relationships/hyperlink" Id="rId194" Target="https://doi.org/10.1098/rspb.2024.2932" TargetMode="External" /><Relationship Type="http://schemas.openxmlformats.org/officeDocument/2006/relationships/hyperlink" Id="rId68" Target="https://doi.org/10.1098/rspb.2025.1418" TargetMode="External" /><Relationship Type="http://schemas.openxmlformats.org/officeDocument/2006/relationships/hyperlink" Id="rId135" Target="https://doi.org/10.1098/rspb.2025.2245" TargetMode="External" /><Relationship Type="http://schemas.openxmlformats.org/officeDocument/2006/relationships/hyperlink" Id="rId102" Target="https://doi.org/10.1098/rspb.2025.2586" TargetMode="External" /><Relationship Type="http://schemas.openxmlformats.org/officeDocument/2006/relationships/hyperlink" Id="rId266" Target="https://doi.org/10.1111/2041-210X.12263" TargetMode="External" /><Relationship Type="http://schemas.openxmlformats.org/officeDocument/2006/relationships/hyperlink" Id="rId120" Target="https://doi.org/10.1111/2041-210X.70070" TargetMode="External" /><Relationship Type="http://schemas.openxmlformats.org/officeDocument/2006/relationships/hyperlink" Id="rId50" Target="https://doi.org/10.1111/bij.12695" TargetMode="External" /><Relationship Type="http://schemas.openxmlformats.org/officeDocument/2006/relationships/hyperlink" Id="rId112" Target="https://doi.org/10.1111/ele.13382" TargetMode="External" /><Relationship Type="http://schemas.openxmlformats.org/officeDocument/2006/relationships/hyperlink" Id="rId192" Target="https://doi.org/10.1111/evo.13155" TargetMode="External" /><Relationship Type="http://schemas.openxmlformats.org/officeDocument/2006/relationships/hyperlink" Id="rId227" Target="https://doi.org/10.1111/evo.13680" TargetMode="External" /><Relationship Type="http://schemas.openxmlformats.org/officeDocument/2006/relationships/hyperlink" Id="rId206" Target="https://doi.org/10.1111/evo.13967" TargetMode="External" /><Relationship Type="http://schemas.openxmlformats.org/officeDocument/2006/relationships/hyperlink" Id="rId276" Target="https://doi.org/10.1111/geb.70024" TargetMode="External" /><Relationship Type="http://schemas.openxmlformats.org/officeDocument/2006/relationships/hyperlink" Id="rId258" Target="https://doi.org/10.1111/j.1469-185X.2010.00137.x" TargetMode="External" /><Relationship Type="http://schemas.openxmlformats.org/officeDocument/2006/relationships/hyperlink" Id="rId290" Target="https://doi.org/10.1111/j.1558-5646.1960.tb03121.x" TargetMode="External" /><Relationship Type="http://schemas.openxmlformats.org/officeDocument/2006/relationships/hyperlink" Id="rId235" Target="https://doi.org/10.1111/j.1558-5646.2009.00926.x" TargetMode="External" /><Relationship Type="http://schemas.openxmlformats.org/officeDocument/2006/relationships/hyperlink" Id="rId240" Target="https://doi.org/10.1111/joa.13430" TargetMode="External" /><Relationship Type="http://schemas.openxmlformats.org/officeDocument/2006/relationships/hyperlink" Id="rId98" Target="https://doi.org/10.1111/let.12015" TargetMode="External" /><Relationship Type="http://schemas.openxmlformats.org/officeDocument/2006/relationships/hyperlink" Id="rId262" Target="https://doi.org/10.1111/nph.13247" TargetMode="External" /><Relationship Type="http://schemas.openxmlformats.org/officeDocument/2006/relationships/hyperlink" Id="rId174" Target="https://doi.org/10.1126/sciadv.1601693" TargetMode="External" /><Relationship Type="http://schemas.openxmlformats.org/officeDocument/2006/relationships/hyperlink" Id="rId208" Target="https://doi.org/10.1126/sciadv.aaz1346" TargetMode="External" /><Relationship Type="http://schemas.openxmlformats.org/officeDocument/2006/relationships/hyperlink" Id="rId155" Target="https://doi.org/10.1126/sciadv.adl2643" TargetMode="External" /><Relationship Type="http://schemas.openxmlformats.org/officeDocument/2006/relationships/hyperlink" Id="rId256" Target="https://doi.org/10.1126/science.1089332" TargetMode="External" /><Relationship Type="http://schemas.openxmlformats.org/officeDocument/2006/relationships/hyperlink" Id="rId244" Target="https://doi.org/10.1126/science.11542058" TargetMode="External" /><Relationship Type="http://schemas.openxmlformats.org/officeDocument/2006/relationships/hyperlink" Id="rId72" Target="https://doi.org/10.1126/science.1157719" TargetMode="External" /><Relationship Type="http://schemas.openxmlformats.org/officeDocument/2006/relationships/hyperlink" Id="rId165" Target="https://doi.org/10.1126/science.1194585" TargetMode="External" /><Relationship Type="http://schemas.openxmlformats.org/officeDocument/2006/relationships/hyperlink" Id="rId229" Target="https://doi.org/10.1126/science.1239431" TargetMode="External" /><Relationship Type="http://schemas.openxmlformats.org/officeDocument/2006/relationships/hyperlink" Id="rId100" Target="https://doi.org/10.1126/science.aag1772" TargetMode="External" /><Relationship Type="http://schemas.openxmlformats.org/officeDocument/2006/relationships/hyperlink" Id="rId304" Target="https://doi.org/10.1126/science.aba6853" TargetMode="External" /><Relationship Type="http://schemas.openxmlformats.org/officeDocument/2006/relationships/hyperlink" Id="rId85" Target="https://doi.org/10.1126/science.adu0704" TargetMode="External" /><Relationship Type="http://schemas.openxmlformats.org/officeDocument/2006/relationships/hyperlink" Id="rId161" Target="https://doi.org/10.1130/0091-7613(1995)023&lt;0237:ATAACF&gt;2.3.CO;2" TargetMode="External" /><Relationship Type="http://schemas.openxmlformats.org/officeDocument/2006/relationships/hyperlink" Id="rId133" Target="https://doi.org/10.1130/B30660.1" TargetMode="External" /><Relationship Type="http://schemas.openxmlformats.org/officeDocument/2006/relationships/hyperlink" Id="rId260" Target="https://doi.org/10.1130/G36664.1" TargetMode="External" /><Relationship Type="http://schemas.openxmlformats.org/officeDocument/2006/relationships/hyperlink" Id="rId127" Target="https://doi.org/10.1144/jgs2020-188" TargetMode="External" /><Relationship Type="http://schemas.openxmlformats.org/officeDocument/2006/relationships/hyperlink" Id="rId125" Target="https://doi.org/10.1146/annurev-earth-072619-060126" TargetMode="External" /><Relationship Type="http://schemas.openxmlformats.org/officeDocument/2006/relationships/hyperlink" Id="rId163" Target="https://doi.org/10.1146/annurev-earth-081522-090454" TargetMode="External" /><Relationship Type="http://schemas.openxmlformats.org/officeDocument/2006/relationships/hyperlink" Id="rId214" Target="https://doi.org/10.1146/annurev-ecolsys-102722-020508" TargetMode="External" /><Relationship Type="http://schemas.openxmlformats.org/officeDocument/2006/relationships/hyperlink" Id="rId188" Target="https://doi.org/10.1146/annurev.ecolsys.31.1.33" TargetMode="External" /><Relationship Type="http://schemas.openxmlformats.org/officeDocument/2006/relationships/hyperlink" Id="rId62" Target="https://doi.org/10.1146/annurev.ecolsys.33.010802.150500" TargetMode="External" /><Relationship Type="http://schemas.openxmlformats.org/officeDocument/2006/relationships/hyperlink" Id="rId190" Target="https://doi.org/10.1206/0003-0090-363.1.1" TargetMode="External" /><Relationship Type="http://schemas.openxmlformats.org/officeDocument/2006/relationships/hyperlink" Id="rId282" Target="https://doi.org/10.1371/journal.pbio.3000494" TargetMode="External" /><Relationship Type="http://schemas.openxmlformats.org/officeDocument/2006/relationships/hyperlink" Id="rId149" Target="https://doi.org/10.1590/1809-4392202103601" TargetMode="External" /><Relationship Type="http://schemas.openxmlformats.org/officeDocument/2006/relationships/hyperlink" Id="rId70" Target="https://doi.org/10.1671/0272-4634(2001)021[0172:DTEOTR]2.0.CO;2" TargetMode="External" /><Relationship Type="http://schemas.openxmlformats.org/officeDocument/2006/relationships/hyperlink" Id="rId108" Target="https://doi.org/10.18814/epiiugs/2025/025001" TargetMode="External" /><Relationship Type="http://schemas.openxmlformats.org/officeDocument/2006/relationships/hyperlink" Id="rId180" Target="https://doi.org/10.2307/2291091" TargetMode="External" /><Relationship Type="http://schemas.openxmlformats.org/officeDocument/2006/relationships/hyperlink" Id="rId274" Target="https://doi.org/10.2307/2398811" TargetMode="External" /><Relationship Type="http://schemas.openxmlformats.org/officeDocument/2006/relationships/hyperlink" Id="rId293" Target="https://doi.org/10.2307/2412953" TargetMode="External" /><Relationship Type="http://schemas.openxmlformats.org/officeDocument/2006/relationships/hyperlink" Id="rId83" Target="https://doi.org/10.5252/geodiversitas2019v41a4" TargetMode="External" /><Relationship Type="http://schemas.openxmlformats.org/officeDocument/2006/relationships/hyperlink" Id="rId284" Target="https://doi.org/10.5281/zenodo.18135819" TargetMode="External" /><Relationship Type="http://schemas.openxmlformats.org/officeDocument/2006/relationships/hyperlink" Id="rId216" Target="https://doi.org/10.5710/AMGH.07.07.2023.3551" TargetMode="External" /><Relationship Type="http://schemas.openxmlformats.org/officeDocument/2006/relationships/hyperlink" Id="rId141" Target="https://doi.org/10.5710/PEAPA.01.11.2019.309" TargetMode="External" /><Relationship Type="http://schemas.openxmlformats.org/officeDocument/2006/relationships/hyperlink" Id="rId151" Target="https://doi.org/10.64898/2026.02.27.708174" TargetMode="External" /><Relationship Type="http://schemas.openxmlformats.org/officeDocument/2006/relationships/hyperlink" Id="rId286" Target="https://doi.org/10.7717/peerj.19897" TargetMode="External" /><Relationship Type="http://schemas.openxmlformats.org/officeDocument/2006/relationships/hyperlink" Id="rId79"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23" Target="https://press.uchicago.edu/ucp/books/book/chicago/M/bo18553844.html" TargetMode="External" /><Relationship Type="http://schemas.openxmlformats.org/officeDocument/2006/relationships/hyperlink" Id="rId200" Target="https://www.jstor.org/stable/1688046" TargetMode="External" /><Relationship Type="http://schemas.openxmlformats.org/officeDocument/2006/relationships/hyperlink" Id="rId139" Target="https://www.jstor.org/stable/2461605" TargetMode="External" /><Relationship Type="http://schemas.openxmlformats.org/officeDocument/2006/relationships/hyperlink" Id="rId317"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21" Target="https://discovery.ucl.ac.uk/id/eprint/10220325/" TargetMode="External" /><Relationship Type="http://schemas.openxmlformats.org/officeDocument/2006/relationships/hyperlink" Id="rId66" Target="https://doi.org/10.1002/spp2.70064" TargetMode="External" /><Relationship Type="http://schemas.openxmlformats.org/officeDocument/2006/relationships/hyperlink" Id="rId202" Target="https://doi.org/10.1006/qres.1998.1977" TargetMode="External" /><Relationship Type="http://schemas.openxmlformats.org/officeDocument/2006/relationships/hyperlink" Id="rId212" Target="https://doi.org/10.1007/BF02988789" TargetMode="External" /><Relationship Type="http://schemas.openxmlformats.org/officeDocument/2006/relationships/hyperlink" Id="rId54" Target="https://doi.org/10.1007/s10914-016-9333-1" TargetMode="External" /><Relationship Type="http://schemas.openxmlformats.org/officeDocument/2006/relationships/hyperlink" Id="rId196" Target="https://doi.org/10.1007/s10914-022-09631-7" TargetMode="External" /><Relationship Type="http://schemas.openxmlformats.org/officeDocument/2006/relationships/hyperlink" Id="rId129" Target="https://doi.org/10.1007/s10914-023-09675-3" TargetMode="External" /><Relationship Type="http://schemas.openxmlformats.org/officeDocument/2006/relationships/hyperlink" Id="rId81" Target="https://doi.org/10.1007/s10914-024-09739-y" TargetMode="External" /><Relationship Type="http://schemas.openxmlformats.org/officeDocument/2006/relationships/hyperlink" Id="rId171" Target="https://doi.org/10.1007/s11692-017-9434-7" TargetMode="External" /><Relationship Type="http://schemas.openxmlformats.org/officeDocument/2006/relationships/hyperlink" Id="rId210" Target="https://doi.org/10.1007/s11692-022-09596-8" TargetMode="External" /><Relationship Type="http://schemas.openxmlformats.org/officeDocument/2006/relationships/hyperlink" Id="rId91" Target="https://doi.org/10.1007/s12542-016-0306-8" TargetMode="External" /><Relationship Type="http://schemas.openxmlformats.org/officeDocument/2006/relationships/hyperlink" Id="rId219" Target="https://doi.org/10.1016/B978-0-12-824360-2.00005-X" TargetMode="External" /><Relationship Type="http://schemas.openxmlformats.org/officeDocument/2006/relationships/hyperlink" Id="rId87" Target="https://doi.org/10.1016/j.earscirev.2021.103640" TargetMode="External" /><Relationship Type="http://schemas.openxmlformats.org/officeDocument/2006/relationships/hyperlink" Id="rId56" Target="https://doi.org/10.1016/j.gloplacha.2021.103512" TargetMode="External" /><Relationship Type="http://schemas.openxmlformats.org/officeDocument/2006/relationships/hyperlink" Id="rId89" Target="https://doi.org/10.1016/j.gloplacha.2021.103704" TargetMode="External" /><Relationship Type="http://schemas.openxmlformats.org/officeDocument/2006/relationships/hyperlink" Id="rId272" Target="https://doi.org/10.1016/j.gr.2024.08.002" TargetMode="External" /><Relationship Type="http://schemas.openxmlformats.org/officeDocument/2006/relationships/hyperlink" Id="rId157" Target="https://doi.org/10.1016/j.jsames.2005.06.007" TargetMode="External" /><Relationship Type="http://schemas.openxmlformats.org/officeDocument/2006/relationships/hyperlink" Id="rId77" Target="https://doi.org/10.1016/j.palaeo.2009.01.004" TargetMode="External" /><Relationship Type="http://schemas.openxmlformats.org/officeDocument/2006/relationships/hyperlink" Id="rId176" Target="https://doi.org/10.1016/j.palaeo.2012.09.001" TargetMode="External" /><Relationship Type="http://schemas.openxmlformats.org/officeDocument/2006/relationships/hyperlink" Id="rId270" Target="https://doi.org/10.1016/j.palaeo.2021.110306" TargetMode="External" /><Relationship Type="http://schemas.openxmlformats.org/officeDocument/2006/relationships/hyperlink" Id="rId169" Target="https://doi.org/10.1016/j.palaeo.2025.113076" TargetMode="External" /><Relationship Type="http://schemas.openxmlformats.org/officeDocument/2006/relationships/hyperlink" Id="rId64" Target="https://doi.org/10.1016/j.palaeo.2026.113585" TargetMode="External" /><Relationship Type="http://schemas.openxmlformats.org/officeDocument/2006/relationships/hyperlink" Id="rId147" Target="https://doi.org/10.1017/S0094837300005224" TargetMode="External" /><Relationship Type="http://schemas.openxmlformats.org/officeDocument/2006/relationships/hyperlink" Id="rId145" Target="https://doi.org/10.1017/S0094837300015864" TargetMode="External" /><Relationship Type="http://schemas.openxmlformats.org/officeDocument/2006/relationships/hyperlink" Id="rId264" Target="https://doi.org/10.1017/pab.2019.23" TargetMode="External" /><Relationship Type="http://schemas.openxmlformats.org/officeDocument/2006/relationships/hyperlink" Id="rId299" Target="https://doi.org/10.1017/pab.2020.12" TargetMode="External" /><Relationship Type="http://schemas.openxmlformats.org/officeDocument/2006/relationships/hyperlink" Id="rId237" Target="https://doi.org/10.1038/ncomms2958" TargetMode="External" /><Relationship Type="http://schemas.openxmlformats.org/officeDocument/2006/relationships/hyperlink" Id="rId143" Target="https://doi.org/10.1038/s41467-022-30507-0" TargetMode="External" /><Relationship Type="http://schemas.openxmlformats.org/officeDocument/2006/relationships/hyperlink" Id="rId122" Target="https://doi.org/10.1038/s41467-024-48434-7" TargetMode="External" /><Relationship Type="http://schemas.openxmlformats.org/officeDocument/2006/relationships/hyperlink" Id="rId118" Target="https://doi.org/10.1038/s41559-020-01321-y" TargetMode="External" /><Relationship Type="http://schemas.openxmlformats.org/officeDocument/2006/relationships/hyperlink" Id="rId231" Target="https://doi.org/10.1038/s41559-025-02873-7" TargetMode="External" /><Relationship Type="http://schemas.openxmlformats.org/officeDocument/2006/relationships/hyperlink" Id="rId58" Target="https://doi.org/10.1038/s41561-018-0236-z" TargetMode="External" /><Relationship Type="http://schemas.openxmlformats.org/officeDocument/2006/relationships/hyperlink" Id="rId74" Target="https://doi.org/10.1038/s41586-023-06381-1" TargetMode="External" /><Relationship Type="http://schemas.openxmlformats.org/officeDocument/2006/relationships/hyperlink" Id="rId182" Target="https://doi.org/10.1038/s41598-017-05263-7" TargetMode="External" /><Relationship Type="http://schemas.openxmlformats.org/officeDocument/2006/relationships/hyperlink" Id="rId278" Target="https://doi.org/10.1038/s41598-022-05266-z" TargetMode="External" /><Relationship Type="http://schemas.openxmlformats.org/officeDocument/2006/relationships/hyperlink" Id="rId93" Target="https://doi.org/10.1038/s41598-022-26010-7" TargetMode="External" /><Relationship Type="http://schemas.openxmlformats.org/officeDocument/2006/relationships/hyperlink" Id="rId288" Target="https://doi.org/10.1038/s41598-023-28497-0" TargetMode="External" /><Relationship Type="http://schemas.openxmlformats.org/officeDocument/2006/relationships/hyperlink" Id="rId184" Target="https://doi.org/10.1073/pnas.0709763105" TargetMode="External" /><Relationship Type="http://schemas.openxmlformats.org/officeDocument/2006/relationships/hyperlink" Id="rId60" Target="https://doi.org/10.1073/pnas.0811421106" TargetMode="External" /><Relationship Type="http://schemas.openxmlformats.org/officeDocument/2006/relationships/hyperlink" Id="rId167" Target="https://doi.org/10.1073/pnas.1302642110" TargetMode="External" /><Relationship Type="http://schemas.openxmlformats.org/officeDocument/2006/relationships/hyperlink" Id="rId106" Target="https://doi.org/10.1073/pnas.1606868114" TargetMode="External" /><Relationship Type="http://schemas.openxmlformats.org/officeDocument/2006/relationships/hyperlink" Id="rId114" Target="https://doi.org/10.1073/pnas.1902693116" TargetMode="External" /><Relationship Type="http://schemas.openxmlformats.org/officeDocument/2006/relationships/hyperlink" Id="rId116" Target="https://doi.org/10.1073/pnas.2005571117" TargetMode="External" /><Relationship Type="http://schemas.openxmlformats.org/officeDocument/2006/relationships/hyperlink" Id="rId104" Target="https://doi.org/10.1073/pnas.2006087117" TargetMode="External" /><Relationship Type="http://schemas.openxmlformats.org/officeDocument/2006/relationships/hyperlink" Id="rId280" Target="https://doi.org/10.1073/pnas.2122486119" TargetMode="External" /><Relationship Type="http://schemas.openxmlformats.org/officeDocument/2006/relationships/hyperlink" Id="rId233" Target="https://doi.org/10.1073/pnas.2220672120" TargetMode="External" /><Relationship Type="http://schemas.openxmlformats.org/officeDocument/2006/relationships/hyperlink" Id="rId302" Target="https://doi.org/10.1073/pnas.2309945120" TargetMode="External" /><Relationship Type="http://schemas.openxmlformats.org/officeDocument/2006/relationships/hyperlink" Id="rId178" Target="https://doi.org/10.1073/pnas.2317795121" TargetMode="External" /><Relationship Type="http://schemas.openxmlformats.org/officeDocument/2006/relationships/hyperlink" Id="rId95" Target="https://doi.org/10.1073/pnas.2419520122" TargetMode="External" /><Relationship Type="http://schemas.openxmlformats.org/officeDocument/2006/relationships/hyperlink" Id="rId295" Target="https://doi.org/10.1073/pnas.70.7.1936" TargetMode="External" /><Relationship Type="http://schemas.openxmlformats.org/officeDocument/2006/relationships/hyperlink" Id="rId225" Target="https://doi.org/10.1080/02724634.2010.522432" TargetMode="External" /><Relationship Type="http://schemas.openxmlformats.org/officeDocument/2006/relationships/hyperlink" Id="rId242" Target="https://doi.org/10.1080/08912963.2024.2390518" TargetMode="External" /><Relationship Type="http://schemas.openxmlformats.org/officeDocument/2006/relationships/hyperlink" Id="rId52" Target="https://doi.org/10.1093/biolinnean/blx026" TargetMode="External" /><Relationship Type="http://schemas.openxmlformats.org/officeDocument/2006/relationships/hyperlink" Id="rId159" Target="https://doi.org/10.1093/botlinnean/boab098" TargetMode="External" /><Relationship Type="http://schemas.openxmlformats.org/officeDocument/2006/relationships/hyperlink" Id="rId248" Target="https://doi.org/10.1093/jmammal/gyz194" TargetMode="External" /><Relationship Type="http://schemas.openxmlformats.org/officeDocument/2006/relationships/hyperlink" Id="rId306" Target="https://doi.org/10.1093/molbev/msaa189" TargetMode="External" /><Relationship Type="http://schemas.openxmlformats.org/officeDocument/2006/relationships/hyperlink" Id="rId186" Target="https://doi.org/10.1093/sysbio/syq052" TargetMode="External" /><Relationship Type="http://schemas.openxmlformats.org/officeDocument/2006/relationships/hyperlink" Id="rId250" Target="https://doi.org/10.1093/sysbio/syq092" TargetMode="External" /><Relationship Type="http://schemas.openxmlformats.org/officeDocument/2006/relationships/hyperlink" Id="rId131" Target="https://doi.org/10.1093/sysbio/syw020" TargetMode="External" /><Relationship Type="http://schemas.openxmlformats.org/officeDocument/2006/relationships/hyperlink" Id="rId153" Target="https://doi.org/10.1093/sysbio/syx082" TargetMode="External" /><Relationship Type="http://schemas.openxmlformats.org/officeDocument/2006/relationships/hyperlink" Id="rId110" Target="https://doi.org/10.1093/sysbio/syy009" TargetMode="External" /><Relationship Type="http://schemas.openxmlformats.org/officeDocument/2006/relationships/hyperlink" Id="rId204" Target="https://doi.org/10.1098/rspb.2007.1056" TargetMode="External" /><Relationship Type="http://schemas.openxmlformats.org/officeDocument/2006/relationships/hyperlink" Id="rId246" Target="https://doi.org/10.1098/rspb.2007.1645" TargetMode="External" /><Relationship Type="http://schemas.openxmlformats.org/officeDocument/2006/relationships/hyperlink" Id="rId137" Target="https://doi.org/10.1098/rspb.2011.1439" TargetMode="External" /><Relationship Type="http://schemas.openxmlformats.org/officeDocument/2006/relationships/hyperlink" Id="rId252" Target="https://doi.org/10.1098/rspb.2013.1071" TargetMode="External" /><Relationship Type="http://schemas.openxmlformats.org/officeDocument/2006/relationships/hyperlink" Id="rId254" Target="https://doi.org/10.1098/rspb.2014.2490" TargetMode="External" /><Relationship Type="http://schemas.openxmlformats.org/officeDocument/2006/relationships/hyperlink" Id="rId198" Target="https://doi.org/10.1098/rspb.2019.2806" TargetMode="External" /><Relationship Type="http://schemas.openxmlformats.org/officeDocument/2006/relationships/hyperlink" Id="rId194" Target="https://doi.org/10.1098/rspb.2024.2932" TargetMode="External" /><Relationship Type="http://schemas.openxmlformats.org/officeDocument/2006/relationships/hyperlink" Id="rId68" Target="https://doi.org/10.1098/rspb.2025.1418" TargetMode="External" /><Relationship Type="http://schemas.openxmlformats.org/officeDocument/2006/relationships/hyperlink" Id="rId135" Target="https://doi.org/10.1098/rspb.2025.2245" TargetMode="External" /><Relationship Type="http://schemas.openxmlformats.org/officeDocument/2006/relationships/hyperlink" Id="rId102" Target="https://doi.org/10.1098/rspb.2025.2586" TargetMode="External" /><Relationship Type="http://schemas.openxmlformats.org/officeDocument/2006/relationships/hyperlink" Id="rId266" Target="https://doi.org/10.1111/2041-210X.12263" TargetMode="External" /><Relationship Type="http://schemas.openxmlformats.org/officeDocument/2006/relationships/hyperlink" Id="rId120" Target="https://doi.org/10.1111/2041-210X.70070" TargetMode="External" /><Relationship Type="http://schemas.openxmlformats.org/officeDocument/2006/relationships/hyperlink" Id="rId50" Target="https://doi.org/10.1111/bij.12695" TargetMode="External" /><Relationship Type="http://schemas.openxmlformats.org/officeDocument/2006/relationships/hyperlink" Id="rId112" Target="https://doi.org/10.1111/ele.13382" TargetMode="External" /><Relationship Type="http://schemas.openxmlformats.org/officeDocument/2006/relationships/hyperlink" Id="rId192" Target="https://doi.org/10.1111/evo.13155" TargetMode="External" /><Relationship Type="http://schemas.openxmlformats.org/officeDocument/2006/relationships/hyperlink" Id="rId227" Target="https://doi.org/10.1111/evo.13680" TargetMode="External" /><Relationship Type="http://schemas.openxmlformats.org/officeDocument/2006/relationships/hyperlink" Id="rId206" Target="https://doi.org/10.1111/evo.13967" TargetMode="External" /><Relationship Type="http://schemas.openxmlformats.org/officeDocument/2006/relationships/hyperlink" Id="rId276" Target="https://doi.org/10.1111/geb.70024" TargetMode="External" /><Relationship Type="http://schemas.openxmlformats.org/officeDocument/2006/relationships/hyperlink" Id="rId258" Target="https://doi.org/10.1111/j.1469-185X.2010.00137.x" TargetMode="External" /><Relationship Type="http://schemas.openxmlformats.org/officeDocument/2006/relationships/hyperlink" Id="rId290" Target="https://doi.org/10.1111/j.1558-5646.1960.tb03121.x" TargetMode="External" /><Relationship Type="http://schemas.openxmlformats.org/officeDocument/2006/relationships/hyperlink" Id="rId235" Target="https://doi.org/10.1111/j.1558-5646.2009.00926.x" TargetMode="External" /><Relationship Type="http://schemas.openxmlformats.org/officeDocument/2006/relationships/hyperlink" Id="rId240" Target="https://doi.org/10.1111/joa.13430" TargetMode="External" /><Relationship Type="http://schemas.openxmlformats.org/officeDocument/2006/relationships/hyperlink" Id="rId98" Target="https://doi.org/10.1111/let.12015" TargetMode="External" /><Relationship Type="http://schemas.openxmlformats.org/officeDocument/2006/relationships/hyperlink" Id="rId262" Target="https://doi.org/10.1111/nph.13247" TargetMode="External" /><Relationship Type="http://schemas.openxmlformats.org/officeDocument/2006/relationships/hyperlink" Id="rId174" Target="https://doi.org/10.1126/sciadv.1601693" TargetMode="External" /><Relationship Type="http://schemas.openxmlformats.org/officeDocument/2006/relationships/hyperlink" Id="rId208" Target="https://doi.org/10.1126/sciadv.aaz1346" TargetMode="External" /><Relationship Type="http://schemas.openxmlformats.org/officeDocument/2006/relationships/hyperlink" Id="rId155" Target="https://doi.org/10.1126/sciadv.adl2643" TargetMode="External" /><Relationship Type="http://schemas.openxmlformats.org/officeDocument/2006/relationships/hyperlink" Id="rId256" Target="https://doi.org/10.1126/science.1089332" TargetMode="External" /><Relationship Type="http://schemas.openxmlformats.org/officeDocument/2006/relationships/hyperlink" Id="rId244" Target="https://doi.org/10.1126/science.11542058" TargetMode="External" /><Relationship Type="http://schemas.openxmlformats.org/officeDocument/2006/relationships/hyperlink" Id="rId72" Target="https://doi.org/10.1126/science.1157719" TargetMode="External" /><Relationship Type="http://schemas.openxmlformats.org/officeDocument/2006/relationships/hyperlink" Id="rId165" Target="https://doi.org/10.1126/science.1194585" TargetMode="External" /><Relationship Type="http://schemas.openxmlformats.org/officeDocument/2006/relationships/hyperlink" Id="rId229" Target="https://doi.org/10.1126/science.1239431" TargetMode="External" /><Relationship Type="http://schemas.openxmlformats.org/officeDocument/2006/relationships/hyperlink" Id="rId100" Target="https://doi.org/10.1126/science.aag1772" TargetMode="External" /><Relationship Type="http://schemas.openxmlformats.org/officeDocument/2006/relationships/hyperlink" Id="rId304" Target="https://doi.org/10.1126/science.aba6853" TargetMode="External" /><Relationship Type="http://schemas.openxmlformats.org/officeDocument/2006/relationships/hyperlink" Id="rId85" Target="https://doi.org/10.1126/science.adu0704" TargetMode="External" /><Relationship Type="http://schemas.openxmlformats.org/officeDocument/2006/relationships/hyperlink" Id="rId161" Target="https://doi.org/10.1130/0091-7613(1995)023&lt;0237:ATAACF&gt;2.3.CO;2" TargetMode="External" /><Relationship Type="http://schemas.openxmlformats.org/officeDocument/2006/relationships/hyperlink" Id="rId133" Target="https://doi.org/10.1130/B30660.1" TargetMode="External" /><Relationship Type="http://schemas.openxmlformats.org/officeDocument/2006/relationships/hyperlink" Id="rId260" Target="https://doi.org/10.1130/G36664.1" TargetMode="External" /><Relationship Type="http://schemas.openxmlformats.org/officeDocument/2006/relationships/hyperlink" Id="rId127" Target="https://doi.org/10.1144/jgs2020-188" TargetMode="External" /><Relationship Type="http://schemas.openxmlformats.org/officeDocument/2006/relationships/hyperlink" Id="rId125" Target="https://doi.org/10.1146/annurev-earth-072619-060126" TargetMode="External" /><Relationship Type="http://schemas.openxmlformats.org/officeDocument/2006/relationships/hyperlink" Id="rId163" Target="https://doi.org/10.1146/annurev-earth-081522-090454" TargetMode="External" /><Relationship Type="http://schemas.openxmlformats.org/officeDocument/2006/relationships/hyperlink" Id="rId214" Target="https://doi.org/10.1146/annurev-ecolsys-102722-020508" TargetMode="External" /><Relationship Type="http://schemas.openxmlformats.org/officeDocument/2006/relationships/hyperlink" Id="rId188" Target="https://doi.org/10.1146/annurev.ecolsys.31.1.33" TargetMode="External" /><Relationship Type="http://schemas.openxmlformats.org/officeDocument/2006/relationships/hyperlink" Id="rId62" Target="https://doi.org/10.1146/annurev.ecolsys.33.010802.150500" TargetMode="External" /><Relationship Type="http://schemas.openxmlformats.org/officeDocument/2006/relationships/hyperlink" Id="rId190" Target="https://doi.org/10.1206/0003-0090-363.1.1" TargetMode="External" /><Relationship Type="http://schemas.openxmlformats.org/officeDocument/2006/relationships/hyperlink" Id="rId282" Target="https://doi.org/10.1371/journal.pbio.3000494" TargetMode="External" /><Relationship Type="http://schemas.openxmlformats.org/officeDocument/2006/relationships/hyperlink" Id="rId149" Target="https://doi.org/10.1590/1809-4392202103601" TargetMode="External" /><Relationship Type="http://schemas.openxmlformats.org/officeDocument/2006/relationships/hyperlink" Id="rId70" Target="https://doi.org/10.1671/0272-4634(2001)021[0172:DTEOTR]2.0.CO;2" TargetMode="External" /><Relationship Type="http://schemas.openxmlformats.org/officeDocument/2006/relationships/hyperlink" Id="rId108" Target="https://doi.org/10.18814/epiiugs/2025/025001" TargetMode="External" /><Relationship Type="http://schemas.openxmlformats.org/officeDocument/2006/relationships/hyperlink" Id="rId180" Target="https://doi.org/10.2307/2291091" TargetMode="External" /><Relationship Type="http://schemas.openxmlformats.org/officeDocument/2006/relationships/hyperlink" Id="rId274" Target="https://doi.org/10.2307/2398811" TargetMode="External" /><Relationship Type="http://schemas.openxmlformats.org/officeDocument/2006/relationships/hyperlink" Id="rId293" Target="https://doi.org/10.2307/2412953" TargetMode="External" /><Relationship Type="http://schemas.openxmlformats.org/officeDocument/2006/relationships/hyperlink" Id="rId83" Target="https://doi.org/10.5252/geodiversitas2019v41a4" TargetMode="External" /><Relationship Type="http://schemas.openxmlformats.org/officeDocument/2006/relationships/hyperlink" Id="rId284" Target="https://doi.org/10.5281/zenodo.18135819" TargetMode="External" /><Relationship Type="http://schemas.openxmlformats.org/officeDocument/2006/relationships/hyperlink" Id="rId216" Target="https://doi.org/10.5710/AMGH.07.07.2023.3551" TargetMode="External" /><Relationship Type="http://schemas.openxmlformats.org/officeDocument/2006/relationships/hyperlink" Id="rId141" Target="https://doi.org/10.5710/PEAPA.01.11.2019.309" TargetMode="External" /><Relationship Type="http://schemas.openxmlformats.org/officeDocument/2006/relationships/hyperlink" Id="rId151" Target="https://doi.org/10.64898/2026.02.27.708174" TargetMode="External" /><Relationship Type="http://schemas.openxmlformats.org/officeDocument/2006/relationships/hyperlink" Id="rId286" Target="https://doi.org/10.7717/peerj.19897" TargetMode="External" /><Relationship Type="http://schemas.openxmlformats.org/officeDocument/2006/relationships/hyperlink" Id="rId79"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23" Target="https://press.uchicago.edu/ucp/books/book/chicago/M/bo18553844.html" TargetMode="External" /><Relationship Type="http://schemas.openxmlformats.org/officeDocument/2006/relationships/hyperlink" Id="rId200" Target="https://www.jstor.org/stable/1688046" TargetMode="External" /><Relationship Type="http://schemas.openxmlformats.org/officeDocument/2006/relationships/hyperlink" Id="rId139" Target="https://www.jstor.org/stable/2461605" TargetMode="External" /><Relationship Type="http://schemas.openxmlformats.org/officeDocument/2006/relationships/hyperlink" Id="rId317"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Boivin^{2,3}*, Alicia Álvarez^{2,3}, Fabien L. Condamine¹, Laurent Marivaux¹</dc:creator>
  <cp:keywords/>
  <dcterms:created xsi:type="dcterms:W3CDTF">2026-06-05T17:13:04Z</dcterms:created>
  <dcterms:modified xsi:type="dcterms:W3CDTF">2026-06-05T17:13:04Z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