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7.png" ContentType="image/png"/>
  <Override PartName="/word/media/rId319.png" ContentType="image/png"/>
  <Override PartName="/word/media/rId331.png" ContentType="image/png"/>
  <Override PartName="/word/media/rId310.png" ContentType="image/png"/>
  <Override PartName="/word/media/rId323.png" ContentType="image/png"/>
  <Override PartName="/word/media/rId3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sup>
        </m:sSup>
      </m:oMath>
      <w:r>
        <w:t xml:space="preserve">*,</w:t>
      </w:r>
      <w:r>
        <w:t xml:space="preserve"> </w:t>
      </w:r>
      <w:r>
        <w:t xml:space="preserve">Alicia</w:t>
      </w:r>
      <w:r>
        <w:t xml:space="preserve"> </w:t>
      </w:r>
      <w:r>
        <w:t xml:space="preserve">Álvarez</w:t>
      </w:r>
      <m:oMath>
        <m:sSup>
          <m:e>
            <m:r>
              <m:t>​</m:t>
            </m:r>
          </m:e>
          <m:sup>
            <m:r>
              <m:t>2</m:t>
            </m:r>
            <m:r>
              <m:rPr>
                <m:sty m:val="p"/>
              </m:rPr>
              <m:t>,</m:t>
            </m:r>
            <m:r>
              <m:t>3</m:t>
            </m:r>
          </m:sup>
        </m:sSup>
      </m:oMath>
      <w:r>
        <w:t xml:space="preserve">,</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Laboratorio de Paleontología,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Extinction Selectivity; Gigantism; South America; Trait-dependent Diversification</w:t>
      </w:r>
    </w:p>
    <w:bookmarkStart w:id="20" w:name="abstract"/>
    <w:p>
      <w:pPr>
        <w:pStyle w:val="Heading1"/>
      </w:pPr>
      <w:r>
        <w:t xml:space="preserve">Abstract</w:t>
      </w:r>
    </w:p>
    <w:p>
      <w:pPr>
        <w:pStyle w:val="FirstParagraph"/>
      </w:pPr>
      <w:r>
        <w:t xml:space="preserve">Our quantitative analyses of the fossil record evidenced that chinchilloids experienced a demise that resulted in a late Miocene change in extinction regime. This increase in extinction rate was selective against large-sized, extratropical taxa, and was likely mediated by the Andean uplift and sea-level changes, thus suggesting that continent-wide variations in hydrographic patterns, with the demise of particular wet ecosystems, selectively shaped the decline of Chinchilloidea. Interestingly, no effect of temperature or diversity dependence was found in our analyses.</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w:t>
      </w:r>
      <w:r>
        <w:rPr>
          <w:i/>
          <w:iCs/>
        </w:rPr>
        <w:t xml:space="preserve">e</w:t>
      </w:r>
      <w:r>
        <w:t xml:space="preserve">.</w:t>
      </w:r>
      <w:r>
        <w:rPr>
          <w:i/>
          <w:iCs/>
        </w:rPr>
        <w:t xml:space="preserve">g</w:t>
      </w:r>
      <w:r>
        <w:t xml:space="preserve">., Pimiento et al. 2019; Boessenecker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the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w:t>
      </w:r>
      <w:r>
        <w:t xml:space="preserve">. 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small-to-moderate-sized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w:t>
      </w:r>
      <w:r>
        <w:t xml:space="preserve"> </w:t>
      </w:r>
      <w:r>
        <w:rPr>
          <w:i/>
          <w:iCs/>
        </w:rPr>
        <w:t xml:space="preserve">Chinchilla</w:t>
      </w:r>
      <w:r>
        <w:t xml:space="preserve"> </w:t>
      </w:r>
      <w:r>
        <w:t xml:space="preserve">and</w:t>
      </w:r>
      <w:r>
        <w:t xml:space="preserve"> </w:t>
      </w:r>
      <w:r>
        <w:rPr>
          <w:i/>
          <w:iCs/>
        </w:rPr>
        <w:t xml:space="preserve">Lagidium</w:t>
      </w:r>
      <w:r>
        <w:t xml:space="preserve">, encompassing six out of the eight described chinchilloid species, are distributed in the Andean cordillera, whereas</w:t>
      </w:r>
      <w:r>
        <w:t xml:space="preserve"> </w:t>
      </w:r>
      <w:r>
        <w:rPr>
          <w:i/>
          <w:iCs/>
        </w:rPr>
        <w:t xml:space="preserve">Lagostomus</w:t>
      </w:r>
      <w:r>
        <w:t xml:space="preserve"> </w:t>
      </w:r>
      <w:r>
        <w:t xml:space="preserve">and</w:t>
      </w:r>
      <w:r>
        <w:t xml:space="preserve"> </w:t>
      </w:r>
      <w:r>
        <w:rPr>
          <w:i/>
          <w:iCs/>
        </w:rPr>
        <w:t xml:space="preserve">Dinomys</w:t>
      </w:r>
      <w:r>
        <w:t xml:space="preserve"> </w:t>
      </w:r>
      <w:r>
        <w:t xml:space="preserve">respectively inhabit the Argentinian and the West-Amazonian plains.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Most of these extinct large-to-giant taxa are considered as likely semi-aquatic</w:t>
      </w:r>
      <w:r>
        <w:t xml:space="preserve"> </w:t>
      </w:r>
      <w:r>
        <w:t xml:space="preserve">(</w:t>
      </w:r>
      <w:r>
        <w:rPr>
          <w:i/>
          <w:iCs/>
        </w:rPr>
        <w:t xml:space="preserve">e</w:t>
      </w:r>
      <w:r>
        <w:t xml:space="preserve">.</w:t>
      </w:r>
      <w:r>
        <w:rPr>
          <w:i/>
          <w:iCs/>
        </w:rPr>
        <w:t xml:space="preserve">g</w:t>
      </w:r>
      <w:r>
        <w:t xml:space="preserve">., Sánchez-Villagra et al. 2003; Rinderknecht and Blanco 2008; Candela et al. 2013)</w:t>
      </w:r>
      <w:r>
        <w:t xml:space="preserve">, a lifestyle that totally disappeared in the extant representatives of the superfamily. In addition, 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w:t>
      </w:r>
    </w:p>
    <w:p>
      <w:pPr>
        <w:pStyle w:val="BodyText"/>
      </w:pPr>
      <w:r>
        <w:t xml:space="preserve">Several hypotheses have been advocated to explain chinchilloid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fragmentary. Previous studies relying on a phylogenetic framework illustrated that the dynamics of caviomorph diversity and body mass evolution were decoupled</w:t>
      </w:r>
      <w:r>
        <w:t xml:space="preserve"> </w:t>
      </w:r>
      <w:r>
        <w:t xml:space="preserve">(Álvarez et al. 2017; Carrillo et al. 2026)</w:t>
      </w:r>
      <w:r>
        <w:t xml:space="preserve">. However, many extinct chinchilloid taxa lack DNA or sufficient morphological material to be adequately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w:t>
      </w:r>
      <w:r>
        <w:rPr>
          <w:i/>
          <w:iCs/>
        </w:rPr>
        <w:t xml:space="preserve">e</w:t>
      </w:r>
      <w:r>
        <w:t xml:space="preserve">.</w:t>
      </w:r>
      <w:r>
        <w:rPr>
          <w:i/>
          <w:iCs/>
        </w:rPr>
        <w:t xml:space="preserve">g</w:t>
      </w:r>
      <w:r>
        <w:t xml:space="preserve">.,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Hauffe et al. 2024; Morlon et al. 2024</w:t>
      </w:r>
      <w:r>
        <w:t xml:space="preserve"> </w:t>
      </w:r>
      <w:r>
        <w:rPr>
          <w:i/>
          <w:iCs/>
        </w:rPr>
        <w:t xml:space="preserve">and literature therein</w:t>
      </w:r>
      <w:r>
        <w:t xml:space="preserve">)</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(1) carry out body mass estimations based on recently-published sets of predictive equations, and (2) determine cheek teeth crown height categories based on hypsodonty indices.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the incorporation of missing published data</w:t>
      </w:r>
      <w:r>
        <w:t xml:space="preserve"> </w:t>
      </w:r>
      <w:r>
        <w:t xml:space="preserve">(</w:t>
      </w:r>
      <w:r>
        <w:rPr>
          <w:i/>
          <w:iCs/>
        </w:rPr>
        <w:t xml:space="preserve">e</w:t>
      </w:r>
      <w:r>
        <w:t xml:space="preserve">.</w:t>
      </w:r>
      <w:r>
        <w:rPr>
          <w:i/>
          <w:iCs/>
        </w:rPr>
        <w:t xml:space="preserve">g</w:t>
      </w:r>
      <w:r>
        <w:t xml:space="preserve">., Arnal et al. 2026)</w:t>
      </w:r>
      <w:r>
        <w:t xml:space="preserve"> </w:t>
      </w:r>
      <w:r>
        <w:t xml:space="preserve">and to account for the most up-to-date taxonomic revisions</w:t>
      </w:r>
      <w:r>
        <w:t xml:space="preserve"> </w:t>
      </w:r>
      <w:r>
        <w:t xml:space="preserve">(</w:t>
      </w:r>
      <w:r>
        <w:rPr>
          <w:i/>
          <w:iCs/>
        </w:rPr>
        <w:t xml:space="preserve">e</w:t>
      </w:r>
      <w:r>
        <w:t xml:space="preserve">.</w:t>
      </w:r>
      <w:r>
        <w:rPr>
          <w:i/>
          <w:iCs/>
        </w:rPr>
        <w:t xml:space="preserve">g</w:t>
      </w:r>
      <w:r>
        <w:t xml:space="preserve">., Rasia 2026)</w:t>
      </w:r>
      <w:r>
        <w:t xml:space="preserve">. We excluded occurrences with open nomenclature names (</w:t>
      </w:r>
      <w:r>
        <w:rPr>
          <w:i/>
          <w:iCs/>
        </w:rPr>
        <w:t xml:space="preserve">cf</w:t>
      </w:r>
      <w:r>
        <w:t xml:space="preserve">.,</w:t>
      </w:r>
      <w:r>
        <w:t xml:space="preserve"> </w:t>
      </w:r>
      <w:r>
        <w:rPr>
          <w:i/>
          <w:iCs/>
        </w:rPr>
        <w:t xml:space="preserve">aff</w:t>
      </w:r>
      <w:r>
        <w:t xml:space="preserve">., ?) from upstream analyses. Additional details on our data cleaning procedure may be found in Supplementary materials.</w:t>
      </w:r>
    </w:p>
    <w:p>
      <w:pPr>
        <w:pStyle w:val="BodyText"/>
      </w:pPr>
      <w:r>
        <w:t xml:space="preserve">We then obtained an exhaustive dated caviomorph phylogeny from VertLife (http://vertlife.org/phylosubsets). This tree was extracted from the credible set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w:t>
      </w:r>
      <w:r>
        <w:rPr>
          <w:i/>
          <w:iCs/>
        </w:rPr>
        <w:t xml:space="preserve">e</w:t>
      </w:r>
      <w:r>
        <w:t xml:space="preserve">.</w:t>
      </w:r>
      <w:r>
        <w:rPr>
          <w:i/>
          <w:iCs/>
        </w:rPr>
        <w:t xml:space="preserve">g</w:t>
      </w:r>
      <w:r>
        <w:t xml:space="preserve">., Brée et al. 2022; Jouault et al. 2024;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and carried out their macroevolutionary inference out of a single combined origination and extinction times dataset – acknowledging that the extinction times of extant species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w:t>
      </w:r>
      <w:r>
        <w:t xml:space="preserve">(Figure S3).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(536 occurrences, 124 species, including 56 singletons) and one genus-level database (769 occurrences, 61 genera, including 13 singletons), spanning the entire lifespan of the clade (from the latest Eocene to present), spread across South America and the West Indies (Figure S1).</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pipeline that we went to describe)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for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taxon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 (</w:t>
      </w:r>
      <w:hyperlink w:anchor="fig-lifespans">
        <w:r>
          <w:rPr>
            <w:rStyle w:val="Hyperlink"/>
          </w:rPr>
          <w:t xml:space="preserve">Figure 4</w:t>
        </w:r>
      </w:hyperlink>
      <w:r>
        <w:t xml:space="preserve">).</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recognized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S7).</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S4). In parallel, the same database was analysed using the Birth–Death model with Constrained Shifts (BDCS)</w:t>
      </w:r>
      <w:r>
        <w:t xml:space="preserve"> </w:t>
      </w:r>
      <w:r>
        <w:t xml:space="preserve">(Silvestro et al. 2015)</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S5)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w:t>
      </w:r>
      <w:r>
        <w:t xml:space="preserve"> </w:t>
      </w:r>
      <w:r>
        <w:t xml:space="preserve">Rasia (2026)</w:t>
      </w:r>
      <w:r>
        <w:t xml:space="preserve">) on the reconstructed diversification pattern. We also carried out analyses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4" w:name="Xe57631aa6071154f2080e5d1af65f26f612edcb"/>
    <w:p>
      <w:pPr>
        <w:pStyle w:val="Heading2"/>
      </w:pPr>
      <w:r>
        <w:t xml:space="preserve">Drivers behind macroevolutionary patterns</w:t>
      </w:r>
    </w:p>
    <w:p>
      <w:pPr>
        <w:pStyle w:val="FirstParagraph"/>
      </w:pPr>
      <w:r>
        <w:rPr>
          <w:i/>
          <w:iCs/>
        </w:rPr>
        <w:t xml:space="preserve">Since insular and continental taxa are not subject to the same evolutionary constraints, we excluded the five West Indian taxa</w:t>
      </w:r>
      <w:r>
        <w:rPr>
          <w:rStyle w:val="FootnoteReference"/>
        </w:rPr>
        <w:footnoteReference w:id="28"/>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29"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(Figure S23).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2011; Condamine et al. 2019a, 2020)</w:t>
      </w:r>
      <w:r>
        <w:t xml:space="preserve"> </w:t>
      </w:r>
      <w:r>
        <w:t xml:space="preserve">in a wide range of clades. Therefore, we allowed for diversity-dependence in our environment-dependent diversification (EDD) analyses.</w:t>
      </w:r>
    </w:p>
    <w:bookmarkEnd w:id="29"/>
    <w:bookmarkStart w:id="30"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0"/>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31"/>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a1af8f99655f7af24f039c0e546ac07b26e5eba"/>
    <w:p>
      <w:pPr>
        <w:pStyle w:val="Heading2"/>
      </w:pPr>
      <w:r>
        <w:t xml:space="preserve">The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 Ma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diversity was conserved when conducting genus-level analyses (Figure S10 C) or when excluding singletons from the species-level dataset (Figure S8 C), though we may report that the amplitude of changes in diversity was attenuated in either case when compared to the analysis of the complete species-level dataset.</w:t>
      </w:r>
    </w:p>
    <w:p>
      <w:pPr>
        <w:pStyle w:val="BodyText"/>
      </w:pPr>
      <w:r>
        <w:t xml:space="preserve">This diversity pattern elegantly matched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fig-lifespans">
        <w:r>
          <w:rPr>
            <w:rStyle w:val="Hyperlink"/>
          </w:rPr>
          <w:t xml:space="preserve">Figure 4</w:t>
        </w:r>
      </w:hyperlink>
      <w:r>
        <w:t xml:space="preserve">). Small-bodied species (&lt; 1kg) are mostly restricted to Palaeogene–Early Miocene basal (</w:t>
      </w:r>
      <w:r>
        <w:t xml:space="preserve">‘</w:t>
      </w:r>
      <w:r>
        <w:t xml:space="preserve">stem</w:t>
      </w:r>
      <w:r>
        <w:t xml:space="preserve">’</w:t>
      </w:r>
      <w:r>
        <w:t xml:space="preserve">) forms, with the notable exception of Early Miocene chinchillids (</w:t>
      </w:r>
      <w:r>
        <w:rPr>
          <w:i/>
          <w:iCs/>
        </w:rPr>
        <w:t xml:space="preserve">Peruchinchilla prima</w:t>
      </w:r>
      <w:r>
        <w:t xml:space="preserve">,</w:t>
      </w:r>
      <w:r>
        <w:t xml:space="preserve"> </w:t>
      </w:r>
      <w:r>
        <w:rPr>
          <w:i/>
          <w:iCs/>
        </w:rPr>
        <w:t xml:space="preserve">Pliolagostomus notatus</w:t>
      </w:r>
      <w:r>
        <w:t xml:space="preserve"> </w:t>
      </w:r>
      <w:r>
        <w:t xml:space="preserve">and</w:t>
      </w:r>
      <w:r>
        <w:t xml:space="preserve"> </w:t>
      </w:r>
      <w:r>
        <w:rPr>
          <w:i/>
          <w:iCs/>
        </w:rPr>
        <w:t xml:space="preserve">Pl. obliquidens</w:t>
      </w:r>
      <w:r>
        <w:t xml:space="preserve">) and neoepiblemids (</w:t>
      </w:r>
      <w:r>
        <w:rPr>
          <w:i/>
          <w:iCs/>
        </w:rPr>
        <w:t xml:space="preserve">Perimys dissimilis</w:t>
      </w:r>
      <w:r>
        <w:t xml:space="preserve">,</w:t>
      </w:r>
      <w:r>
        <w:t xml:space="preserve"> </w:t>
      </w:r>
      <w:r>
        <w:rPr>
          <w:i/>
          <w:iCs/>
        </w:rPr>
        <w:t xml:space="preserve">P. erutus</w:t>
      </w:r>
      <w:r>
        <w:t xml:space="preserve"> </w:t>
      </w:r>
      <w:r>
        <w:t xml:space="preserve">and</w:t>
      </w:r>
      <w:r>
        <w:t xml:space="preserve"> </w:t>
      </w:r>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 Ma, and only persisted the lineages that gave birth to the extant moderate-sized representatives of the group. In the West Indies, Quaternary deposits yielded remains of large-sized taxa (grouped into the likely non-monophyletic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 a cautionary tale on extant sampling scheme and taxonomy</w:t>
      </w:r>
    </w:p>
    <w:p>
      <w:pPr>
        <w:pStyle w:val="FirstParagraph"/>
      </w:pPr>
      <w:r>
        <w:t xml:space="preserve">Our findings revealed that the aforementioned changes in 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remained constant during their evolutionary history (</w:t>
      </w:r>
      <w:hyperlink w:anchor="fig-diversification">
        <w:r>
          <w:rPr>
            <w:rStyle w:val="Hyperlink"/>
          </w:rPr>
          <w:t xml:space="preserve">Figure 5</w:t>
        </w:r>
      </w:hyperlink>
      <w:r>
        <w:t xml:space="preserve"> </w:t>
      </w:r>
      <w:r>
        <w:t xml:space="preserve">A and C, Figure S6 A). This result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G), and was not found significantly associated with any of the variables (Figure S20). The results obtained with the BDNN model also corroborate this conclusion. Indeed, when plotted against time, BDNN-inferred marginal speciation rate remained overall stable across the study period (</w:t>
      </w:r>
      <w:hyperlink w:anchor="fig-diversification">
        <w:r>
          <w:rPr>
            <w:rStyle w:val="Hyperlink"/>
          </w:rPr>
          <w:t xml:space="preserve">Figure 5</w:t>
        </w:r>
      </w:hyperlink>
      <w:r>
        <w:t xml:space="preserve"> </w:t>
      </w:r>
      <w:r>
        <w:t xml:space="preserve">E, Figure S16-S17). Also, the coefficients of rate variation across the ten imputation replicates, not differing from expectations under a constant-rate birth–death model (0.23</w:t>
      </w:r>
      <w:r>
        <w:t xml:space="preserve"> </w:t>
      </w:r>
      <w:r>
        <w:rPr>
          <w:i/>
          <w:iCs/>
        </w:rPr>
        <w:t xml:space="preserve">vs</w:t>
      </w:r>
      <w:r>
        <w:t xml:space="preserve">. 0.23, Table S4), suggest an absence of significant speciation rate variation across lineages.</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H)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recent taxonomic updates among the Late Miocene rodent fauna of the Ituzaingó formation (Entre Ríos Province, Argentina, Figure S12)</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S10-S11). This shift was also detected by the BDCS, BDNN and the MBD models, these three models capturing a possible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Figure 5</w:t>
        </w:r>
      </w:hyperlink>
      <w:r>
        <w:t xml:space="preserve"> </w:t>
      </w:r>
      <w:r>
        <w:t xml:space="preserve">D, F, H). That being said, removing singleton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(Figure S3) – except for</w:t>
      </w:r>
      <w:r>
        <w:t xml:space="preserve"> </w:t>
      </w:r>
      <w:r>
        <w:rPr>
          <w:i/>
          <w:iCs/>
        </w:rPr>
        <w:t xml:space="preserve">D. branickii</w:t>
      </w:r>
      <w:r>
        <w:t xml:space="preserve">, for which the difference was way more pronounced, as we tailored our sampling scheme to (see</w:t>
      </w:r>
      <w:r>
        <w:t xml:space="preserve"> </w:t>
      </w:r>
      <w:r>
        <w:rPr>
          <w:i/>
          <w:iCs/>
        </w:rPr>
        <w:t xml:space="preserve">Methods</w:t>
      </w:r>
      <w:r>
        <w:t xml:space="preserve">). This sampling scheme (leading to the</w:t>
      </w:r>
      <w:r>
        <w:t xml:space="preserve"> </w:t>
      </w:r>
      <w:r>
        <w:t xml:space="preserve">‘</w:t>
      </w:r>
      <w:r>
        <w:t xml:space="preserve">newly-combined</w:t>
      </w:r>
      <w:r>
        <w:t xml:space="preserve">’</w:t>
      </w:r>
      <w:r>
        <w:t xml:space="preserve"> </w:t>
      </w:r>
      <w:r>
        <w:t xml:space="preserve">dataset) had minor effects on upstream reconstructions of diversity when compared to inferences carried out from datasets either exclusively encompassing fossil occurrences (</w:t>
      </w:r>
      <w:r>
        <w:t xml:space="preserve">‘</w:t>
      </w:r>
      <w:r>
        <w:t xml:space="preserve">fossil-only</w:t>
      </w:r>
      <w:r>
        <w:t xml:space="preserve">’</w:t>
      </w:r>
      <w:r>
        <w:t xml:space="preserve">) or in which extant taxa were incorporated by means of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w:t>
      </w:r>
      <w:r>
        <w:t xml:space="preserve"> </w:t>
      </w:r>
      <w:r>
        <w:t xml:space="preserve">‘</w:t>
      </w:r>
      <w:r>
        <w:t xml:space="preserve">biased sampling</w:t>
      </w:r>
      <w:r>
        <w:t xml:space="preserve">’</w:t>
      </w:r>
      <w:r>
        <w:t xml:space="preserve">) (Figure S2 G–I). The only noticeable change was the inflation of diversity in the last few million years, sharp in the</w:t>
      </w:r>
      <w:r>
        <w:t xml:space="preserve"> </w:t>
      </w:r>
      <w:r>
        <w:t xml:space="preserve">‘</w:t>
      </w:r>
      <w:r>
        <w:t xml:space="preserve">biased sampling</w:t>
      </w:r>
      <w:r>
        <w:t xml:space="preserve">’</w:t>
      </w:r>
      <w:r>
        <w:t xml:space="preserve"> </w:t>
      </w:r>
      <w:r>
        <w:t xml:space="preserve">case, smooth in the</w:t>
      </w:r>
      <w:r>
        <w:t xml:space="preserve"> </w:t>
      </w:r>
      <w:r>
        <w:t xml:space="preserve">‘</w:t>
      </w:r>
      <w:r>
        <w:t xml:space="preserve">newly-combined</w:t>
      </w:r>
      <w:r>
        <w:t xml:space="preserve">’</w:t>
      </w:r>
      <w:r>
        <w:t xml:space="preserve"> </w:t>
      </w:r>
      <w:r>
        <w:t xml:space="preserve">case, absent in the</w:t>
      </w:r>
      <w:r>
        <w:t xml:space="preserve"> </w:t>
      </w:r>
      <w:r>
        <w:t xml:space="preserve">‘</w:t>
      </w:r>
      <w:r>
        <w:t xml:space="preserve">fossil-only</w:t>
      </w:r>
      <w:r>
        <w:t xml:space="preserve">’</w:t>
      </w:r>
      <w:r>
        <w:t xml:space="preserve"> </w:t>
      </w:r>
      <w:r>
        <w:t xml:space="preserve">case. However, reconstructed diversification rates through time were highly sensitive to extant sampling scheme. Indeed, as described before, analyses of the</w:t>
      </w:r>
      <w:r>
        <w:t xml:space="preserve"> </w:t>
      </w:r>
      <w:r>
        <w:t xml:space="preserve">‘</w:t>
      </w:r>
      <w:r>
        <w:t xml:space="preserve">newly-combined</w:t>
      </w:r>
      <w:r>
        <w:t xml:space="preserve">’</w:t>
      </w:r>
      <w:r>
        <w:t xml:space="preserve"> </w:t>
      </w:r>
      <w:r>
        <w:t xml:space="preserve">dataset retrieved no significant change in speciation rate, whereas a shift was detected</w:t>
      </w:r>
      <w:r>
        <w:t xml:space="preserve"> </w:t>
      </w:r>
      <w:r>
        <w:rPr>
          <w:i/>
          <w:iCs/>
        </w:rPr>
        <w:t xml:space="preserve">ca</w:t>
      </w:r>
      <w:r>
        <w:t xml:space="preserve">. 2.5 Ma with the alternative datasets, either significant (</w:t>
      </w:r>
      <w:r>
        <w:t xml:space="preserve">‘</w:t>
      </w:r>
      <w:r>
        <w:t xml:space="preserve">fossil-only</w:t>
      </w:r>
      <w:r>
        <w:t xml:space="preserve">’</w:t>
      </w:r>
      <w:r>
        <w:t xml:space="preserve"> </w:t>
      </w:r>
      <w:r>
        <w:t xml:space="preserve">dataset) or strongly-supported (</w:t>
      </w:r>
      <w:r>
        <w:t xml:space="preserve">‘</w:t>
      </w:r>
      <w:r>
        <w:t xml:space="preserve">biased sampling</w:t>
      </w:r>
      <w:r>
        <w:t xml:space="preserve">’</w:t>
      </w:r>
      <w:r>
        <w:t xml:space="preserve"> </w:t>
      </w:r>
      <w:r>
        <w:t xml:space="preserve">dataset) (Figure S2 A–C). Also noteworthy, the magnitude of the late Miocene increase in chinchilloid extinction rate was three times higher in the analysis of the two alternative datasets (Figure S2 D–F).</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(&gt;1500 m,</w:t>
      </w:r>
      <w:r>
        <w:t xml:space="preserve"> </w:t>
      </w:r>
      <w:hyperlink w:anchor="fig-ExtinctionDrivers">
        <w:r>
          <w:rPr>
            <w:rStyle w:val="Hyperlink"/>
          </w:rPr>
          <w:t xml:space="preserve">Figure 6</w:t>
        </w:r>
      </w:hyperlink>
      <w:r>
        <w:t xml:space="preserve"> </w:t>
      </w:r>
      <w:r>
        <w:t xml:space="preserve">C). Tropical and extratropical species respectively show a similar response to increasing uplift (Figure S24). This overall pattern of uplift-dependent extinction was also conserved across body size classes, except for the smallest taxa (XS, Figure S25). Furthermore, we evidenced that larger-bodied species had higher extinction rates than smaller-bodied species, with up to a 1.84-fold difference in average values (</w:t>
      </w:r>
      <w:hyperlink w:anchor="fig-ExtinctionDrivers">
        <w:r>
          <w:rPr>
            <w:rStyle w:val="Hyperlink"/>
          </w:rPr>
          <w:t xml:space="preserve">Figure 6</w:t>
        </w:r>
      </w:hyperlink>
      <w:r>
        <w:t xml:space="preserve"> </w:t>
      </w:r>
      <w:r>
        <w:t xml:space="preserve">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w:t>
      </w:r>
      <w:r>
        <w:t xml:space="preserve"> </w:t>
      </w:r>
      <w:r>
        <w:rPr>
          <w:i/>
          <w:iCs/>
        </w:rPr>
        <w:t xml:space="preserve">ca</w:t>
      </w:r>
      <w:r>
        <w:t xml:space="preserve">. 6 Ma were mostly composed of large taxa (</w:t>
      </w:r>
      <w:hyperlink w:anchor="fig-diversityBM">
        <w:r>
          <w:rPr>
            <w:rStyle w:val="Hyperlink"/>
          </w:rPr>
          <w:t xml:space="preserve">Figure 3</w:t>
        </w:r>
      </w:hyperlink>
      <w:r>
        <w:t xml:space="preserve"> </w:t>
      </w:r>
      <w:r>
        <w:t xml:space="preserve">C and</w:t>
      </w:r>
      <w:r>
        <w:t xml:space="preserve"> </w:t>
      </w:r>
      <w:hyperlink w:anchor="fig-lifespans">
        <w:r>
          <w:rPr>
            <w:rStyle w:val="Hyperlink"/>
          </w:rPr>
          <w:t xml:space="preserve">Figure 4</w:t>
        </w:r>
      </w:hyperlink>
      <w:r>
        <w:t xml:space="preserve">). Last, on average, tropical species were found to have 1.5-times lower extinction rates than extra-tropical species (</w:t>
      </w:r>
      <w:hyperlink w:anchor="fig-ExtinctionDrivers">
        <w:r>
          <w:rPr>
            <w:rStyle w:val="Hyperlink"/>
          </w:rPr>
          <w:t xml:space="preserve">Figure 6</w:t>
        </w:r>
      </w:hyperlink>
      <w:r>
        <w:t xml:space="preserve"> </w:t>
      </w:r>
      <w:r>
        <w:t xml:space="preserve">C, Table S8). This difference in extinction rate between tropical and extratropical taxa were particularly pronounced in moderate-to-large classes (</w:t>
      </w:r>
      <w:r>
        <w:rPr>
          <w:i/>
          <w:iCs/>
        </w:rPr>
        <w:t xml:space="preserve">i</w:t>
      </w:r>
      <w:r>
        <w:t xml:space="preserve">.</w:t>
      </w:r>
      <w:r>
        <w:rPr>
          <w:i/>
          <w:iCs/>
        </w:rPr>
        <w:t xml:space="preserve">e</w:t>
      </w:r>
      <w:r>
        <w:t xml:space="preserve">., M, L, XL; Figure S26). We might precise that, in our BDNN analyses, time was always ranked as the least important predictor (Table S6), suggesting our environmental and trait variables effectively captured signals of rate variation.</w:t>
      </w:r>
    </w:p>
    <w:p>
      <w:pPr>
        <w:pStyle w:val="BodyText"/>
      </w:pPr>
      <w:r>
        <w:t xml:space="preserve">Also, depending on the imputation replicate, hypsodonty was sometimes ranked at the third position among the most important extinction rate predictors (Table S6). Our findings indeed highlight differential extinction sensitivities within high-crowned taxa. Extinction rate was indeed on average 1.59 times higher for protohypsodont (rooted) than for euhypsodont (unrooted) species (Table S9, Figure S27). Given their very restricted number of species, it is hard to reliably interpret diversification rate estimations for the two other crown height categories (</w:t>
      </w:r>
      <w:r>
        <w:rPr>
          <w:i/>
          <w:iCs/>
        </w:rPr>
        <w:t xml:space="preserve">i</w:t>
      </w:r>
      <w:r>
        <w:t xml:space="preserve">.</w:t>
      </w:r>
      <w:r>
        <w:rPr>
          <w:i/>
          <w:iCs/>
        </w:rPr>
        <w:t xml:space="preserve">e</w:t>
      </w:r>
      <w:r>
        <w:t xml:space="preserve">., brachydont and mesodont, Figure S7).</w:t>
      </w:r>
    </w:p>
    <w:p>
      <w:pPr>
        <w:pStyle w:val="BodyText"/>
      </w:pPr>
      <w:r>
        <w:t xml:space="preserve">The best predictor for inter-lineage extinction rate variations in the Chinchilloidea drastically differ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 xml:space="preserve">Figure 6</w:t>
        </w:r>
      </w:hyperlink>
      <w:r>
        <w:t xml:space="preserve"> </w:t>
      </w:r>
      <w:r>
        <w:t xml:space="preserve">D).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pPr>
      <w:r>
        <w:t xml:space="preserve">Last, our findings revealed a sustained age-dependent extinction pattern over chinchilloid evolutionary history, in which extinction rate decreases with increasing species age (Weibull shape</w:t>
      </w:r>
      <w:r>
        <w:t xml:space="preserve"> </w:t>
      </w:r>
      <m:oMath>
        <m:r>
          <m:t>Φ</m:t>
        </m:r>
        <m:r>
          <m:rPr>
            <m:sty m:val="p"/>
          </m:rPr>
          <m:t>&lt;</m:t>
        </m:r>
        <m:r>
          <m:t>1</m:t>
        </m:r>
      </m:oMath>
      <w:r>
        <w:t xml:space="preserve">), both before and after the extinction rate shift that we detected</w:t>
      </w:r>
      <w:r>
        <w:t xml:space="preserve"> </w:t>
      </w:r>
      <w:r>
        <w:rPr>
          <w:i/>
          <w:iCs/>
        </w:rPr>
        <w:t xml:space="preserve">ca</w:t>
      </w:r>
      <w:r>
        <w:t xml:space="preserve">. 6 Ma (Figure S13 and Table S11).</w:t>
      </w:r>
    </w:p>
    <w:bookmarkEnd w:id="38"/>
    <w:bookmarkEnd w:id="39"/>
    <w:bookmarkStart w:id="47" w:name="discussion"/>
    <w:p>
      <w:pPr>
        <w:pStyle w:val="Heading1"/>
      </w:pPr>
      <w:r>
        <w:t xml:space="preserve">Discussion</w:t>
      </w:r>
    </w:p>
    <w:bookmarkStart w:id="40" w:name="X45512260c5485d86ae119a012641fc04c0e5c67"/>
    <w:p>
      <w:pPr>
        <w:pStyle w:val="Heading2"/>
      </w:pPr>
      <w:r>
        <w:t xml:space="preserve">The coupled dynamics of chinchilloid diversity and body size disparity</w:t>
      </w:r>
    </w:p>
    <w:p>
      <w:pPr>
        <w:pStyle w:val="FirstParagraph"/>
      </w:pPr>
      <w:r>
        <w:t xml:space="preserve">Our findings highlight the coordinated dynamics of body mass evolution and species diversity in the Chinchilloidea. From the late Eocene–early Oligocene to the Late Miocene, chinchilloids experienced a steady increase in median body size and body size range (</w:t>
      </w:r>
      <w:hyperlink w:anchor="fig-diversityBM">
        <w:r>
          <w:rPr>
            <w:rStyle w:val="Hyperlink"/>
          </w:rPr>
          <w:t xml:space="preserve">Figure 3</w:t>
        </w:r>
      </w:hyperlink>
      <w:r>
        <w:t xml:space="preserve"> </w:t>
      </w:r>
      <w:r>
        <w:t xml:space="preserve">C). Such an increase may elegantly illustrate a long-recognised tendency for lineages to increase in body size over evolutionary time, known as Cope’s rule</w:t>
      </w:r>
      <w:r>
        <w:t xml:space="preserve"> </w:t>
      </w:r>
      <w:r>
        <w:t xml:space="preserve">(Cope 1896)</w:t>
      </w:r>
      <w:r>
        <w:t xml:space="preserve">. A similar increase is suggested by our reconstructions of diversity through time, particularly from the Middle Miocene (</w:t>
      </w:r>
      <w:hyperlink w:anchor="fig-diversityBM">
        <w:r>
          <w:rPr>
            <w:rStyle w:val="Hyperlink"/>
          </w:rPr>
          <w:t xml:space="preserve">Figure 3</w:t>
        </w:r>
      </w:hyperlink>
      <w:r>
        <w:t xml:space="preserve"> </w:t>
      </w:r>
      <w:r>
        <w:t xml:space="preserve">A–B). The largest body mass range – together with the largest clade-wise median body mass – were concomitantly achieved when the clade diversity peaked, in the Late Miocene (</w:t>
      </w:r>
      <w:hyperlink w:anchor="fig-diversityBM">
        <w:r>
          <w:rPr>
            <w:rStyle w:val="Hyperlink"/>
          </w:rPr>
          <w:t xml:space="preserve">Figure 3</w:t>
        </w:r>
      </w:hyperlink>
      <w:r>
        <w:t xml:space="preserve">). Species diversity and body mass disparity then subsequently declined (</w:t>
      </w:r>
      <w:hyperlink w:anchor="fig-diversityBM">
        <w:r>
          <w:rPr>
            <w:rStyle w:val="Hyperlink"/>
          </w:rPr>
          <w:t xml:space="preserve">Figure 3</w:t>
        </w:r>
      </w:hyperlink>
      <w:r>
        <w:t xml:space="preserve">).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w:t>
      </w:r>
      <w:r>
        <w:t xml:space="preserve"> </w:t>
      </w:r>
      <w:r>
        <w:t xml:space="preserve">(Simpson 1953)</w:t>
      </w:r>
      <w:r>
        <w:t xml:space="preserve">, the concept of punctuated equilibria</w:t>
      </w:r>
      <w:r>
        <w:t xml:space="preserve"> </w:t>
      </w:r>
      <w:r>
        <w:t xml:space="preserve">(Gould and Eldredge 1977)</w:t>
      </w:r>
      <w:r>
        <w:t xml:space="preserve"> </w:t>
      </w:r>
      <w:r>
        <w:t xml:space="preserve">or the</w:t>
      </w:r>
      <w:r>
        <w:t xml:space="preserve"> </w:t>
      </w:r>
      <w:r>
        <w:t xml:space="preserve">‘</w:t>
      </w:r>
      <w:r>
        <w:t xml:space="preserve">versatility</w:t>
      </w:r>
      <w:r>
        <w:t xml:space="preserve">’</w:t>
      </w:r>
      <w:r>
        <w:t xml:space="preserve"> </w:t>
      </w:r>
      <w:r>
        <w:t xml:space="preserve">hypothesis</w:t>
      </w:r>
      <w:r>
        <w:t xml:space="preserve"> </w:t>
      </w:r>
      <w:r>
        <w:t xml:space="preserve">(Vermeij 1973a,b)</w:t>
      </w:r>
      <w:r>
        <w:t xml:space="preserve">. A positive relationship between diversity and disparity was supported by empirical case studies on several vertebrate clades</w:t>
      </w:r>
      <w:r>
        <w:t xml:space="preserve"> </w:t>
      </w:r>
      <w:r>
        <w:t xml:space="preserve">(</w:t>
      </w:r>
      <w:r>
        <w:rPr>
          <w:i/>
          <w:iCs/>
        </w:rPr>
        <w:t xml:space="preserve">e</w:t>
      </w:r>
      <w:r>
        <w:t xml:space="preserve">.</w:t>
      </w:r>
      <w:r>
        <w:rPr>
          <w:i/>
          <w:iCs/>
        </w:rPr>
        <w:t xml:space="preserve">g</w:t>
      </w:r>
      <w:r>
        <w:t xml:space="preserve">., Hughes et al. 2013; Rabosky et al. 2013; Cooney and Thomas 2021)</w:t>
      </w:r>
      <w:r>
        <w:t xml:space="preserve">. However, evidence from a diverse array of study models, including therapsids</w:t>
      </w:r>
      <w:r>
        <w:t xml:space="preserve"> </w:t>
      </w:r>
      <w:r>
        <w:t xml:space="preserve">(Ruta et al. 2013)</w:t>
      </w:r>
      <w:r>
        <w:t xml:space="preserve">, muroid rodents</w:t>
      </w:r>
      <w:r>
        <w:t xml:space="preserve"> </w:t>
      </w:r>
      <w:r>
        <w:t xml:space="preserve">(Rowe et al. 2011; Alhajeri et al. 2016; Maestri et al. 2017; Missagia et al. 2023)</w:t>
      </w:r>
      <w:r>
        <w:t xml:space="preserve"> </w:t>
      </w:r>
      <w:r>
        <w:t xml:space="preserve">or equids</w:t>
      </w:r>
      <w:r>
        <w:t xml:space="preserve"> </w:t>
      </w:r>
      <w:r>
        <w:t xml:space="preserve">(Cantalapiedra et al. 2017)</w:t>
      </w:r>
      <w:r>
        <w:t xml:space="preserve"> </w:t>
      </w:r>
      <w:r>
        <w:t xml:space="preserve">challenged such a relationship, illustrating a decoupling between species diversity and morphological disparity. In that respect, though with a more restricted taxonomic sampling (and associated trait reconstructions), a recent study analysed the patterns of diversity and morphological (body size and cranio-dental) evolution of Chinchilloidea and their sister group, Octodontoidea</w:t>
      </w:r>
      <w:r>
        <w:t xml:space="preserve"> </w:t>
      </w:r>
      <w:r>
        <w:t xml:space="preserve">(Carrillo et al. 2026)</w:t>
      </w:r>
      <w:r>
        <w:t xml:space="preserve">. They evidenced a striking pairwise decoupling between the dynamics of disparity and diversity of the two clades, with chinchilloids always maintaining a larger morphological (and particularly body size) disparity with a lower species diversity than octodontoids. That being said, our occurrence-based chinchilloid diversity-through-time reconstruction does not substantially differ from theirs. Consequently, we propose that, beyond contradiction, our study illustrates the scale-dependence of the disparity-diversity relationship. Despite the fact that, over their evolutionary history, chinchilloids have been unquestionably more morphologically-diverse but less species-diverse than their sister clade (octodontoids), suggesting an inter-clade decoupling between diversity and disparity, at the intra-clade scale, chinchilloid dynamics of species diversity and body size disparity were undoubtedly correlated. The dependence of the diversity-disparity relationship to the phylogenetic scale was already illustrated by</w:t>
      </w:r>
      <w:r>
        <w:t xml:space="preserve"> </w:t>
      </w:r>
      <w:r>
        <w:t xml:space="preserve">Cooney and Thomas (2021)</w:t>
      </w:r>
      <w:r>
        <w:t xml:space="preserve">, finding that the positive relationship between rates of diversification and morphological evolution preferentially arose from large phylogenetic scales.</w:t>
      </w:r>
    </w:p>
    <w:bookmarkEnd w:id="40"/>
    <w:bookmarkStart w:id="41" w:name="drivers-of-an-evolutionary-decline"/>
    <w:p>
      <w:pPr>
        <w:pStyle w:val="Heading2"/>
      </w:pPr>
      <w:r>
        <w:t xml:space="preserve">Drivers of an evolutionary decline</w:t>
      </w:r>
    </w:p>
    <w:p>
      <w:pPr>
        <w:pStyle w:val="FirstParagraph"/>
      </w:pPr>
      <w:r>
        <w:t xml:space="preserve">Our findings revealed that chinchilloid evolutionary history was best summarised by a birth–death model with constant speciation and time-variable extinction (</w:t>
      </w:r>
      <w:hyperlink w:anchor="fig-diversification">
        <w:r>
          <w:rPr>
            <w:rStyle w:val="Hyperlink"/>
          </w:rPr>
          <w:t xml:space="preserve">Figure 5</w:t>
        </w:r>
      </w:hyperlink>
      <w:r>
        <w:t xml:space="preserve">; Figure S5). The absence of temporal variation in speciation rate suggests that the</w:t>
      </w:r>
      <w:r>
        <w:t xml:space="preserve"> </w:t>
      </w:r>
      <w:r>
        <w:t xml:space="preserve">‘</w:t>
      </w:r>
      <w:r>
        <w:t xml:space="preserve">Ent wives</w:t>
      </w:r>
      <w:r>
        <w:t xml:space="preserve">’</w:t>
      </w:r>
      <w:r>
        <w:t xml:space="preserve"> </w:t>
      </w:r>
      <w:r>
        <w:t xml:space="preserve">model of clade demise due to a decrease in speciation/origination rate</w:t>
      </w:r>
      <w:r>
        <w:t xml:space="preserve"> </w:t>
      </w:r>
      <w:r>
        <w:t xml:space="preserve">(Quental and Marshall 2013)</w:t>
      </w:r>
      <w:r>
        <w:t xml:space="preserve"> </w:t>
      </w:r>
      <w:r>
        <w:t xml:space="preserve">fails to explain the macroevolutionary dynamics of chinchilloids, though such a model was found to accurately reflect the decline of several clades</w:t>
      </w:r>
      <w:r>
        <w:t xml:space="preserve"> </w:t>
      </w:r>
      <w:r>
        <w:t xml:space="preserve">(</w:t>
      </w:r>
      <w:r>
        <w:rPr>
          <w:i/>
          <w:iCs/>
        </w:rPr>
        <w:t xml:space="preserve">e</w:t>
      </w:r>
      <w:r>
        <w:t xml:space="preserve">.</w:t>
      </w:r>
      <w:r>
        <w:rPr>
          <w:i/>
          <w:iCs/>
        </w:rPr>
        <w:t xml:space="preserve">g</w:t>
      </w:r>
      <w:r>
        <w:t xml:space="preserve">., Condamine et al. 2019a; Condamine et al. 2019b)</w:t>
      </w:r>
      <w:r>
        <w:t xml:space="preserve">. However, recent findings reaffirmed the importance of species-level extinction over speciation in shaping clade diversity trajectories</w:t>
      </w:r>
      <w:r>
        <w:t xml:space="preserve"> </w:t>
      </w:r>
      <w:r>
        <w:t xml:space="preserve">(Quintero et al. 2025)</w:t>
      </w:r>
      <w:r>
        <w:t xml:space="preserve">.</w:t>
      </w:r>
    </w:p>
    <w:p>
      <w:pPr>
        <w:pStyle w:val="BodyText"/>
      </w:pPr>
      <w:r>
        <w:t xml:space="preserve">The extinction rate increase that we evidenced</w:t>
      </w:r>
      <w:r>
        <w:t xml:space="preserve"> </w:t>
      </w:r>
      <w:r>
        <w:rPr>
          <w:i/>
          <w:iCs/>
        </w:rPr>
        <w:t xml:space="preserve">ca</w:t>
      </w:r>
      <w:r>
        <w:t xml:space="preserve">. 6 Ma did not apply uniformly to all species of the clade. Rather, extinction rates were higher for larger-bodied and extratropical taxa (</w:t>
      </w:r>
      <w:hyperlink w:anchor="fig-ExtinctionDrivers">
        <w:r>
          <w:rPr>
            <w:rStyle w:val="Hyperlink"/>
          </w:rPr>
          <w:t xml:space="preserve">Figure 6</w:t>
        </w:r>
      </w:hyperlink>
      <w:r>
        <w:t xml:space="preserve"> </w:t>
      </w:r>
      <w:r>
        <w:t xml:space="preserve">A–B; Figure S14 B, S26). The size selectivity of extinction over chinchilloid evolution explains the 32 kg-decline in median body size quantified from the Late Miocene to the present (</w:t>
      </w:r>
      <w:hyperlink w:anchor="fig-diversityBM">
        <w:r>
          <w:rPr>
            <w:rStyle w:val="Hyperlink"/>
          </w:rPr>
          <w:t xml:space="preserve">Figure 3</w:t>
        </w:r>
      </w:hyperlink>
      <w:r>
        <w:t xml:space="preserve"> </w:t>
      </w:r>
      <w:r>
        <w:t xml:space="preserve">C). Extinction has traditionally been viewed as a limitation to morphological innovation</w:t>
      </w:r>
      <w:r>
        <w:t xml:space="preserve"> </w:t>
      </w:r>
      <w:r>
        <w:t xml:space="preserve">(</w:t>
      </w:r>
      <w:r>
        <w:rPr>
          <w:i/>
          <w:iCs/>
        </w:rPr>
        <w:t xml:space="preserve">e</w:t>
      </w:r>
      <w:r>
        <w:t xml:space="preserve">.</w:t>
      </w:r>
      <w:r>
        <w:rPr>
          <w:i/>
          <w:iCs/>
        </w:rPr>
        <w:t xml:space="preserve">g</w:t>
      </w:r>
      <w:r>
        <w:t xml:space="preserve">., Foote 1993)</w:t>
      </w:r>
      <w:r>
        <w:t xml:space="preserve">, though recent findings suggested that it can also act as a creative engine depending on the zones of the morphospace where it operates</w:t>
      </w:r>
      <w:r>
        <w:t xml:space="preserve"> </w:t>
      </w:r>
      <w:r>
        <w:t xml:space="preserve">(Balseiro et al. 2025; Esteve 2025)</w:t>
      </w:r>
      <w:r>
        <w:t xml:space="preserve">. In the case of Chinchilloidea, our results suggest that extinction eroded large-sized regions of the body mass distribution, in turn echoing the long-recognised tendency for large taxa to have higher extinction rates</w:t>
      </w:r>
      <w:r>
        <w:t xml:space="preserve"> </w:t>
      </w:r>
      <w:r>
        <w:t xml:space="preserve">(Raup 1986; Liow et al. 2008)</w:t>
      </w:r>
      <w:r>
        <w:t xml:space="preserve">. Regarding the latitudinal selectivity of extinction, our findings provided support to the historical</w:t>
      </w:r>
      <w:r>
        <w:t xml:space="preserve"> </w:t>
      </w:r>
      <w:r>
        <w:t xml:space="preserve">‘</w:t>
      </w:r>
      <w:r>
        <w:t xml:space="preserve">Tropical stability</w:t>
      </w:r>
      <w:r>
        <w:t xml:space="preserve">’</w:t>
      </w:r>
      <w:r>
        <w:t xml:space="preserve"> </w:t>
      </w:r>
      <w:r>
        <w:t xml:space="preserve">hypothesis, postulating that the environmental stability offered by tropical regions would buffer tropical taxa against extinction</w:t>
      </w:r>
      <w:r>
        <w:t xml:space="preserve"> </w:t>
      </w:r>
      <w:r>
        <w:t xml:space="preserve">(Wallace 1878)</w:t>
      </w:r>
      <w:r>
        <w:t xml:space="preserve">. Such a hypothesis received substantial support in the recent literature</w:t>
      </w:r>
      <w:r>
        <w:t xml:space="preserve"> </w:t>
      </w:r>
      <w:r>
        <w:t xml:space="preserve">(</w:t>
      </w:r>
      <w:r>
        <w:rPr>
          <w:i/>
          <w:iCs/>
        </w:rPr>
        <w:t xml:space="preserve">e</w:t>
      </w:r>
      <w:r>
        <w:t xml:space="preserve">.</w:t>
      </w:r>
      <w:r>
        <w:rPr>
          <w:i/>
          <w:iCs/>
        </w:rPr>
        <w:t xml:space="preserve">g</w:t>
      </w:r>
      <w:r>
        <w:t xml:space="preserve">., Meseguer and Condamine 2020; Quintero et al. 2023; Buffan et al. 2025)</w:t>
      </w:r>
      <w:r>
        <w:t xml:space="preserve">. Importantly, our findings also stress the absence of latitudinal decoupling of the factors affecting the dynamics of chinchilloid diversification (Figure S24 and S26), contrary to what has long been postulated</w:t>
      </w:r>
      <w:r>
        <w:t xml:space="preserve"> </w:t>
      </w:r>
      <w:r>
        <w:t xml:space="preserve">(</w:t>
      </w:r>
      <w:r>
        <w:rPr>
          <w:i/>
          <w:iCs/>
        </w:rPr>
        <w:t xml:space="preserve">e</w:t>
      </w:r>
      <w:r>
        <w:t xml:space="preserve">.</w:t>
      </w:r>
      <w:r>
        <w:rPr>
          <w:i/>
          <w:iCs/>
        </w:rPr>
        <w:t xml:space="preserve">g</w:t>
      </w:r>
      <w:r>
        <w:t xml:space="preserve">., Carrillo et al. 2026)</w:t>
      </w:r>
      <w:r>
        <w:t xml:space="preserve">.</w:t>
      </w:r>
    </w:p>
    <w:p>
      <w:pPr>
        <w:pStyle w:val="BodyText"/>
      </w:pPr>
      <w:r>
        <w:t xml:space="preserve">The pace of the Andean uplift was always identified as the best predictor of extinction rate variations across chinchilloid lineages, with higher elevations associated to higher extinction rates (</w:t>
      </w:r>
      <w:hyperlink w:anchor="fig-ExtinctionDrivers">
        <w:r>
          <w:rPr>
            <w:rStyle w:val="Hyperlink"/>
          </w:rPr>
          <w:t xml:space="preserve">Figure 6</w:t>
        </w:r>
      </w:hyperlink>
      <w:r>
        <w:t xml:space="preserve"> </w:t>
      </w:r>
      <w:r>
        <w:t xml:space="preserve">C; Figure S24–S25; Table S6). The uplift of the Andes, by generating new niches and re-distributing climatic advections at the continent scale, had major repercussions on South American palaeoenvironments</w:t>
      </w:r>
      <w:r>
        <w:t xml:space="preserve"> </w:t>
      </w:r>
      <w:r>
        <w:t xml:space="preserve">(Hoorn et al. 2010)</w:t>
      </w:r>
      <w:r>
        <w:t xml:space="preserve"> </w:t>
      </w:r>
      <w:r>
        <w:t xml:space="preserve">and was frequently illustrated as a major driver behind the diversification of a wide range of South American groups</w:t>
      </w:r>
      <w:r>
        <w:t xml:space="preserve"> </w:t>
      </w:r>
      <w:r>
        <w:t xml:space="preserve">(</w:t>
      </w:r>
      <w:r>
        <w:rPr>
          <w:i/>
          <w:iCs/>
        </w:rPr>
        <w:t xml:space="preserve">e</w:t>
      </w:r>
      <w:r>
        <w:t xml:space="preserve">.</w:t>
      </w:r>
      <w:r>
        <w:rPr>
          <w:i/>
          <w:iCs/>
        </w:rPr>
        <w:t xml:space="preserve">g</w:t>
      </w:r>
      <w:r>
        <w:t xml:space="preserve">., Boschman and Condamine 2022; Hoorn et al. 2023; Vallejos-Garrido et al. 2023)</w:t>
      </w:r>
      <w:r>
        <w:t xml:space="preserve">. The common paradigm considers the Andean uplift as a positive driver behind diversification, explaining the exceptional diversity of regions such as Western Amazonia, offering an altitudinal gradient</w:t>
      </w:r>
      <w:r>
        <w:t xml:space="preserve"> </w:t>
      </w:r>
      <w:r>
        <w:t xml:space="preserve">(Antonelli et al. 2018)</w:t>
      </w:r>
      <w:r>
        <w:t xml:space="preserve">. However, quantitative analyses of the fossil record of several clades evidenced that the Andean uplift may also promote extinction</w:t>
      </w:r>
      <w:r>
        <w:t xml:space="preserve"> </w:t>
      </w:r>
      <w:r>
        <w:t xml:space="preserve">(</w:t>
      </w:r>
      <w:r>
        <w:rPr>
          <w:i/>
          <w:iCs/>
        </w:rPr>
        <w:t xml:space="preserve">e</w:t>
      </w:r>
      <w:r>
        <w:t xml:space="preserve">.</w:t>
      </w:r>
      <w:r>
        <w:rPr>
          <w:i/>
          <w:iCs/>
        </w:rPr>
        <w:t xml:space="preserve">g</w:t>
      </w:r>
      <w:r>
        <w:t xml:space="preserve">., Solórzano et al. 2024; Buffan et al. 2025)</w:t>
      </w:r>
      <w:r>
        <w:t xml:space="preserve">, which is what our results suggest for the Chinchilloidea.</w:t>
      </w:r>
    </w:p>
    <w:p>
      <w:pPr>
        <w:pStyle w:val="BodyText"/>
      </w:pPr>
      <w:r>
        <w:t xml:space="preserve">Given the positive association between the temporal trends of chinchilloid extinction rate and eustatic variations that we retrieved in our MBD analyses (</w:t>
      </w:r>
      <w:hyperlink w:anchor="fig-ExtinctionDrivers">
        <w:r>
          <w:rPr>
            <w:rStyle w:val="Hyperlink"/>
          </w:rPr>
          <w:t xml:space="preserve">Figure 6</w:t>
        </w:r>
      </w:hyperlink>
      <w:r>
        <w:t xml:space="preserve"> </w:t>
      </w:r>
      <w:r>
        <w:t xml:space="preserve">D), the effect of the Andes on the extinction rate variations across lineages can be interpreted under the lens of continent-wise hydrographic pattern remodelling – it should nevertheless be mentioned that sea level was among the least important predictors for extinction rate variations across lineages in our BDNN analyses (Table S6). Several palaeontological studies indeed evidenced that many Late Miocene chinchilloids – and particularly large forms – were likely semi-aquatic, suggesting their macroevolutionary dynamics to be tightly related to the hydrographic history of South America</w:t>
      </w:r>
      <w:r>
        <w:t xml:space="preserve"> </w:t>
      </w:r>
      <w:r>
        <w:t xml:space="preserve">(</w:t>
      </w:r>
      <w:r>
        <w:rPr>
          <w:i/>
          <w:iCs/>
        </w:rPr>
        <w:t xml:space="preserve">see</w:t>
      </w:r>
      <w:r>
        <w:t xml:space="preserve"> </w:t>
      </w:r>
      <w:r>
        <w:t xml:space="preserve">Carrillo et al. 2026</w:t>
      </w:r>
      <w:r>
        <w:t xml:space="preserve"> </w:t>
      </w:r>
      <w:r>
        <w:rPr>
          <w:i/>
          <w:iCs/>
        </w:rPr>
        <w:t xml:space="preserve">and literature therein</w:t>
      </w:r>
      <w:r>
        <w:t xml:space="preserve">)</w:t>
      </w:r>
      <w:r>
        <w:t xml:space="preserve">. During most of the Miocene, what is now western Amazonia was flooded by a vast wetland known as the Pebas System, recognised to have greatly favoured lineage diversification in tropical South America</w:t>
      </w:r>
      <w:r>
        <w:t xml:space="preserve"> </w:t>
      </w:r>
      <w:r>
        <w:t xml:space="preserve">(Antoine et al. 2017; Hoorn et al. 2022)</w:t>
      </w:r>
      <w:r>
        <w:t xml:space="preserve">. Similarly, a marine introgression known as the</w:t>
      </w:r>
      <w:r>
        <w:t xml:space="preserve"> </w:t>
      </w:r>
      <w:r>
        <w:t xml:space="preserve">‘</w:t>
      </w:r>
      <w:r>
        <w:t xml:space="preserve">Paranense sea</w:t>
      </w:r>
      <w:r>
        <w:t xml:space="preserve">’</w:t>
      </w:r>
      <w:r>
        <w:t xml:space="preserve"> </w:t>
      </w:r>
      <w:r>
        <w:t xml:space="preserve">flooded a vast portion of southern South America during the Middle–Late Miocene</w:t>
      </w:r>
      <w:r>
        <w:t xml:space="preserve"> </w:t>
      </w:r>
      <w:r>
        <w:t xml:space="preserve">(Hernández et al. 2005)</w:t>
      </w:r>
      <w:r>
        <w:t xml:space="preserve">. The environmental heterogeneity that emerged following the final regressive stages of the Paranense sea, during the Late Miocene, has been proposed to have favoured dinomyid diversification in the Mesopotamian region (northeastern Argentina)</w:t>
      </w:r>
      <w:r>
        <w:t xml:space="preserve"> </w:t>
      </w:r>
      <w:r>
        <w:t xml:space="preserve">(Candela et al. 2013; Nasif et al. 2013)</w:t>
      </w:r>
      <w:r>
        <w:t xml:space="preserve">. Our results fail to quantitatively support a positive imprint of these hydrographic changes in the diversification of Chinchilloidea. That being said, the Late Miocene demise of the Pebas System, a by-product of tectonic (Andean) and eustatic factors</w:t>
      </w:r>
      <w:r>
        <w:t xml:space="preserve"> </w:t>
      </w:r>
      <w:r>
        <w:t xml:space="preserve">(Hoorn et al. 2022)</w:t>
      </w:r>
      <w:r>
        <w:t xml:space="preserve">, massively impacted low-latitude ecosystems from South America</w:t>
      </w:r>
      <w:r>
        <w:t xml:space="preserve"> </w:t>
      </w:r>
      <w:r>
        <w:t xml:space="preserve">(</w:t>
      </w:r>
      <w:r>
        <w:rPr>
          <w:i/>
          <w:iCs/>
        </w:rPr>
        <w:t xml:space="preserve">e</w:t>
      </w:r>
      <w:r>
        <w:t xml:space="preserve">.</w:t>
      </w:r>
      <w:r>
        <w:rPr>
          <w:i/>
          <w:iCs/>
        </w:rPr>
        <w:t xml:space="preserve">g</w:t>
      </w:r>
      <w:r>
        <w:t xml:space="preserve">., Salas-Gismondi et al. 2015; Jaramillo et al. 2017)</w:t>
      </w:r>
      <w:r>
        <w:t xml:space="preserve">. Our findings that the Andean elevation, together with sea-level changes, synergetically shaped the decline of Chinchilloidea may therefore be interpreted as a result from the Late Miocene disappearance of the unique South American wet ecosystems</w:t>
      </w:r>
      <w:r>
        <w:t xml:space="preserve"> </w:t>
      </w:r>
      <w:r>
        <w:t xml:space="preserve">(Hernández et al. 2005)</w:t>
      </w:r>
      <w:r>
        <w:t xml:space="preserve">.</w:t>
      </w:r>
    </w:p>
    <w:p>
      <w:pPr>
        <w:pStyle w:val="BodyText"/>
      </w:pPr>
      <w:r>
        <w:t xml:space="preserve">The ecologically-selective demise of chinchilloids somewhat mirrors that of sloths (Xenarthra: Folivora), that also experienced a massive decline in both species diversity and body mass disparity over their evolutionary history</w:t>
      </w:r>
      <w:r>
        <w:t xml:space="preserve"> </w:t>
      </w:r>
      <w:r>
        <w:t xml:space="preserve">(Boscaini et al. 2025)</w:t>
      </w:r>
      <w:r>
        <w:t xml:space="preserve">. This decline was characterised by the extinction of all species with terrestrial or semi-arboreal (and aquatic,</w:t>
      </w:r>
      <w:r>
        <w:t xml:space="preserve"> </w:t>
      </w:r>
      <w:r>
        <w:rPr>
          <w:i/>
          <w:iCs/>
        </w:rPr>
        <w:t xml:space="preserve">e</w:t>
      </w:r>
      <w:r>
        <w:t xml:space="preserve">.</w:t>
      </w:r>
      <w:r>
        <w:rPr>
          <w:i/>
          <w:iCs/>
        </w:rPr>
        <w:t xml:space="preserve">g</w:t>
      </w:r>
      <w:r>
        <w:t xml:space="preserve">.,</w:t>
      </w:r>
      <w:r>
        <w:t xml:space="preserve"> </w:t>
      </w:r>
      <w:r>
        <w:t xml:space="preserve">Valenzuela-Toro et al. (2025)</w:t>
      </w:r>
      <w:r>
        <w:t xml:space="preserve">)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p>
    <w:p>
      <w:pPr>
        <w:pStyle w:val="BodyText"/>
      </w:pPr>
      <w:r>
        <w:t xml:space="preserve">We also evidenced heterogeneous extinction rates across hypsodonty classes, with euhypsodont (high-crowned ever-growing cheek teeth) species having attenuated extinction rates (Figure S27). This result aligns with the common paradigm that continuously-growing cheek teeth, offering a sustainable protection against demanding food items (</w:t>
      </w:r>
      <w:r>
        <w:rPr>
          <w:i/>
          <w:iCs/>
        </w:rPr>
        <w:t xml:space="preserve">e</w:t>
      </w:r>
      <w:r>
        <w:t xml:space="preserve">.</w:t>
      </w:r>
      <w:r>
        <w:rPr>
          <w:i/>
          <w:iCs/>
        </w:rPr>
        <w:t xml:space="preserve">g</w:t>
      </w:r>
      <w:r>
        <w:t xml:space="preserve">., abrasive elements), provide more dietary flexibility to taxa that acquired this innovation</w:t>
      </w:r>
      <w:r>
        <w:t xml:space="preserve"> </w:t>
      </w:r>
      <w:r>
        <w:t xml:space="preserve">(Candela et al. 2013)</w:t>
      </w:r>
      <w:r>
        <w:t xml:space="preserve">. High-crowned cheek teeth emerged early in the evolution of Chinchilloidea. Basal species of the early Oligocene genera</w:t>
      </w:r>
      <w:r>
        <w:t xml:space="preserve"> </w:t>
      </w:r>
      <m:oMath>
        <m:r>
          <m:rPr>
            <m:sty m:val="p"/>
          </m:rPr>
          <m:t>†</m:t>
        </m:r>
      </m:oMath>
      <w:r>
        <w:rPr>
          <w:i/>
          <w:iCs/>
        </w:rPr>
        <w:t xml:space="preserve">Eoincamys</w:t>
      </w:r>
      <w:r>
        <w:t xml:space="preserve"> </w:t>
      </w:r>
      <w:r>
        <w:t xml:space="preserve">and</w:t>
      </w:r>
      <w:r>
        <w:t xml:space="preserve"> </w:t>
      </w:r>
      <m:oMath>
        <m:r>
          <m:rPr>
            <m:sty m:val="p"/>
          </m:rPr>
          <m:t>†</m:t>
        </m:r>
      </m:oMath>
      <w:r>
        <w:rPr>
          <w:i/>
          <w:iCs/>
        </w:rPr>
        <w:t xml:space="preserve">Eoviscaccia</w:t>
      </w:r>
      <w:r>
        <w:t xml:space="preserve"> </w:t>
      </w:r>
      <w:r>
        <w:t xml:space="preserve">were already classified as protohypsodont, meanwhile euhypsodont cheek teeth emerged in the late Oligocene (Deseadan SALMA) and became conspicuous in the Early Miocene (Figure S7). On the contrary, few chinchilloid taxa have been described with low-crowned cheek teeth (</w:t>
      </w:r>
      <w:r>
        <w:rPr>
          <w:i/>
          <w:iCs/>
        </w:rPr>
        <w:t xml:space="preserve">i</w:t>
      </w:r>
      <w:r>
        <w:t xml:space="preserve">.</w:t>
      </w:r>
      <w:r>
        <w:rPr>
          <w:i/>
          <w:iCs/>
        </w:rPr>
        <w:t xml:space="preserve">e</w:t>
      </w:r>
      <w:r>
        <w:t xml:space="preserve">., brachydont and mesodont, Figure S7). In South America, high-crowned cheek teeth have been acquired several times independently among various lineages of native ungulates</w:t>
      </w:r>
      <w:r>
        <w:t xml:space="preserve"> </w:t>
      </w:r>
      <w:r>
        <w:t xml:space="preserve">(Croft et al. 2020)</w:t>
      </w:r>
      <w:r>
        <w:t xml:space="preserve"> </w:t>
      </w:r>
      <w:r>
        <w:t xml:space="preserve">and caviomorph rodents</w:t>
      </w:r>
      <w:r>
        <w:t xml:space="preserve"> </w:t>
      </w:r>
      <w:r>
        <w:t xml:space="preserve">(Vucetich et al. 2015)</w:t>
      </w:r>
      <w:r>
        <w:t xml:space="preserve">. Growing evidence increasingly suggests that, instead of being related to grass consumption – as it has been historically proposed</w:t>
      </w:r>
      <w:r>
        <w:t xml:space="preserve"> </w:t>
      </w:r>
      <w:r>
        <w:t xml:space="preserve">(</w:t>
      </w:r>
      <w:r>
        <w:rPr>
          <w:i/>
          <w:iCs/>
        </w:rPr>
        <w:t xml:space="preserve">e</w:t>
      </w:r>
      <w:r>
        <w:t xml:space="preserve">.</w:t>
      </w:r>
      <w:r>
        <w:rPr>
          <w:i/>
          <w:iCs/>
        </w:rPr>
        <w:t xml:space="preserve">g</w:t>
      </w:r>
      <w:r>
        <w:t xml:space="preserve">., Stebbins 1981; MacFadden 2000)</w:t>
      </w:r>
      <w:r>
        <w:t xml:space="preserve"> </w:t>
      </w:r>
      <w:r>
        <w:t xml:space="preserve">– hypsodonty (at least in South American mammals) might be promoted by external sources of abrasive materials in the diet, such as grit or volcanic dust</w:t>
      </w:r>
      <w:r>
        <w:t xml:space="preserve"> </w:t>
      </w:r>
      <w:r>
        <w:t xml:space="preserve">(</w:t>
      </w:r>
      <w:r>
        <w:rPr>
          <w:i/>
          <w:iCs/>
        </w:rPr>
        <w:t xml:space="preserve">e</w:t>
      </w:r>
      <w:r>
        <w:t xml:space="preserve">.</w:t>
      </w:r>
      <w:r>
        <w:rPr>
          <w:i/>
          <w:iCs/>
        </w:rPr>
        <w:t xml:space="preserve">g</w:t>
      </w:r>
      <w:r>
        <w:t xml:space="preserve">., Billet et al. 2009; Jardine et al. 2012; Selkin et al. 2015; Armella and Croft 2026)</w:t>
      </w:r>
      <w:r>
        <w:t xml:space="preserve">. Our findings do not permit to conclude on the drivers that underlay the notable success of euhypsodont chinchilloids. However, by making euhypsodont taxa less prone to extinction, they add another piece of evidence suggesting that this morpho-functional innovation had an adaptive value at macroevolutionary scales for this clade of rodents.</w:t>
      </w:r>
    </w:p>
    <w:p>
      <w:pPr>
        <w:pStyle w:val="BodyText"/>
      </w:pPr>
      <w:r>
        <w:t xml:space="preserve">Last, our analyses failed to provide support for an effect of diversity dependence and temperature change on the diversification dynamics of Chinchilloidea, both across time (</w:t>
      </w:r>
      <w:hyperlink w:anchor="fig-ExtinctionDrivers">
        <w:r>
          <w:rPr>
            <w:rStyle w:val="Hyperlink"/>
          </w:rPr>
          <w:t xml:space="preserve">Figure 6</w:t>
        </w:r>
      </w:hyperlink>
      <w:r>
        <w:t xml:space="preserve"> </w:t>
      </w:r>
      <w:r>
        <w:t xml:space="preserve">D) and lineages (Table S6). Yet, several studies proposed that climate cooling and aridification from the Late Miocene onwards affected diversification dynamics and evolution of large sizes in the Caviomorpha</w:t>
      </w:r>
      <w:r>
        <w:t xml:space="preserve"> </w:t>
      </w:r>
      <w:r>
        <w:t xml:space="preserve">(</w:t>
      </w:r>
      <w:r>
        <w:rPr>
          <w:i/>
          <w:iCs/>
        </w:rPr>
        <w:t xml:space="preserve">e</w:t>
      </w:r>
      <w:r>
        <w:t xml:space="preserve">.</w:t>
      </w:r>
      <w:r>
        <w:rPr>
          <w:i/>
          <w:iCs/>
        </w:rPr>
        <w:t xml:space="preserve">g</w:t>
      </w:r>
      <w:r>
        <w:t xml:space="preserve">., Vucetich et al. 2015; Álvarez et al. 2017)</w:t>
      </w:r>
      <w:r>
        <w:t xml:space="preserve">. On the other hand, despite the wide recognition of the importance of (self-)diversity-dependent effects in the macroevolutionary fate of the clades</w:t>
      </w:r>
      <w:r>
        <w:t xml:space="preserve"> </w:t>
      </w:r>
      <w:r>
        <w:t xml:space="preserve">(</w:t>
      </w:r>
      <w:r>
        <w:rPr>
          <w:i/>
          <w:iCs/>
        </w:rPr>
        <w:t xml:space="preserve">e</w:t>
      </w:r>
      <w:r>
        <w:t xml:space="preserve">.</w:t>
      </w:r>
      <w:r>
        <w:rPr>
          <w:i/>
          <w:iCs/>
        </w:rPr>
        <w:t xml:space="preserve">g</w:t>
      </w:r>
      <w:r>
        <w:t xml:space="preserve">., Etienne et al. 2011; Condamine et al. 2019a)</w:t>
      </w:r>
      <w:r>
        <w:t xml:space="preserve">, recent advances in macroevolutionary modelling have challenged the importance of diversity dependence as a primary driver of diversification rates</w:t>
      </w:r>
      <w:r>
        <w:t xml:space="preserve"> </w:t>
      </w:r>
      <w:r>
        <w:t xml:space="preserve">(Quintero et al. 2025)</w:t>
      </w:r>
      <w:r>
        <w:t xml:space="preserve">.</w:t>
      </w:r>
    </w:p>
    <w:bookmarkEnd w:id="41"/>
    <w:bookmarkStart w:id="46" w:name="limitations-and-perspectives"/>
    <w:p>
      <w:pPr>
        <w:pStyle w:val="Heading2"/>
      </w:pPr>
      <w:r>
        <w:t xml:space="preserve">Limitations and perspectives</w:t>
      </w:r>
    </w:p>
    <w:p>
      <w:pPr>
        <w:pStyle w:val="FirstParagraph"/>
      </w:pPr>
      <w:r>
        <w:t xml:space="preserve">Over this work, we proposed a conceptual improvement of the pipeline for putting together data from the fossil record and dated molecular phylogenies of extant taxa for diversification inference introduced by</w:t>
      </w:r>
      <w:r>
        <w:t xml:space="preserve"> </w:t>
      </w:r>
      <w:r>
        <w:t xml:space="preserve">Brée et al. (2022)</w:t>
      </w:r>
      <w:r>
        <w:t xml:space="preserve">. This pipeline was initially designed for clades for which a large proportion of the extant diversity is missing from the fossil record, and paved insightful avenues to overcome long-formulated concerns raised by estimating extinction rates from extant timetrees</w:t>
      </w:r>
      <w:r>
        <w:t xml:space="preserve"> </w:t>
      </w:r>
      <w:r>
        <w:t xml:space="preserve">(</w:t>
      </w:r>
      <w:r>
        <w:rPr>
          <w:i/>
          <w:iCs/>
        </w:rPr>
        <w:t xml:space="preserve">e</w:t>
      </w:r>
      <w:r>
        <w:t xml:space="preserve">.</w:t>
      </w:r>
      <w:r>
        <w:rPr>
          <w:i/>
          <w:iCs/>
        </w:rPr>
        <w:t xml:space="preserve">g</w:t>
      </w:r>
      <w:r>
        <w:t xml:space="preserve">., Rabosky 2010)</w:t>
      </w:r>
      <w:r>
        <w:t xml:space="preserve"> </w:t>
      </w:r>
      <w:r>
        <w:t xml:space="preserve">meanwhile taking advantage of the invaluable information encapsulated in the fossil record. Our improvement relied on the fact that we no longer considered divergence times leading to extant species directly as species’ ages of origination (</w:t>
      </w:r>
      <m:oMath>
        <m:sSub>
          <m:e>
            <m:r>
              <m:t>T</m:t>
            </m:r>
          </m:e>
          <m:sub>
            <m:r>
              <m:t>s</m:t>
            </m:r>
          </m:sub>
        </m:sSub>
      </m:oMath>
      <w:r>
        <w:t xml:space="preserve">), as done by</w:t>
      </w:r>
      <w:r>
        <w:t xml:space="preserve"> </w:t>
      </w:r>
      <w:r>
        <w:t xml:space="preserve">Brée et al. (2022)</w:t>
      </w:r>
      <w:r>
        <w:t xml:space="preserve">, but rather as upper bounds for</w:t>
      </w:r>
      <w:r>
        <w:t xml:space="preserve"> </w:t>
      </w:r>
      <m:oMath>
        <m:sSub>
          <m:e>
            <m:r>
              <m:t>T</m:t>
            </m:r>
          </m:e>
          <m:sub>
            <m:r>
              <m:t>s</m:t>
            </m:r>
          </m:sub>
        </m:sSub>
      </m:oMath>
      <w:r>
        <w:t xml:space="preserve">. This approach can unfortunately not be validated with simulations and has some part of arbitrary. Nevertheless, since node ages of phylogenies are more expected to reflect molecular divergence, known to occur prior actual species divergence</w:t>
      </w:r>
      <w:r>
        <w:t xml:space="preserve"> </w:t>
      </w:r>
      <w:r>
        <w:t xml:space="preserve">(Arbogast et al. 2002)</w:t>
      </w:r>
      <w:r>
        <w:t xml:space="preserve">, we argue that, at least conceptually, our approach makes some sense. Our analyses evidenced that reconstructions of chinchilloid diversification dynamics were highly impacted by the extant sampling scheme (Figure S2). In particular, incorporating extant taxa using our new sampling scheme totally eroded any temporal shift in speciation rate, and significantly reduced the magnitude of the Late Miocene shift in extinction rate (Figure S2). This must be due to the fact that the number of species concerned by this incorporation procedure (7) was actually very close to the number of fossil taxa recorded in the last 5 million years, and thus, that any change in the occurrence age would have significant repercussions on the estimations of diversification rates over this time frame. We therefore encourage to take advantage of different sources of data to reconstruct macroevolutionary patterns and to perform sensitivity analyses to evaluate the robustness of the reconstructions to the input data and methodologies.</w:t>
      </w:r>
    </w:p>
    <w:p>
      <w:pPr>
        <w:pStyle w:val="BodyText"/>
      </w:pPr>
      <w:r>
        <w:t xml:space="preserve">Our analyses evidenced the sensitivity of occurrence-based diversification inference to the input data. As expected, incorporating the taxonomic revisions of</w:t>
      </w:r>
      <w:r>
        <w:t xml:space="preserve"> </w:t>
      </w:r>
      <w:r>
        <w:t xml:space="preserve">Rasia (2026)</w:t>
      </w:r>
      <w:r>
        <w:t xml:space="preserve"> </w:t>
      </w:r>
      <w:r>
        <w:t xml:space="preserve">on the hyperdiverse dinomyid fauna from the Late Miocene (Ituzaingó Fm.) of Mesopotamia (Argentina), formerely encompassing many synonymies, significantly altered the magnitude of the late Miocene change in extinction regime (Figure S12). Recently, worries have been expressed about the importance of conducting thorough taxonomic revisions before carrying out occurrence-based analyses of clade diversification relying on online databases</w:t>
      </w:r>
      <w:r>
        <w:t xml:space="preserve"> </w:t>
      </w:r>
      <w:r>
        <w:t xml:space="preserve">(Guinot et al. 2026)</w:t>
      </w:r>
      <w:r>
        <w:t xml:space="preserve">. Despite the invaluable character of such databases</w:t>
      </w:r>
      <w:r>
        <w:rPr>
          <w:rStyle w:val="FootnoteReference"/>
        </w:rPr>
        <w:footnoteReference w:id="42"/>
      </w:r>
      <w:r>
        <w:t xml:space="preserve"> </w:t>
      </w:r>
      <w:r>
        <w:t xml:space="preserve">for the whole field of quantitative palaeobiology, the occurrences that they contain are prone to several types of errors (</w:t>
      </w:r>
      <w:r>
        <w:rPr>
          <w:i/>
          <w:iCs/>
        </w:rPr>
        <w:t xml:space="preserve">e</w:t>
      </w:r>
      <w:r>
        <w:t xml:space="preserve">.</w:t>
      </w:r>
      <w:r>
        <w:rPr>
          <w:i/>
          <w:iCs/>
        </w:rPr>
        <w:t xml:space="preserve">g</w:t>
      </w:r>
      <w:r>
        <w:t xml:space="preserve">., incorrect or non-updated age assignment, taxonomic issues). Our study primarily relies on data from The Paleobiology Database, subsequently carefully reviewed by taxonomic experts and updated if necessary (see</w:t>
      </w:r>
      <w:r>
        <w:t xml:space="preserve"> </w:t>
      </w:r>
      <w:r>
        <w:rPr>
          <w:i/>
          <w:iCs/>
        </w:rPr>
        <w:t xml:space="preserve">Methods</w:t>
      </w:r>
      <w:r>
        <w:t xml:space="preserve">,</w:t>
      </w:r>
      <w:r>
        <w:t xml:space="preserve"> </w:t>
      </w:r>
      <w:r>
        <w:rPr>
          <w:i/>
          <w:iCs/>
        </w:rPr>
        <w:t xml:space="preserve">Supplementary text</w:t>
      </w:r>
      <w:r>
        <w:t xml:space="preserve"> </w:t>
      </w:r>
      <w:r>
        <w:t xml:space="preserve">and</w:t>
      </w:r>
      <w:r>
        <w:t xml:space="preserve"> </w:t>
      </w:r>
      <w:r>
        <w:rPr>
          <w:i/>
          <w:iCs/>
        </w:rPr>
        <w:t xml:space="preserve">Supplementary Data</w:t>
      </w:r>
      <w:r>
        <w:t xml:space="preserve">). A recent work conducted similar reconstructions of the temporal trends in chinchilloid diversity from fossil occurrence data, but their taxonomic sampling was less exhaustive than ours (330 occurrences for 97 species, whereas our fossil occurrence database prior incorporation of extant taxa lacking fossil evidence comprised 466 occurrences for 118 species, see</w:t>
      </w:r>
      <w:r>
        <w:t xml:space="preserve"> </w:t>
      </w:r>
      <w:r>
        <w:rPr>
          <w:i/>
          <w:iCs/>
        </w:rPr>
        <w:t xml:space="preserve">Supplementary Data</w:t>
      </w:r>
      <w:r>
        <w:t xml:space="preserve">)</w:t>
      </w:r>
      <w:r>
        <w:t xml:space="preserve"> </w:t>
      </w:r>
      <w:r>
        <w:t xml:space="preserve">(Carrillo et al. 2026)</w:t>
      </w:r>
      <w:r>
        <w:t xml:space="preserve">. Marked differences in the persistence of some species in the fossil record may be noticed between the two datasets (Figure S22), overall summarised in that species tend to persist longer in their database (due to the fact that they preferentially binned occurrences in their corresponding geological stages whereas we intended to use more refined published ages of the corresponding localities when available), though this trend is not statistically significant (Figure S21). In addition, we spotted that 12 of their species had taxonomic issues or were assigned to an incorrect bibliographic reference, making them intractable. Despite these contrasts, possibly reflecting the arbitrary character of the cleaning process as well as differences in cleaning intensities, the outcome of our DeepDive diversity-through-time analyses (</w:t>
      </w:r>
      <w:hyperlink w:anchor="fig-diversityBM">
        <w:r>
          <w:rPr>
            <w:rStyle w:val="Hyperlink"/>
          </w:rPr>
          <w:t xml:space="preserve">Figure 3</w:t>
        </w:r>
      </w:hyperlink>
      <w:r>
        <w:t xml:space="preserve"> </w:t>
      </w:r>
      <w:r>
        <w:t xml:space="preserve">B) does not substantially differ from their reconstruction, both in trends and amplitude. The only noticeable difference is that they estimate larger species diversities in the Oligocene–Early Miocene compared to us. That being said, in light of all these elements and in the continuity of</w:t>
      </w:r>
      <w:r>
        <w:t xml:space="preserve"> </w:t>
      </w:r>
      <w:r>
        <w:t xml:space="preserve">Guinot et al. (2026)</w:t>
      </w:r>
      <w:r>
        <w:t xml:space="preserve">, we recall the importance of the initial data – at the foundation of any empirical study, beyond any fancy methodological framework – when carrying out macroevolutionary inferences.</w:t>
      </w:r>
    </w:p>
    <w:p>
      <w:pPr>
        <w:pStyle w:val="BodyText"/>
      </w:pPr>
      <w:r>
        <w:t xml:space="preserve">A broadly-recognised limitation of the PyRate framework is that it unrealistically assumes complete lineage sampling in its reconstructions of macroevolutionary processes</w:t>
      </w:r>
      <w:r>
        <w:t xml:space="preserve"> </w:t>
      </w:r>
      <w:r>
        <w:t xml:space="preserve">(Silvestro et al. 2014)</w:t>
      </w:r>
      <w:r>
        <w:t xml:space="preserve">. We intended to overcome this limitation by reconstructing complete diversity through time using the simulation-based framework implemented in DeepDive</w:t>
      </w:r>
      <w:r>
        <w:t xml:space="preserve"> </w:t>
      </w:r>
      <w:r>
        <w:t xml:space="preserve">(Cooper et al. 2024)</w:t>
      </w:r>
      <w:r>
        <w:t xml:space="preserve">, leading to no major difference in the trends of diversity through time that we reconstructed for the Chinchilloidea (</w:t>
      </w:r>
      <w:hyperlink w:anchor="fig-diversityBM">
        <w:r>
          <w:rPr>
            <w:rStyle w:val="Hyperlink"/>
          </w:rPr>
          <w:t xml:space="preserve">Figure 3</w:t>
        </w:r>
      </w:hyperlink>
      <w:r>
        <w:t xml:space="preserve">). An additional avenue that could be explored could involve the use of a probabilistic framework incorporating a sampling parameter to test the impact of the assumption of complete sampling on diversification rate estimations</w:t>
      </w:r>
      <w:r>
        <w:t xml:space="preserve"> </w:t>
      </w:r>
      <w:r>
        <w:t xml:space="preserve">(</w:t>
      </w:r>
      <w:r>
        <w:rPr>
          <w:i/>
          <w:iCs/>
        </w:rPr>
        <w:t xml:space="preserve">e</w:t>
      </w:r>
      <w:r>
        <w:t xml:space="preserve">.</w:t>
      </w:r>
      <w:r>
        <w:rPr>
          <w:i/>
          <w:iCs/>
        </w:rPr>
        <w:t xml:space="preserve">g</w:t>
      </w:r>
      <w:r>
        <w:t xml:space="preserve">., Warnock et al. 2020)</w:t>
      </w:r>
      <w:r>
        <w:t xml:space="preserve">.</w:t>
      </w:r>
    </w:p>
    <w:p>
      <w:pPr>
        <w:pStyle w:val="BodyText"/>
      </w:pPr>
      <w:r>
        <w:t xml:space="preserve">An additional limitation to this study is the absence of integrative phylogenetic reconstruction for our focal clade. To date, existing phylogenies incorporating extinct members of Chinchilloidea have respectively accounted for 26</w:t>
      </w:r>
      <w:r>
        <w:t xml:space="preserve"> </w:t>
      </w:r>
      <w:r>
        <w:t xml:space="preserve">(Boivin et al. 2019)</w:t>
      </w:r>
      <w:r>
        <w:t xml:space="preserve"> </w:t>
      </w:r>
      <w:r>
        <w:t xml:space="preserve">and 43</w:t>
      </w:r>
      <w:r>
        <w:t xml:space="preserve"> </w:t>
      </w:r>
      <w:r>
        <w:t xml:space="preserve">(Rasia et al. 2021)</w:t>
      </w:r>
      <w:r>
        <w:t xml:space="preserve"> </w:t>
      </w:r>
      <w:r>
        <w:t xml:space="preserve">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 xml:space="preserve">work in progress</w:t>
      </w:r>
      <w:r>
        <w:t xml:space="preserve">). Information regarding phylogenetic relatedness between taxa has proven relevant in occurrence-based analyses of proboscid diversification dynamics using BDNN</w:t>
      </w:r>
      <w:r>
        <w:t xml:space="preserve"> </w:t>
      </w:r>
      <w:r>
        <w:t xml:space="preserve">(Hauffe et al. 2024)</w:t>
      </w:r>
      <w:r>
        <w:t xml:space="preserve">. In our case, it cannot be excluded that the trait-diversification relationships that we uncovered are an artefact of phylogenetic inertia</w:t>
      </w:r>
      <w:r>
        <w:t xml:space="preserve"> </w:t>
      </w:r>
      <w:r>
        <w:t xml:space="preserve">(Felsenstein 1985)</w:t>
      </w:r>
      <w:r>
        <w:t xml:space="preserve">. In addition, phylogeny-based estimates of chinchilloid rate of body size and cranio-dental evolution were already produced by</w:t>
      </w:r>
      <w:r>
        <w:t xml:space="preserve"> </w:t>
      </w:r>
      <w:r>
        <w:t xml:space="preserve">Carrillo et al. (2026)</w:t>
      </w:r>
      <w:r>
        <w:t xml:space="preserve">, but these findings were limited by the low completeness of the phylogeny that they used</w:t>
      </w:r>
      <w:r>
        <w:t xml:space="preserve"> </w:t>
      </w:r>
      <w:r>
        <w:t xml:space="preserve">(Boivin et al. 2019)</w:t>
      </w:r>
      <w:r>
        <w:t xml:space="preserve">. A better-resolved phylogeny would thus be of high value to better elucidate the joint dynamics of chinchilloid diversification and body mass evolution. Moreover, State-dependent Speciation and Extinction models</w:t>
      </w:r>
      <w:r>
        <w:t xml:space="preserve"> </w:t>
      </w:r>
      <w:r>
        <w:t xml:space="preserve">(</w:t>
      </w:r>
      <w:r>
        <w:rPr>
          <w:i/>
          <w:iCs/>
        </w:rPr>
        <w:t xml:space="preserve">reviewed in</w:t>
      </w:r>
      <w:r>
        <w:t xml:space="preserve"> </w:t>
      </w:r>
      <w:r>
        <w:t xml:space="preserve">Morlon et al. 2024)</w:t>
      </w:r>
      <w:r>
        <w:t xml:space="preserve"> </w:t>
      </w:r>
      <w:r>
        <w:t xml:space="preserve">fitted to such a phylogeny could provide an elegant way to validate the extinction selectivity that we raised over this work, with larger extratropical species having greater extinction rates (</w:t>
      </w:r>
      <w:hyperlink w:anchor="fig-ExtinctionDrivers">
        <w:r>
          <w:rPr>
            <w:rStyle w:val="Hyperlink"/>
          </w:rPr>
          <w:t xml:space="preserve">Figure 6</w:t>
        </w:r>
      </w:hyperlink>
      <w:r>
        <w:t xml:space="preserve"> </w:t>
      </w:r>
      <w:r>
        <w:t xml:space="preserve">A–B and Figure S26). Last, recent development in phylogenetic comparative methods may provide precious insights into the likely abiotic</w:t>
      </w:r>
      <w:r>
        <w:t xml:space="preserve"> </w:t>
      </w:r>
      <w:r>
        <w:t xml:space="preserve">(Clavel and Morlon 2017; Troyer et al. 2022)</w:t>
      </w:r>
      <w:r>
        <w:t xml:space="preserve"> </w:t>
      </w:r>
      <w:r>
        <w:t xml:space="preserve">or biotic</w:t>
      </w:r>
      <w:r>
        <w:t xml:space="preserve"> </w:t>
      </w:r>
      <w:r>
        <w:t xml:space="preserve">(Drury et al. 2016)</w:t>
      </w:r>
      <w:r>
        <w:t xml:space="preserve"> </w:t>
      </w:r>
      <w:r>
        <w:t xml:space="preserve">factors that shaped the dynamics of chinchilloid morphological evolution.</w:t>
      </w:r>
    </w:p>
    <w:bookmarkStart w:id="44" w:name="size-increase-pattern"/>
    <w:p>
      <w:pPr>
        <w:pStyle w:val="Heading3"/>
      </w:pPr>
      <w:r>
        <w:t xml:space="preserve">Size-increase pattern</w:t>
      </w:r>
    </w:p>
    <w:p>
      <w:pPr>
        <w:pStyle w:val="FirstParagraph"/>
      </w:pPr>
      <w:r>
        <w:t xml:space="preserve">Body mass evolution = disparity?</w:t>
      </w:r>
    </w:p>
    <w:p>
      <w:pPr>
        <w:pStyle w:val="BodyText"/>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Size-selectivity of extiction still relevant to consider as small species (XS, S) were absent from Late Miocene faunas? On the other hand, we no longer find large-sized chinchilloids at present.</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p>
      <w:pPr>
        <w:pStyle w:val="BodyText"/>
      </w:pPr>
      <w:r>
        <w:t xml:space="preserve">Many questions persists, for instance, related to the drivers of the spectacular and unique increase in body mass among this clade. Whether this unique trajectory stems from intrinsic developmental capability, ecological opportunity or a combination of both remains an open question</w:t>
      </w:r>
      <w:r>
        <w:t xml:space="preserve"> </w:t>
      </w:r>
      <w:r>
        <w:t xml:space="preserve">(Vucetich et al. 2015)</w:t>
      </w:r>
      <w:r>
        <w:t xml:space="preserve">. Generalised size-increase pattern in the Miocene of South America, for instance among sloths</w:t>
      </w:r>
      <w:r>
        <w:t xml:space="preserve"> </w:t>
      </w:r>
      <w:r>
        <w:t xml:space="preserve">(Boscaini et al. 2025)</w:t>
      </w:r>
      <w:r>
        <w:t xml:space="preserve">, native ungulates</w:t>
      </w:r>
      <w:r>
        <w:t xml:space="preserve"> </w:t>
      </w:r>
      <w:r>
        <w:t xml:space="preserve">(Solórzano and Núñez-Flores 2021)</w:t>
      </w:r>
    </w:p>
    <w:p>
      <w:pPr>
        <w:pStyle w:val="BodyText"/>
      </w:pPr>
      <w:r>
        <w:t xml:space="preserve">Our fossil record is biased westwards, likely exacerbating the prominence of the role of the Andes for chinchilloid diversification</w:t>
      </w:r>
    </w:p>
    <w:p>
      <w:pPr>
        <w:pStyle w:val="BodyText"/>
      </w:pPr>
      <w:r>
        <w:t xml:space="preserve">The effect of competition may also be evaluated on diversification.</w:t>
      </w:r>
    </w:p>
    <w:bookmarkEnd w:id="44"/>
    <w:bookmarkStart w:id="45" w:name="additional-perspectives"/>
    <w:p>
      <w:pPr>
        <w:pStyle w:val="Heading3"/>
      </w:pPr>
      <w:r>
        <w:t xml:space="preserve">Additional perspectives</w:t>
      </w:r>
    </w:p>
    <w:p>
      <w:pPr>
        <w:pStyle w:val="FirstParagraph"/>
      </w:pPr>
      <w:r>
        <w:t xml:space="preserve">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bookmarkEnd w:id="45"/>
    <w:bookmarkEnd w:id="46"/>
    <w:bookmarkEnd w:id="47"/>
    <w:bookmarkStart w:id="48" w:name="conclusions"/>
    <w:p>
      <w:pPr>
        <w:pStyle w:val="Heading1"/>
      </w:pPr>
      <w:r>
        <w:t xml:space="preserve">Conclusions</w:t>
      </w:r>
    </w:p>
    <w:bookmarkEnd w:id="48"/>
    <w:bookmarkStart w:id="49" w:name="acknowledgements"/>
    <w:p>
      <w:pPr>
        <w:pStyle w:val="Heading1"/>
      </w:pPr>
      <w:r>
        <w:t xml:space="preserve">Acknowledgements</w:t>
      </w:r>
    </w:p>
    <w:p>
      <w:pPr>
        <w:pStyle w:val="FirstParagraph"/>
      </w:pPr>
      <w:r>
        <w:t xml:space="preserve">We are grateful to Torsten Hauffe, Rebecca B. Cooper and Bethany J. Allen for their helpful methodological advice. We also thank Guillaume Guinot for useful feedbacks and recommendations. L.B. was funded by a grant offered by the École Normale Supérieure de Lyon.</w:t>
      </w:r>
    </w:p>
    <w:p>
      <w:r>
        <w:br w:type="page"/>
      </w:r>
    </w:p>
    <w:bookmarkEnd w:id="49"/>
    <w:bookmarkStart w:id="309" w:name="references"/>
    <w:p>
      <w:pPr>
        <w:pStyle w:val="Heading1"/>
      </w:pPr>
      <w:r>
        <w:t xml:space="preserve">References</w:t>
      </w:r>
    </w:p>
    <w:bookmarkStart w:id="308" w:name="refs"/>
    <w:bookmarkStart w:id="51" w:name="ref-alhajeri2016"/>
    <w:p>
      <w:pPr>
        <w:pStyle w:val="Bibliography"/>
      </w:pPr>
      <w:r>
        <w:t xml:space="preserve">Alhajeri, B. H., J. J. Schenk, and S. J. Steppan. 2016.</w:t>
      </w:r>
      <w:r>
        <w:t xml:space="preserve"> </w:t>
      </w:r>
      <w:hyperlink r:id="rId50">
        <w:r>
          <w:rPr>
            <w:rStyle w:val="Hyperlink"/>
          </w:rPr>
          <w:t xml:space="preserve">Ecomorphological diversification following continental colonization in muroid rodents (rodentia: muroidea)</w:t>
        </w:r>
      </w:hyperlink>
      <w:r>
        <w:t xml:space="preserve">. Biological Journal of the Linnean Society 117:463–481.</w:t>
      </w:r>
    </w:p>
    <w:bookmarkEnd w:id="51"/>
    <w:bookmarkStart w:id="53" w:name="ref-álvarez2017"/>
    <w:p>
      <w:pPr>
        <w:pStyle w:val="Bibliography"/>
      </w:pPr>
      <w:r>
        <w:t xml:space="preserve">Álvarez, A., R. L. M. Arévalo, and D. H. Verzi. 2017.</w:t>
      </w:r>
      <w:r>
        <w:t xml:space="preserve"> </w:t>
      </w:r>
      <w:hyperlink r:id="rId52">
        <w:r>
          <w:rPr>
            <w:rStyle w:val="Hyperlink"/>
          </w:rPr>
          <w:t xml:space="preserve">Diversification patterns and size evolution in caviomorph rodents</w:t>
        </w:r>
      </w:hyperlink>
      <w:r>
        <w:t xml:space="preserve">. Biological Journal of the Linnean Society 121:907–922.</w:t>
      </w:r>
    </w:p>
    <w:bookmarkEnd w:id="53"/>
    <w:bookmarkStart w:id="55" w:name="ref-antoine2017"/>
    <w:p>
      <w:pPr>
        <w:pStyle w:val="Bibliography"/>
      </w:pPr>
      <w:r>
        <w:t xml:space="preserve">Antoine, P.-O., R. Salas-Gismondi, F. Pujos, M. Ganerød, and L. Marivaux. 2017.</w:t>
      </w:r>
      <w:r>
        <w:t xml:space="preserve"> </w:t>
      </w:r>
      <w:hyperlink r:id="rId54">
        <w:r>
          <w:rPr>
            <w:rStyle w:val="Hyperlink"/>
          </w:rPr>
          <w:t xml:space="preserve">Western Amazonia as a Hotspot of Mammalian Biodiversity Throughout the Cenozoic</w:t>
        </w:r>
      </w:hyperlink>
      <w:r>
        <w:t xml:space="preserve">. Journal of Mammalian Evolution 24:5–17.</w:t>
      </w:r>
    </w:p>
    <w:bookmarkEnd w:id="55"/>
    <w:bookmarkStart w:id="57"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6">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7"/>
    <w:bookmarkStart w:id="59" w:name="ref-antonelli2018"/>
    <w:p>
      <w:pPr>
        <w:pStyle w:val="Bibliography"/>
      </w:pPr>
      <w:r>
        <w:t xml:space="preserve">Antonelli, A., W. D. Kissling, S. G. A. Flantua, M. A. Bermúdez, A. Mulch, A. N. Muellner-Riehl, H. Kreft, H. P. Linder, C. Badgley, J. Fjeldså, S. A. Fritz, C. Rahbek, F. Herman, H. Hooghiemstra, and C. Hoorn. 2018.</w:t>
      </w:r>
      <w:r>
        <w:t xml:space="preserve"> </w:t>
      </w:r>
      <w:hyperlink r:id="rId58">
        <w:r>
          <w:rPr>
            <w:rStyle w:val="Hyperlink"/>
          </w:rPr>
          <w:t xml:space="preserve">Geological and climatic influences on mountain biodiversity</w:t>
        </w:r>
      </w:hyperlink>
      <w:r>
        <w:t xml:space="preserve">. Nature Geoscience 11:718–725.</w:t>
      </w:r>
    </w:p>
    <w:bookmarkEnd w:id="59"/>
    <w:bookmarkStart w:id="61" w:name="ref-antonelli2009"/>
    <w:p>
      <w:pPr>
        <w:pStyle w:val="Bibliography"/>
      </w:pPr>
      <w:r>
        <w:t xml:space="preserve">Antonelli, A., J. A. A. Nylander, C. Persson, and I. Sanmartín. 2009.</w:t>
      </w:r>
      <w:r>
        <w:t xml:space="preserve"> </w:t>
      </w:r>
      <w:hyperlink r:id="rId60">
        <w:r>
          <w:rPr>
            <w:rStyle w:val="Hyperlink"/>
          </w:rPr>
          <w:t xml:space="preserve">Tracing the impact of the andean uplift on neotropical plant evolution</w:t>
        </w:r>
      </w:hyperlink>
      <w:r>
        <w:t xml:space="preserve">. Proceedings of the National Academy of Sciences 106:9749–9754.</w:t>
      </w:r>
    </w:p>
    <w:bookmarkEnd w:id="61"/>
    <w:bookmarkStart w:id="63" w:name="ref-arbogast2002"/>
    <w:p>
      <w:pPr>
        <w:pStyle w:val="Bibliography"/>
      </w:pPr>
      <w:r>
        <w:t xml:space="preserve">Arbogast, B. S., S. V. Edwards, J. Wakeley, P. Beerli, and J. B. Slowinski. 2002.</w:t>
      </w:r>
      <w:r>
        <w:t xml:space="preserve"> </w:t>
      </w:r>
      <w:hyperlink r:id="rId62">
        <w:r>
          <w:rPr>
            <w:rStyle w:val="Hyperlink"/>
          </w:rPr>
          <w:t xml:space="preserve">Estimating Divergence Times from Molecular Data on Phylogenetic and Population Genetic Timescales</w:t>
        </w:r>
      </w:hyperlink>
      <w:r>
        <w:t xml:space="preserve">. Annual Review of Ecology, Evolution, and Systematics 33:707–740.</w:t>
      </w:r>
    </w:p>
    <w:bookmarkEnd w:id="63"/>
    <w:bookmarkStart w:id="65" w:name="ref-armella2026"/>
    <w:p>
      <w:pPr>
        <w:pStyle w:val="Bibliography"/>
      </w:pPr>
      <w:r>
        <w:t xml:space="preserve">Armella, M. A., and D. A. Croft. 2026.</w:t>
      </w:r>
      <w:r>
        <w:t xml:space="preserve"> </w:t>
      </w:r>
      <w:hyperlink r:id="rId64">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65"/>
    <w:bookmarkStart w:id="67" w:name="ref-arnal2026"/>
    <w:p>
      <w:pPr>
        <w:pStyle w:val="Bibliography"/>
      </w:pPr>
      <w:r>
        <w:t xml:space="preserve">Arnal, M., R. F. Kay, L. A. Valdivia, W. Salenbien, P. E. Morse, M. R. Borths, B. A. Williams, C. Riddle, J.-N. Martínez, and L. A. Gonzales. 2026.</w:t>
      </w:r>
      <w:r>
        <w:t xml:space="preserve"> </w:t>
      </w:r>
      <w:hyperlink r:id="rId66">
        <w:r>
          <w:rPr>
            <w:rStyle w:val="Hyperlink"/>
          </w:rPr>
          <w:t xml:space="preserve">New Early Miocene hystricognath rodents (Caviomorpha) from the Madre de Dios River in the southeastern Peruvian Amazon</w:t>
        </w:r>
      </w:hyperlink>
      <w:r>
        <w:t xml:space="preserve">. Papers in Palaeontology 12:e70064.</w:t>
      </w:r>
    </w:p>
    <w:bookmarkEnd w:id="67"/>
    <w:bookmarkStart w:id="69" w:name="ref-balseiro2025"/>
    <w:p>
      <w:pPr>
        <w:pStyle w:val="Bibliography"/>
      </w:pPr>
      <w:r>
        <w:t xml:space="preserve">Balseiro, D., F. Serra, and A. Bignon. 2025. Extinction drives both expansion and contraction of morphological disparity in trilobites. Proceedings B, doi:</w:t>
      </w:r>
      <w:r>
        <w:t xml:space="preserve"> </w:t>
      </w:r>
      <w:hyperlink r:id="rId68">
        <w:r>
          <w:rPr>
            <w:rStyle w:val="Hyperlink"/>
          </w:rPr>
          <w:t xml:space="preserve">10.1098/rspb.2025.1418</w:t>
        </w:r>
      </w:hyperlink>
      <w:r>
        <w:t xml:space="preserve">.</w:t>
      </w:r>
    </w:p>
    <w:bookmarkEnd w:id="69"/>
    <w:bookmarkStart w:id="71" w:name="ref-barnosky2001"/>
    <w:p>
      <w:pPr>
        <w:pStyle w:val="Bibliography"/>
      </w:pPr>
      <w:r>
        <w:t xml:space="preserve">Barnosky, A. D. 2001.</w:t>
      </w:r>
      <w:r>
        <w:t xml:space="preserve"> </w:t>
      </w:r>
      <w:hyperlink r:id="rId70">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71"/>
    <w:bookmarkStart w:id="73" w:name="ref-benton2009"/>
    <w:p>
      <w:pPr>
        <w:pStyle w:val="Bibliography"/>
      </w:pPr>
      <w:r>
        <w:t xml:space="preserve">Benton, M. J. 2009.</w:t>
      </w:r>
      <w:r>
        <w:t xml:space="preserve"> </w:t>
      </w:r>
      <w:hyperlink r:id="rId72">
        <w:r>
          <w:rPr>
            <w:rStyle w:val="Hyperlink"/>
          </w:rPr>
          <w:t xml:space="preserve">The red queen and the court jester: Species diversity and the role of biotic and abiotic factors through time</w:t>
        </w:r>
      </w:hyperlink>
      <w:r>
        <w:t xml:space="preserve">. Science 323:728–732.</w:t>
      </w:r>
    </w:p>
    <w:bookmarkEnd w:id="73"/>
    <w:bookmarkStart w:id="75"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74">
        <w:r>
          <w:rPr>
            <w:rStyle w:val="Hyperlink"/>
          </w:rPr>
          <w:t xml:space="preserve">A heavyweight early whale pushes the boundaries of vertebrate morphology</w:t>
        </w:r>
      </w:hyperlink>
      <w:r>
        <w:t xml:space="preserve">. Nature 620:824–829.</w:t>
      </w:r>
    </w:p>
    <w:bookmarkEnd w:id="75"/>
    <w:bookmarkStart w:id="76"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76"/>
    <w:bookmarkStart w:id="78" w:name="ref-billet2009"/>
    <w:p>
      <w:pPr>
        <w:pStyle w:val="Bibliography"/>
      </w:pPr>
      <w:r>
        <w:t xml:space="preserve">Billet, G., C. Blondel, and C. de Muizon. 2009.</w:t>
      </w:r>
      <w:r>
        <w:t xml:space="preserve"> </w:t>
      </w:r>
      <w:hyperlink r:id="rId77">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8"/>
    <w:bookmarkStart w:id="80" w:name="ref-boessenecker2019"/>
    <w:p>
      <w:pPr>
        <w:pStyle w:val="Bibliography"/>
      </w:pPr>
      <w:r>
        <w:t xml:space="preserve">Boessenecker, R. W., D. J. Ehret, D. J. Long, M. Churchill, E. Martin, and S. J. Boessenecker. 2019.</w:t>
      </w:r>
      <w:r>
        <w:t xml:space="preserve"> </w:t>
      </w:r>
      <w:hyperlink r:id="rId79">
        <w:r>
          <w:rPr>
            <w:rStyle w:val="Hyperlink"/>
          </w:rPr>
          <w:t xml:space="preserve">The Early Pliocene extinction of the mega-toothed shark Otodus megalodon: a view from the eastern North Pacific</w:t>
        </w:r>
      </w:hyperlink>
      <w:r>
        <w:t xml:space="preserve">. PeerJ 7:e6088.</w:t>
      </w:r>
    </w:p>
    <w:bookmarkEnd w:id="80"/>
    <w:bookmarkStart w:id="82" w:name="ref-boivin2024"/>
    <w:p>
      <w:pPr>
        <w:pStyle w:val="Bibliography"/>
      </w:pPr>
      <w:r>
        <w:t xml:space="preserve">Boivin, M., A. Álvarez, M. D. Ercoli, S. R. Moyano, J. S. Salgado-Ahumada, A. M. O. Tejerina, and G. H. Cassini. 2024.</w:t>
      </w:r>
      <w:r>
        <w:t xml:space="preserve"> </w:t>
      </w:r>
      <w:hyperlink r:id="rId81">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2"/>
    <w:bookmarkStart w:id="84" w:name="ref-boivin2019"/>
    <w:p>
      <w:pPr>
        <w:pStyle w:val="Bibliography"/>
      </w:pPr>
      <w:r>
        <w:t xml:space="preserve">Boivin, M., L. Marivaux, and P.-O. Antoine. 2019.</w:t>
      </w:r>
      <w:r>
        <w:t xml:space="preserve"> </w:t>
      </w:r>
      <w:hyperlink r:id="rId83">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4"/>
    <w:bookmarkStart w:id="86"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5">
        <w:r>
          <w:rPr>
            <w:rStyle w:val="Hyperlink"/>
          </w:rPr>
          <w:t xml:space="preserve">The emergence and demise of giant sloths</w:t>
        </w:r>
      </w:hyperlink>
      <w:r>
        <w:t xml:space="preserve">. Science 388:864–868.</w:t>
      </w:r>
    </w:p>
    <w:bookmarkEnd w:id="86"/>
    <w:bookmarkStart w:id="88" w:name="ref-boschman2021"/>
    <w:p>
      <w:pPr>
        <w:pStyle w:val="Bibliography"/>
      </w:pPr>
      <w:r>
        <w:t xml:space="preserve">Boschman, L. M. 2021.</w:t>
      </w:r>
      <w:r>
        <w:t xml:space="preserve"> </w:t>
      </w:r>
      <w:hyperlink r:id="rId87">
        <w:r>
          <w:rPr>
            <w:rStyle w:val="Hyperlink"/>
          </w:rPr>
          <w:t xml:space="preserve">Andean mountain building since the late cretaceous: A paleoelevation reconstruction</w:t>
        </w:r>
      </w:hyperlink>
      <w:r>
        <w:t xml:space="preserve">. Earth-Science Reviews 220:103640.</w:t>
      </w:r>
    </w:p>
    <w:bookmarkEnd w:id="88"/>
    <w:bookmarkStart w:id="90" w:name="ref-boschman2022"/>
    <w:p>
      <w:pPr>
        <w:pStyle w:val="Bibliography"/>
      </w:pPr>
      <w:r>
        <w:t xml:space="preserve">Boschman, L. M., and F. L. Condamine. 2022.</w:t>
      </w:r>
      <w:r>
        <w:t xml:space="preserve"> </w:t>
      </w:r>
      <w:hyperlink r:id="rId89">
        <w:r>
          <w:rPr>
            <w:rStyle w:val="Hyperlink"/>
          </w:rPr>
          <w:t xml:space="preserve">Mountain radiations are not only rapid and recent: Ancient diversification of South American frog and lizard families related to Paleogene Andean orogeny and Cenozoic climate variations</w:t>
        </w:r>
      </w:hyperlink>
      <w:r>
        <w:t xml:space="preserve">. Global and Planetary Change 208:103704.</w:t>
      </w:r>
    </w:p>
    <w:bookmarkEnd w:id="90"/>
    <w:bookmarkStart w:id="92" w:name="ref-brandoni2016"/>
    <w:p>
      <w:pPr>
        <w:pStyle w:val="Bibliography"/>
      </w:pPr>
      <w:r>
        <w:t xml:space="preserve">Brandoni, D., L. G. Ruiz, M. F. Tejedor, G. Martin, and J. G. Fleagle. 2016.</w:t>
      </w:r>
      <w:r>
        <w:t xml:space="preserve"> </w:t>
      </w:r>
      <w:hyperlink r:id="rId91">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92"/>
    <w:bookmarkStart w:id="94" w:name="ref-brée2022"/>
    <w:p>
      <w:pPr>
        <w:pStyle w:val="Bibliography"/>
      </w:pPr>
      <w:r>
        <w:t xml:space="preserve">Brée, B., F. L. Condamine, and G. Guinot. 2022.</w:t>
      </w:r>
      <w:r>
        <w:t xml:space="preserve"> </w:t>
      </w:r>
      <w:hyperlink r:id="rId93">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4"/>
    <w:bookmarkStart w:id="96" w:name="ref-buffan2025"/>
    <w:p>
      <w:pPr>
        <w:pStyle w:val="Bibliography"/>
      </w:pPr>
      <w:r>
        <w:t xml:space="preserve">Buffan, L., F. L. Condamine, N. S. Stutz, F. Pujos, P.-O. Antoine, and L. Marivaux. 2025.</w:t>
      </w:r>
      <w:r>
        <w:t xml:space="preserve"> </w:t>
      </w:r>
      <w:hyperlink r:id="rId95">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96"/>
    <w:bookmarkStart w:id="97"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7"/>
    <w:bookmarkStart w:id="99" w:name="ref-candela2013"/>
    <w:p>
      <w:pPr>
        <w:pStyle w:val="Bibliography"/>
      </w:pPr>
      <w:r>
        <w:t xml:space="preserve">Candela, A. M., G. H. Cassini, and N. L. Nasif. 2013.</w:t>
      </w:r>
      <w:r>
        <w:t xml:space="preserve"> </w:t>
      </w:r>
      <w:hyperlink r:id="rId98">
        <w:r>
          <w:rPr>
            <w:rStyle w:val="Hyperlink"/>
          </w:rPr>
          <w:t xml:space="preserve">Fractal dimension and cheek teeth crown complexity in the giant rodent eumegamys paranensis</w:t>
        </w:r>
      </w:hyperlink>
      <w:r>
        <w:t xml:space="preserve">. Lethaia 46:369–377.</w:t>
      </w:r>
    </w:p>
    <w:bookmarkEnd w:id="99"/>
    <w:bookmarkStart w:id="101" w:name="ref-cantalapiedra2017"/>
    <w:p>
      <w:pPr>
        <w:pStyle w:val="Bibliography"/>
      </w:pPr>
      <w:r>
        <w:t xml:space="preserve">Cantalapiedra, J. L., J. L. Prado, M. Hernández Fernández, and M. T. Alberdi. 2017.</w:t>
      </w:r>
      <w:r>
        <w:t xml:space="preserve"> </w:t>
      </w:r>
      <w:hyperlink r:id="rId100">
        <w:r>
          <w:rPr>
            <w:rStyle w:val="Hyperlink"/>
          </w:rPr>
          <w:t xml:space="preserve">Decoupled ecomorphological evolution and diversification in neogene-quaternary horses</w:t>
        </w:r>
      </w:hyperlink>
      <w:r>
        <w:t xml:space="preserve">. Science 355:627–630.</w:t>
      </w:r>
    </w:p>
    <w:bookmarkEnd w:id="101"/>
    <w:bookmarkStart w:id="103" w:name="ref-carrillo2026"/>
    <w:p>
      <w:pPr>
        <w:pStyle w:val="Bibliography"/>
      </w:pPr>
      <w:r>
        <w:t xml:space="preserve">Carrillo, J. D., M. F. Torres Jimenez, F. J. Urrea-Barreto, K. Pino, R. B. Cooper, A. Antonelli, C. D. Bacon, S. Faurby, and D. Silvestro. 2026.</w:t>
      </w:r>
      <w:r>
        <w:t xml:space="preserve"> </w:t>
      </w:r>
      <w:hyperlink r:id="rId102">
        <w:r>
          <w:rPr>
            <w:rStyle w:val="Hyperlink"/>
          </w:rPr>
          <w:t xml:space="preserve">Decoupled diversity and disparity after faunistic turnover in caviomorph rodents</w:t>
        </w:r>
      </w:hyperlink>
      <w:r>
        <w:t xml:space="preserve">. Proceedings of the Royal Society B: Biological Sciences 293:20252586.</w:t>
      </w:r>
    </w:p>
    <w:bookmarkEnd w:id="103"/>
    <w:bookmarkStart w:id="105" w:name="ref-chiarenza2020"/>
    <w:p>
      <w:pPr>
        <w:pStyle w:val="Bibliography"/>
      </w:pPr>
      <w:r>
        <w:t xml:space="preserve">Chiarenza, A. A., A. Farnsworth, P. D. Mannion, D. J. Lunt, P. J. Valdes, J. V. Morgan, and P. A. Allison. 2020.</w:t>
      </w:r>
      <w:r>
        <w:t xml:space="preserve"> </w:t>
      </w:r>
      <w:hyperlink r:id="rId104">
        <w:r>
          <w:rPr>
            <w:rStyle w:val="Hyperlink"/>
          </w:rPr>
          <w:t xml:space="preserve">Asteroid impact, not volcanism, caused the end-cretaceous dinosaur extinction</w:t>
        </w:r>
      </w:hyperlink>
      <w:r>
        <w:t xml:space="preserve">. Proceedings of the National Academy of Sciences 117:17084–17093.</w:t>
      </w:r>
    </w:p>
    <w:bookmarkEnd w:id="105"/>
    <w:bookmarkStart w:id="107" w:name="ref-clavel2017"/>
    <w:p>
      <w:pPr>
        <w:pStyle w:val="Bibliography"/>
      </w:pPr>
      <w:r>
        <w:t xml:space="preserve">Clavel, J., and H. Morlon. 2017.</w:t>
      </w:r>
      <w:r>
        <w:t xml:space="preserve"> </w:t>
      </w:r>
      <w:hyperlink r:id="rId106">
        <w:r>
          <w:rPr>
            <w:rStyle w:val="Hyperlink"/>
          </w:rPr>
          <w:t xml:space="preserve">Accelerated body size evolution during cold climatic periods in the cenozoic</w:t>
        </w:r>
      </w:hyperlink>
      <w:r>
        <w:t xml:space="preserve">. Proceedings of the National Academy of Sciences 114:4183–4188.</w:t>
      </w:r>
    </w:p>
    <w:bookmarkEnd w:id="107"/>
    <w:bookmarkStart w:id="109" w:name="ref-cohen2025"/>
    <w:p>
      <w:pPr>
        <w:pStyle w:val="Bibliography"/>
      </w:pPr>
      <w:r>
        <w:t xml:space="preserve">Cohen, K., D. Harper, P. Gibbard, and N. Car. 2025.</w:t>
      </w:r>
      <w:r>
        <w:t xml:space="preserve"> </w:t>
      </w:r>
      <w:hyperlink r:id="rId108">
        <w:r>
          <w:rPr>
            <w:rStyle w:val="Hyperlink"/>
          </w:rPr>
          <w:t xml:space="preserve">The ICS international chronostratigraphic chart this decade</w:t>
        </w:r>
      </w:hyperlink>
      <w:r>
        <w:t xml:space="preserve">. Episodes Journal of International Geoscience 48:105–115.</w:t>
      </w:r>
    </w:p>
    <w:bookmarkEnd w:id="109"/>
    <w:bookmarkStart w:id="111" w:name="ref-condamine2018"/>
    <w:p>
      <w:pPr>
        <w:pStyle w:val="Bibliography"/>
      </w:pPr>
      <w:r>
        <w:t xml:space="preserve">Condamine, F. L., J. Rolland, S. Höhna, F. A. H. Sperling, and I. Sanmartín. 2018.</w:t>
      </w:r>
      <w:r>
        <w:t xml:space="preserve"> </w:t>
      </w:r>
      <w:hyperlink r:id="rId110">
        <w:r>
          <w:rPr>
            <w:rStyle w:val="Hyperlink"/>
          </w:rPr>
          <w:t xml:space="preserve">Testing the role of the red queen and court jester as drivers of the macroevolution of apollo butterflies</w:t>
        </w:r>
      </w:hyperlink>
      <w:r>
        <w:t xml:space="preserve">. Systematic Biology 67:940–964.</w:t>
      </w:r>
    </w:p>
    <w:bookmarkEnd w:id="111"/>
    <w:bookmarkStart w:id="113" w:name="ref-condamine2019"/>
    <w:p>
      <w:pPr>
        <w:pStyle w:val="Bibliography"/>
      </w:pPr>
      <w:r>
        <w:t xml:space="preserve">Condamine, F. L., J. Rolland, and H. Morlon. 2019a.</w:t>
      </w:r>
      <w:r>
        <w:t xml:space="preserve"> </w:t>
      </w:r>
      <w:hyperlink r:id="rId112">
        <w:r>
          <w:rPr>
            <w:rStyle w:val="Hyperlink"/>
          </w:rPr>
          <w:t xml:space="preserve">Assessing the causes of diversification slowdowns: temperature-dependent and diversity-dependent models receive equivalent support</w:t>
        </w:r>
      </w:hyperlink>
      <w:r>
        <w:t xml:space="preserve">. Ecology Letters 22:1900–1912.</w:t>
      </w:r>
    </w:p>
    <w:bookmarkEnd w:id="113"/>
    <w:bookmarkStart w:id="115" w:name="ref-condamine_climate_2019"/>
    <w:p>
      <w:pPr>
        <w:pStyle w:val="Bibliography"/>
      </w:pPr>
      <w:r>
        <w:t xml:space="preserve">Condamine, F. L., J. Romieu, and G. Guinot. 2019b.</w:t>
      </w:r>
      <w:r>
        <w:t xml:space="preserve"> </w:t>
      </w:r>
      <w:hyperlink r:id="rId114">
        <w:r>
          <w:rPr>
            <w:rStyle w:val="Hyperlink"/>
          </w:rPr>
          <w:t xml:space="preserve">Climate cooling and clade competition likely drove the decline of lamniform sharks</w:t>
        </w:r>
      </w:hyperlink>
      <w:r>
        <w:t xml:space="preserve">. Proc. Nat. Acad. Sc. U.S.A 116. Proceedings of the National Academy of Sciences.</w:t>
      </w:r>
    </w:p>
    <w:bookmarkEnd w:id="115"/>
    <w:bookmarkStart w:id="117" w:name="ref-condamine2020"/>
    <w:p>
      <w:pPr>
        <w:pStyle w:val="Bibliography"/>
      </w:pPr>
      <w:r>
        <w:t xml:space="preserve">Condamine, F. L., D. Silvestro, E. B. Koppelhus, and A. Antonelli. 2020.</w:t>
      </w:r>
      <w:r>
        <w:t xml:space="preserve"> </w:t>
      </w:r>
      <w:hyperlink r:id="rId116">
        <w:r>
          <w:rPr>
            <w:rStyle w:val="Hyperlink"/>
          </w:rPr>
          <w:t xml:space="preserve">The rise of angiosperms pushed conifers to decline during global cooling</w:t>
        </w:r>
      </w:hyperlink>
      <w:r>
        <w:t xml:space="preserve">. Proceedings of the National Academy of Sciences 117:28867–28875.</w:t>
      </w:r>
    </w:p>
    <w:bookmarkEnd w:id="117"/>
    <w:bookmarkStart w:id="119" w:name="ref-cooney2021"/>
    <w:p>
      <w:pPr>
        <w:pStyle w:val="Bibliography"/>
      </w:pPr>
      <w:r>
        <w:t xml:space="preserve">Cooney, C. R., and G. H. Thomas. 2021.</w:t>
      </w:r>
      <w:r>
        <w:t xml:space="preserve"> </w:t>
      </w:r>
      <w:hyperlink r:id="rId118">
        <w:r>
          <w:rPr>
            <w:rStyle w:val="Hyperlink"/>
          </w:rPr>
          <w:t xml:space="preserve">Heterogeneous relationships between rates of speciation and body size evolution across vertebrate clades</w:t>
        </w:r>
      </w:hyperlink>
      <w:r>
        <w:t xml:space="preserve">. Nature Ecology &amp; Evolution 5:101–110.</w:t>
      </w:r>
    </w:p>
    <w:bookmarkEnd w:id="119"/>
    <w:bookmarkStart w:id="121" w:name="ref-cooper2025"/>
    <w:p>
      <w:pPr>
        <w:pStyle w:val="Bibliography"/>
      </w:pPr>
      <w:r>
        <w:t xml:space="preserve">Cooper, R. B., B. J. Allen, and D. Silvestro. 2025.</w:t>
      </w:r>
      <w:r>
        <w:t xml:space="preserve"> </w:t>
      </w:r>
      <w:hyperlink r:id="rId120">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21"/>
    <w:bookmarkStart w:id="123" w:name="ref-cooper2024"/>
    <w:p>
      <w:pPr>
        <w:pStyle w:val="Bibliography"/>
      </w:pPr>
      <w:r>
        <w:t xml:space="preserve">Cooper, R. B., J. T. Flannery-Sutherland, and D. Silvestro. 2024.</w:t>
      </w:r>
      <w:r>
        <w:t xml:space="preserve"> </w:t>
      </w:r>
      <w:hyperlink r:id="rId122">
        <w:r>
          <w:rPr>
            <w:rStyle w:val="Hyperlink"/>
          </w:rPr>
          <w:t xml:space="preserve">DeepDive: estimating global biodiversity patterns through time using deep learning</w:t>
        </w:r>
      </w:hyperlink>
      <w:r>
        <w:t xml:space="preserve">. Nature Communications 15:4199.</w:t>
      </w:r>
    </w:p>
    <w:bookmarkEnd w:id="123"/>
    <w:bookmarkStart w:id="124" w:name="ref-cope1896"/>
    <w:p>
      <w:pPr>
        <w:pStyle w:val="Bibliography"/>
      </w:pPr>
      <w:r>
        <w:t xml:space="preserve">Cope, E. D. 1896. The primary factors of organic evolution. The Open Court Publishing Company.</w:t>
      </w:r>
    </w:p>
    <w:bookmarkEnd w:id="124"/>
    <w:bookmarkStart w:id="126" w:name="ref-croft2020"/>
    <w:p>
      <w:pPr>
        <w:pStyle w:val="Bibliography"/>
      </w:pPr>
      <w:r>
        <w:t xml:space="preserve">Croft, D. A., J. N. Gelfo, and G. M. López. 2020.</w:t>
      </w:r>
      <w:r>
        <w:t xml:space="preserve"> </w:t>
      </w:r>
      <w:hyperlink r:id="rId125">
        <w:r>
          <w:rPr>
            <w:rStyle w:val="Hyperlink"/>
          </w:rPr>
          <w:t xml:space="preserve">Splendid innovation: The extinct south american native ungulates</w:t>
        </w:r>
      </w:hyperlink>
      <w:r>
        <w:t xml:space="preserve">. Annual Review of Earth and Planetary Sciences 48:259–290.</w:t>
      </w:r>
    </w:p>
    <w:bookmarkEnd w:id="126"/>
    <w:bookmarkStart w:id="128" w:name="ref-cuitiño2021"/>
    <w:p>
      <w:pPr>
        <w:pStyle w:val="Bibliography"/>
      </w:pPr>
      <w:r>
        <w:t xml:space="preserve">Cuitiño, J. I., M. Sol Raigemborn, M. Susana Bargo, S. F. Vizcaíno, N. A. Muñoz, M. J. Kohn, and R. F. Kay. 2021.</w:t>
      </w:r>
      <w:r>
        <w:t xml:space="preserve"> </w:t>
      </w:r>
      <w:hyperlink r:id="rId127">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8"/>
    <w:bookmarkStart w:id="130" w:name="ref-dacunha2023"/>
    <w:p>
      <w:pPr>
        <w:pStyle w:val="Bibliography"/>
      </w:pPr>
      <w:r>
        <w:t xml:space="preserve">Da Cunha, L., L. W. Viñola-López, R. D. E. MacPhee, L. Kerber, J. Vélez-Juarbe, P.-O. Antoine, M. Boivin, L. Hautier, R. Lebrun, L. Marivaux, and P.-H. Fabre. 2023.</w:t>
      </w:r>
      <w:r>
        <w:t xml:space="preserve"> </w:t>
      </w:r>
      <w:hyperlink r:id="rId129">
        <w:r>
          <w:rPr>
            <w:rStyle w:val="Hyperlink"/>
          </w:rPr>
          <w:t xml:space="preserve">The inner ear of caviomorph rodents: Phylogenetic implications and application to extinct West Indian taxa</w:t>
        </w:r>
      </w:hyperlink>
      <w:r>
        <w:t xml:space="preserve">. Journal of Mammalian Evolution 30:1155–1176.</w:t>
      </w:r>
    </w:p>
    <w:bookmarkEnd w:id="130"/>
    <w:bookmarkStart w:id="132" w:name="ref-drury2016"/>
    <w:p>
      <w:pPr>
        <w:pStyle w:val="Bibliography"/>
      </w:pPr>
      <w:r>
        <w:t xml:space="preserve">Drury, J., J. Clavel, M. Manceau, and H. Morlon. 2016.</w:t>
      </w:r>
      <w:r>
        <w:t xml:space="preserve"> </w:t>
      </w:r>
      <w:hyperlink r:id="rId131">
        <w:r>
          <w:rPr>
            <w:rStyle w:val="Hyperlink"/>
          </w:rPr>
          <w:t xml:space="preserve">Estimating the effect of competition on trait evolution using maximum likelihood inference</w:t>
        </w:r>
      </w:hyperlink>
      <w:r>
        <w:t xml:space="preserve">. Systematic Biology 65:700–710.</w:t>
      </w:r>
    </w:p>
    <w:bookmarkEnd w:id="132"/>
    <w:bookmarkStart w:id="134" w:name="ref-dunn2013"/>
    <w:p>
      <w:pPr>
        <w:pStyle w:val="Bibliography"/>
      </w:pPr>
      <w:r>
        <w:t xml:space="preserve">Dunn, R. E., R. H. Madden, M. J. Kohn, M. D. Schmitz, C. A. E. Strömberg, A. A. Carlini, G. H. Ré, and J. Crowley. 2013.</w:t>
      </w:r>
      <w:r>
        <w:t xml:space="preserve"> </w:t>
      </w:r>
      <w:hyperlink r:id="rId133">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4"/>
    <w:bookmarkStart w:id="136" w:name="ref-esteve2025"/>
    <w:p>
      <w:pPr>
        <w:pStyle w:val="Bibliography"/>
      </w:pPr>
      <w:r>
        <w:t xml:space="preserve">Esteve, J. 2025.</w:t>
      </w:r>
      <w:r>
        <w:t xml:space="preserve"> </w:t>
      </w:r>
      <w:hyperlink r:id="rId135">
        <w:r>
          <w:rPr>
            <w:rStyle w:val="Hyperlink"/>
          </w:rPr>
          <w:t xml:space="preserve">When extinction expands morphospace: Lessons from trilobites</w:t>
        </w:r>
      </w:hyperlink>
      <w:r>
        <w:t xml:space="preserve">. Proceedings of the Royal Society B: Biological Sciences 292:20252245.</w:t>
      </w:r>
    </w:p>
    <w:bookmarkEnd w:id="136"/>
    <w:bookmarkStart w:id="138" w:name="ref-etienne2011"/>
    <w:p>
      <w:pPr>
        <w:pStyle w:val="Bibliography"/>
      </w:pPr>
      <w:r>
        <w:t xml:space="preserve">Etienne, R. S., B. Haegeman, T. Stadler, T. Aze, P. N. Pearson, A. Purvis, and A. B. Phillimore. 2011.</w:t>
      </w:r>
      <w:r>
        <w:t xml:space="preserve"> </w:t>
      </w:r>
      <w:hyperlink r:id="rId137">
        <w:r>
          <w:rPr>
            <w:rStyle w:val="Hyperlink"/>
          </w:rPr>
          <w:t xml:space="preserve">Diversity-dependence brings molecular phylogenies closer to agreement with the fossil record</w:t>
        </w:r>
      </w:hyperlink>
      <w:r>
        <w:t xml:space="preserve">. Proceedings of the Royal Society B: Biological Sciences 279:1300–1309.</w:t>
      </w:r>
    </w:p>
    <w:bookmarkEnd w:id="138"/>
    <w:bookmarkStart w:id="140" w:name="ref-felsenstein1985"/>
    <w:p>
      <w:pPr>
        <w:pStyle w:val="Bibliography"/>
      </w:pPr>
      <w:r>
        <w:t xml:space="preserve">Felsenstein, J. 1985.</w:t>
      </w:r>
      <w:r>
        <w:t xml:space="preserve"> </w:t>
      </w:r>
      <w:hyperlink r:id="rId139">
        <w:r>
          <w:rPr>
            <w:rStyle w:val="Hyperlink"/>
          </w:rPr>
          <w:t xml:space="preserve">Phylogenies and the comparative method</w:t>
        </w:r>
      </w:hyperlink>
      <w:r>
        <w:t xml:space="preserve">. The American Naturalist 125:1–15.</w:t>
      </w:r>
    </w:p>
    <w:bookmarkEnd w:id="140"/>
    <w:bookmarkStart w:id="142" w:name="ref-fernicola2019"/>
    <w:p>
      <w:pPr>
        <w:pStyle w:val="Bibliography"/>
      </w:pPr>
      <w:r>
        <w:t xml:space="preserve">Fernicola, J. C., S. F. Vizcaíno, M. S. Bargo, R. F. Kay, and J. I. Cuitiño. 2019.</w:t>
      </w:r>
      <w:r>
        <w:t xml:space="preserve"> </w:t>
      </w:r>
      <w:hyperlink r:id="rId141">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42"/>
    <w:bookmarkStart w:id="144" w:name="ref-flannery-sutherland2022"/>
    <w:p>
      <w:pPr>
        <w:pStyle w:val="Bibliography"/>
      </w:pPr>
      <w:r>
        <w:t xml:space="preserve">Flannery-Sutherland, J. T., D. Silvestro, and M. J. Benton. 2022.</w:t>
      </w:r>
      <w:r>
        <w:t xml:space="preserve"> </w:t>
      </w:r>
      <w:hyperlink r:id="rId143">
        <w:r>
          <w:rPr>
            <w:rStyle w:val="Hyperlink"/>
          </w:rPr>
          <w:t xml:space="preserve">Global diversity dynamics in the fossil record are regionally heterogeneous</w:t>
        </w:r>
      </w:hyperlink>
      <w:r>
        <w:t xml:space="preserve">. Nature Communications 13:2751.</w:t>
      </w:r>
    </w:p>
    <w:bookmarkEnd w:id="144"/>
    <w:bookmarkStart w:id="146" w:name="ref-foote1993"/>
    <w:p>
      <w:pPr>
        <w:pStyle w:val="Bibliography"/>
      </w:pPr>
      <w:r>
        <w:t xml:space="preserve">Foote, M. 1993.</w:t>
      </w:r>
      <w:r>
        <w:t xml:space="preserve"> </w:t>
      </w:r>
      <w:hyperlink r:id="rId145">
        <w:r>
          <w:rPr>
            <w:rStyle w:val="Hyperlink"/>
          </w:rPr>
          <w:t xml:space="preserve">Discordance and concordance between morphological and taxonomic diversity</w:t>
        </w:r>
      </w:hyperlink>
      <w:r>
        <w:t xml:space="preserve">. Paleobiology 19:185–204.</w:t>
      </w:r>
    </w:p>
    <w:bookmarkEnd w:id="146"/>
    <w:bookmarkStart w:id="148" w:name="ref-gould1977"/>
    <w:p>
      <w:pPr>
        <w:pStyle w:val="Bibliography"/>
      </w:pPr>
      <w:r>
        <w:t xml:space="preserve">Gould, S. J., and N. Eldredge. 1977.</w:t>
      </w:r>
      <w:r>
        <w:t xml:space="preserve"> </w:t>
      </w:r>
      <w:hyperlink r:id="rId147">
        <w:r>
          <w:rPr>
            <w:rStyle w:val="Hyperlink"/>
          </w:rPr>
          <w:t xml:space="preserve">Punctuated equilibria: the tempo and mode of evolution reconsidered</w:t>
        </w:r>
      </w:hyperlink>
      <w:r>
        <w:t xml:space="preserve">. Paleobiology 3:115–151.</w:t>
      </w:r>
    </w:p>
    <w:bookmarkEnd w:id="148"/>
    <w:bookmarkStart w:id="150" w:name="ref-guayasamin2024"/>
    <w:p>
      <w:pPr>
        <w:pStyle w:val="Bibliography"/>
      </w:pPr>
      <w:r>
        <w:t xml:space="preserve">Guayasamin, J. M., C. C. Ribas, A. C. Carnaval, J. D. Carrillo, C. Hoorn, L. G. Lohmann, D. Riff, C. Ulloa Ulloa, and J. S. Albert. 2024.</w:t>
      </w:r>
      <w:r>
        <w:t xml:space="preserve"> </w:t>
      </w:r>
      <w:hyperlink r:id="rId149">
        <w:r>
          <w:rPr>
            <w:rStyle w:val="Hyperlink"/>
          </w:rPr>
          <w:t xml:space="preserve">Evolution of Amazonian biodiversity: A review</w:t>
        </w:r>
      </w:hyperlink>
      <w:r>
        <w:t xml:space="preserve">. Acta Amazonica 54:e54bc21360.</w:t>
      </w:r>
    </w:p>
    <w:bookmarkEnd w:id="150"/>
    <w:bookmarkStart w:id="152" w:name="ref-guinot2026"/>
    <w:p>
      <w:pPr>
        <w:pStyle w:val="Bibliography"/>
      </w:pPr>
      <w:r>
        <w:t xml:space="preserve">Guinot, G., S. Adnet, G. Cuny, I. Feichtinger, K. Shimada, M. Siversson, C. J. Underwood, R. Vullo, D. J. Ward, and F. L. Condamine. 2026. Fossil-based analyses of clades</w:t>
      </w:r>
      <w:r>
        <w:t xml:space="preserve">’</w:t>
      </w:r>
      <w:r>
        <w:t xml:space="preserve"> </w:t>
      </w:r>
      <w:r>
        <w:t xml:space="preserve">diversification patterns require taxonomic expertise and appropriate methodology, doi:</w:t>
      </w:r>
      <w:r>
        <w:t xml:space="preserve"> </w:t>
      </w:r>
      <w:hyperlink r:id="rId151">
        <w:r>
          <w:rPr>
            <w:rStyle w:val="Hyperlink"/>
          </w:rPr>
          <w:t xml:space="preserve">10.64898/2026.02.27.708174</w:t>
        </w:r>
      </w:hyperlink>
      <w:r>
        <w:t xml:space="preserve">.</w:t>
      </w:r>
    </w:p>
    <w:bookmarkEnd w:id="152"/>
    <w:bookmarkStart w:id="154" w:name="ref-hagen2018"/>
    <w:p>
      <w:pPr>
        <w:pStyle w:val="Bibliography"/>
      </w:pPr>
      <w:r>
        <w:t xml:space="preserve">Hagen, O., T. Andermann, T. B. Quental, A. Antonelli, and D. Silvestro. 2018.</w:t>
      </w:r>
      <w:r>
        <w:t xml:space="preserve"> </w:t>
      </w:r>
      <w:hyperlink r:id="rId153">
        <w:r>
          <w:rPr>
            <w:rStyle w:val="Hyperlink"/>
          </w:rPr>
          <w:t xml:space="preserve">Estimating age-dependent extinction: Contrasting evidence from fossils and phylogenies</w:t>
        </w:r>
      </w:hyperlink>
      <w:r>
        <w:t xml:space="preserve">. Systematic Biology 67:458–474.</w:t>
      </w:r>
    </w:p>
    <w:bookmarkEnd w:id="154"/>
    <w:bookmarkStart w:id="156" w:name="ref-hauffe2024"/>
    <w:p>
      <w:pPr>
        <w:pStyle w:val="Bibliography"/>
      </w:pPr>
      <w:r>
        <w:t xml:space="preserve">Hauffe, T., J. L. Cantalapiedra, and D. Silvestro. 2024.</w:t>
      </w:r>
      <w:r>
        <w:t xml:space="preserve"> </w:t>
      </w:r>
      <w:hyperlink r:id="rId155">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6"/>
    <w:bookmarkStart w:id="158" w:name="ref-hernández2005"/>
    <w:p>
      <w:pPr>
        <w:pStyle w:val="Bibliography"/>
      </w:pPr>
      <w:r>
        <w:t xml:space="preserve">Hernández, R. M., T. E. Jordan, A. Dalenz Farjat, L. Echavarría, B. D. Idleman, and J. H. Reynolds. 2005.</w:t>
      </w:r>
      <w:r>
        <w:t xml:space="preserve"> </w:t>
      </w:r>
      <w:hyperlink r:id="rId157">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8"/>
    <w:bookmarkStart w:id="160" w:name="ref-hoorn2022"/>
    <w:p>
      <w:pPr>
        <w:pStyle w:val="Bibliography"/>
      </w:pPr>
      <w:r>
        <w:t xml:space="preserve">Hoorn, C., L. M. Boschman, T. Kukla, M. Sciumbata, and P. Val. 2022.</w:t>
      </w:r>
      <w:r>
        <w:t xml:space="preserve"> </w:t>
      </w:r>
      <w:hyperlink r:id="rId159">
        <w:r>
          <w:rPr>
            <w:rStyle w:val="Hyperlink"/>
          </w:rPr>
          <w:t xml:space="preserve">The miocene wetland of western amazonia and its role in neotropical biogeography</w:t>
        </w:r>
      </w:hyperlink>
      <w:r>
        <w:t xml:space="preserve">. Botanical Journal of the Linnean Society 199:25–35.</w:t>
      </w:r>
    </w:p>
    <w:bookmarkEnd w:id="160"/>
    <w:bookmarkStart w:id="162" w:name="ref-hoorn1995"/>
    <w:p>
      <w:pPr>
        <w:pStyle w:val="Bibliography"/>
      </w:pPr>
      <w:r>
        <w:t xml:space="preserve">Hoorn, C., J. Guerrero, G. A. Sarmiento, and M. A. Lorente. 1995.</w:t>
      </w:r>
      <w:r>
        <w:t xml:space="preserve"> </w:t>
      </w:r>
      <w:hyperlink r:id="rId161">
        <w:r>
          <w:rPr>
            <w:rStyle w:val="Hyperlink"/>
          </w:rPr>
          <w:t xml:space="preserve">Andean tectonics as a cause for changing drainage patterns in Miocene northern South America</w:t>
        </w:r>
      </w:hyperlink>
      <w:r>
        <w:t xml:space="preserve">. Geology 23:237.</w:t>
      </w:r>
    </w:p>
    <w:bookmarkEnd w:id="162"/>
    <w:bookmarkStart w:id="164" w:name="ref-hoorn2023"/>
    <w:p>
      <w:pPr>
        <w:pStyle w:val="Bibliography"/>
      </w:pPr>
      <w:r>
        <w:t xml:space="preserve">Hoorn, C., L. G. Lohmann, L. M. Boschman, and F. L. Condamine. 2023.</w:t>
      </w:r>
      <w:r>
        <w:t xml:space="preserve"> </w:t>
      </w:r>
      <w:hyperlink r:id="rId163">
        <w:r>
          <w:rPr>
            <w:rStyle w:val="Hyperlink"/>
          </w:rPr>
          <w:t xml:space="preserve">Neogene History of the Amazonian Flora: A Perspective Based on Geological, Palynological, and Molecular Phylogenetic Data</w:t>
        </w:r>
      </w:hyperlink>
      <w:r>
        <w:t xml:space="preserve">. Annual Review of Earth and Planetary Sciences 51:419–446.</w:t>
      </w:r>
    </w:p>
    <w:bookmarkEnd w:id="164"/>
    <w:bookmarkStart w:id="166"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5">
        <w:r>
          <w:rPr>
            <w:rStyle w:val="Hyperlink"/>
          </w:rPr>
          <w:t xml:space="preserve">Amazonia through time: Andean uplift, climate change, landscape evolution, and biodiversity</w:t>
        </w:r>
      </w:hyperlink>
      <w:r>
        <w:t xml:space="preserve">. Science 330:927–931.</w:t>
      </w:r>
    </w:p>
    <w:bookmarkEnd w:id="166"/>
    <w:bookmarkStart w:id="168" w:name="ref-hughes2013"/>
    <w:p>
      <w:pPr>
        <w:pStyle w:val="Bibliography"/>
      </w:pPr>
      <w:r>
        <w:t xml:space="preserve">Hughes, M., S. Gerber, and M. A. Wills. 2013.</w:t>
      </w:r>
      <w:r>
        <w:t xml:space="preserve"> </w:t>
      </w:r>
      <w:hyperlink r:id="rId167">
        <w:r>
          <w:rPr>
            <w:rStyle w:val="Hyperlink"/>
          </w:rPr>
          <w:t xml:space="preserve">Clades reach highest morphological disparity early in their evolution</w:t>
        </w:r>
      </w:hyperlink>
      <w:r>
        <w:t xml:space="preserve">. Proceedings of the National Academy of Sciences 110:13875–13879.</w:t>
      </w:r>
    </w:p>
    <w:bookmarkEnd w:id="168"/>
    <w:bookmarkStart w:id="170" w:name="ref-hullot2025"/>
    <w:p>
      <w:pPr>
        <w:pStyle w:val="Bibliography"/>
      </w:pPr>
      <w:r>
        <w:t xml:space="preserve">Hullot, M., C. Robinet, Q. Vautrin, R. Tabuce, P.-O. Antoine, G. Merceron, and F. Lihoreau. 2025.</w:t>
      </w:r>
      <w:r>
        <w:t xml:space="preserve"> </w:t>
      </w:r>
      <w:hyperlink r:id="rId169">
        <w:r>
          <w:rPr>
            <w:rStyle w:val="Hyperlink"/>
          </w:rPr>
          <w:t xml:space="preserve">Evolution of dietary preferences of the lophiodontidae (mammalia, perissodactyla) from southern france</w:t>
        </w:r>
      </w:hyperlink>
      <w:r>
        <w:t xml:space="preserve">. Palaeogeography, Palaeoclimatology, Palaeoecology 675:113076.</w:t>
      </w:r>
    </w:p>
    <w:bookmarkEnd w:id="170"/>
    <w:bookmarkStart w:id="172" w:name="ref-jablonski2017"/>
    <w:p>
      <w:pPr>
        <w:pStyle w:val="Bibliography"/>
      </w:pPr>
      <w:r>
        <w:t xml:space="preserve">Jablonski, D. 2017.</w:t>
      </w:r>
      <w:r>
        <w:t xml:space="preserve"> </w:t>
      </w:r>
      <w:hyperlink r:id="rId171">
        <w:r>
          <w:rPr>
            <w:rStyle w:val="Hyperlink"/>
          </w:rPr>
          <w:t xml:space="preserve">Approaches to Macroevolution: 2. Sorting of Variation, Some Overarching Issues, and General Conclusions</w:t>
        </w:r>
      </w:hyperlink>
      <w:r>
        <w:t xml:space="preserve">. Evolutionary Biology 44:451–475.</w:t>
      </w:r>
    </w:p>
    <w:bookmarkEnd w:id="172"/>
    <w:bookmarkStart w:id="173"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73"/>
    <w:bookmarkStart w:id="175"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74">
        <w:r>
          <w:rPr>
            <w:rStyle w:val="Hyperlink"/>
          </w:rPr>
          <w:t xml:space="preserve">Miocene flooding events of western amazonia</w:t>
        </w:r>
      </w:hyperlink>
      <w:r>
        <w:t xml:space="preserve">. Science Advances 3:e1601693.</w:t>
      </w:r>
    </w:p>
    <w:bookmarkEnd w:id="175"/>
    <w:bookmarkStart w:id="177" w:name="ref-jardine2012"/>
    <w:p>
      <w:pPr>
        <w:pStyle w:val="Bibliography"/>
      </w:pPr>
      <w:r>
        <w:t xml:space="preserve">Jardine, P. E., C. M. Janis, S. Sahney, and M. J. Benton. 2012.</w:t>
      </w:r>
      <w:r>
        <w:t xml:space="preserve"> </w:t>
      </w:r>
      <w:hyperlink r:id="rId176">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7"/>
    <w:bookmarkStart w:id="179" w:name="ref-jouault_ants_2024"/>
    <w:p>
      <w:pPr>
        <w:pStyle w:val="Bibliography"/>
      </w:pPr>
      <w:r>
        <w:t xml:space="preserve">Jouault, C., F. L. Condamine, F. Legendre, and V. Perrichot. 2024.</w:t>
      </w:r>
      <w:r>
        <w:t xml:space="preserve"> </w:t>
      </w:r>
      <w:hyperlink r:id="rId178">
        <w:r>
          <w:rPr>
            <w:rStyle w:val="Hyperlink"/>
          </w:rPr>
          <w:t xml:space="preserve">The angiosperm terrestrial revolution buffered ants against extinction</w:t>
        </w:r>
      </w:hyperlink>
      <w:r>
        <w:t xml:space="preserve">. Proc. Nat. Acad. Sc. U.S.A 121:e2317795121. Proceedings of the National Academy of Sciences.</w:t>
      </w:r>
    </w:p>
    <w:bookmarkEnd w:id="179"/>
    <w:bookmarkStart w:id="181" w:name="ref-kass1995"/>
    <w:p>
      <w:pPr>
        <w:pStyle w:val="Bibliography"/>
      </w:pPr>
      <w:r>
        <w:t xml:space="preserve">Kass, R. E., and A. E. Raftery. 1995.</w:t>
      </w:r>
      <w:r>
        <w:t xml:space="preserve"> </w:t>
      </w:r>
      <w:hyperlink r:id="rId180">
        <w:r>
          <w:rPr>
            <w:rStyle w:val="Hyperlink"/>
          </w:rPr>
          <w:t xml:space="preserve">Bayes factors</w:t>
        </w:r>
      </w:hyperlink>
      <w:r>
        <w:t xml:space="preserve">. Journal of the American Statistical Association 90:773–795.</w:t>
      </w:r>
    </w:p>
    <w:bookmarkEnd w:id="181"/>
    <w:bookmarkStart w:id="183" w:name="ref-lehtonen2017"/>
    <w:p>
      <w:pPr>
        <w:pStyle w:val="Bibliography"/>
      </w:pPr>
      <w:r>
        <w:t xml:space="preserve">Lehtonen, S., D. Silvestro, D. N. Karger, C. Scotese, H. Tuomisto, M. Kessler, C. Peña, N. Wahlberg, and A. Antonelli. 2017.</w:t>
      </w:r>
      <w:r>
        <w:t xml:space="preserve"> </w:t>
      </w:r>
      <w:hyperlink r:id="rId182">
        <w:r>
          <w:rPr>
            <w:rStyle w:val="Hyperlink"/>
          </w:rPr>
          <w:t xml:space="preserve">Environmentally driven extinction and opportunistic origination explain fern diversification patterns</w:t>
        </w:r>
      </w:hyperlink>
      <w:r>
        <w:t xml:space="preserve">. Scientific Reports 7:4831.</w:t>
      </w:r>
    </w:p>
    <w:bookmarkEnd w:id="183"/>
    <w:bookmarkStart w:id="185" w:name="ref-liow2008"/>
    <w:p>
      <w:pPr>
        <w:pStyle w:val="Bibliography"/>
      </w:pPr>
      <w:r>
        <w:t xml:space="preserve">Liow, L. H., M. Fortelius, E. Bingham, K. Lintulaakso, H. Mannila, L. Flynn, and N. Chr. Stenseth. 2008.</w:t>
      </w:r>
      <w:r>
        <w:t xml:space="preserve"> </w:t>
      </w:r>
      <w:hyperlink r:id="rId184">
        <w:r>
          <w:rPr>
            <w:rStyle w:val="Hyperlink"/>
          </w:rPr>
          <w:t xml:space="preserve">Higher origination and extinction rates in larger mammals</w:t>
        </w:r>
      </w:hyperlink>
      <w:r>
        <w:t xml:space="preserve">. Proceedings of the National Academy of Sciences 105:6097–6102.</w:t>
      </w:r>
    </w:p>
    <w:bookmarkEnd w:id="185"/>
    <w:bookmarkStart w:id="187" w:name="ref-liow2010"/>
    <w:p>
      <w:pPr>
        <w:pStyle w:val="Bibliography"/>
      </w:pPr>
      <w:r>
        <w:t xml:space="preserve">Liow, L. H., T. B. Quental, and C. R. Marshall. 2010.</w:t>
      </w:r>
      <w:r>
        <w:t xml:space="preserve"> </w:t>
      </w:r>
      <w:hyperlink r:id="rId186">
        <w:r>
          <w:rPr>
            <w:rStyle w:val="Hyperlink"/>
          </w:rPr>
          <w:t xml:space="preserve">When can decreasing diversification rates be detected with molecular phylogenies and the fossil record?</w:t>
        </w:r>
      </w:hyperlink>
      <w:r>
        <w:t xml:space="preserve"> Systematic Biology 59:646–659.</w:t>
      </w:r>
    </w:p>
    <w:bookmarkEnd w:id="187"/>
    <w:bookmarkStart w:id="189" w:name="ref-macfadden2000"/>
    <w:p>
      <w:pPr>
        <w:pStyle w:val="Bibliography"/>
      </w:pPr>
      <w:r>
        <w:t xml:space="preserve">MacFadden, B. J. 2000.</w:t>
      </w:r>
      <w:r>
        <w:t xml:space="preserve"> </w:t>
      </w:r>
      <w:hyperlink r:id="rId188">
        <w:r>
          <w:rPr>
            <w:rStyle w:val="Hyperlink"/>
          </w:rPr>
          <w:t xml:space="preserve">Cenozoic mammalian herbivores from the americas: Reconstructing ancient diets and terrestrial communities</w:t>
        </w:r>
      </w:hyperlink>
      <w:r>
        <w:t xml:space="preserve">. Annual Review of Ecology and Systematics 31:33–59.</w:t>
      </w:r>
    </w:p>
    <w:bookmarkEnd w:id="189"/>
    <w:bookmarkStart w:id="191" w:name="ref-macphee2011"/>
    <w:p>
      <w:pPr>
        <w:pStyle w:val="Bibliography"/>
      </w:pPr>
      <w:r>
        <w:t xml:space="preserve">MacPhee, R. D. E. 2011.</w:t>
      </w:r>
      <w:r>
        <w:t xml:space="preserve"> </w:t>
      </w:r>
      <w:hyperlink r:id="rId190">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91"/>
    <w:bookmarkStart w:id="193" w:name="ref-maestri2017"/>
    <w:p>
      <w:pPr>
        <w:pStyle w:val="Bibliography"/>
      </w:pPr>
      <w:r>
        <w:t xml:space="preserve">Maestri, R., L. R. Monteiro, R. Fornel, N. S. Upham, B. D. Patterson, and T. R. O. de Freitas. 2017.</w:t>
      </w:r>
      <w:r>
        <w:t xml:space="preserve"> </w:t>
      </w:r>
      <w:hyperlink r:id="rId192">
        <w:r>
          <w:rPr>
            <w:rStyle w:val="Hyperlink"/>
          </w:rPr>
          <w:t xml:space="preserve">The ecology of a continental evolutionary radiation: Is the radiation of sigmodontine rodents adaptive?</w:t>
        </w:r>
      </w:hyperlink>
      <w:r>
        <w:t xml:space="preserve"> Evolution 71:610–632.</w:t>
      </w:r>
    </w:p>
    <w:bookmarkEnd w:id="193"/>
    <w:bookmarkStart w:id="195" w:name="ref-marion_bioluminescence_2025"/>
    <w:p>
      <w:pPr>
        <w:pStyle w:val="Bibliography"/>
      </w:pPr>
      <w:r>
        <w:t xml:space="preserve">Marion, A. F. P., F. L. Condamine, and G. Guinot. 2025.</w:t>
      </w:r>
      <w:r>
        <w:t xml:space="preserve"> </w:t>
      </w:r>
      <w:hyperlink r:id="rId194">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95"/>
    <w:bookmarkStart w:id="197" w:name="ref-marivaux2022"/>
    <w:p>
      <w:pPr>
        <w:pStyle w:val="Bibliography"/>
      </w:pPr>
      <w:r>
        <w:t xml:space="preserve">Marivaux, L., L. W. V. López, M. Boivin, L. Da Cunha, P.-H. Fabre, R. Joannes-Boyau, G. Maincent, P. Münch, N. S. Stutz, J. Vélez-Juarbe, and P.-O. Antoine. 2022.</w:t>
      </w:r>
      <w:r>
        <w:t xml:space="preserve"> </w:t>
      </w:r>
      <w:hyperlink r:id="rId196">
        <w:r>
          <w:rPr>
            <w:rStyle w:val="Hyperlink"/>
          </w:rPr>
          <w:t xml:space="preserve">Incisor enamel microstructure of West Indian caviomorph hystricognathous rodents (Octodontoidea and Chinchilloidea)</w:t>
        </w:r>
      </w:hyperlink>
      <w:r>
        <w:t xml:space="preserve">. Journal of Mammalian Evolution 29:969–995.</w:t>
      </w:r>
    </w:p>
    <w:bookmarkEnd w:id="197"/>
    <w:bookmarkStart w:id="199"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98">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9"/>
    <w:bookmarkStart w:id="201" w:name="ref-marshall1982"/>
    <w:p>
      <w:pPr>
        <w:pStyle w:val="Bibliography"/>
      </w:pPr>
      <w:r>
        <w:t xml:space="preserve">Marshall, L. G., S. D. Webb, J. J. Sepkoski, and D. M. Raup. 1982.</w:t>
      </w:r>
      <w:r>
        <w:t xml:space="preserve"> </w:t>
      </w:r>
      <w:hyperlink r:id="rId200">
        <w:r>
          <w:rPr>
            <w:rStyle w:val="Hyperlink"/>
          </w:rPr>
          <w:t xml:space="preserve">Mammalian evolution and the great american interchange</w:t>
        </w:r>
      </w:hyperlink>
      <w:r>
        <w:t xml:space="preserve">. Science 215:1351–1357.</w:t>
      </w:r>
    </w:p>
    <w:bookmarkEnd w:id="201"/>
    <w:bookmarkStart w:id="203" w:name="ref-mcfarlane1998"/>
    <w:p>
      <w:pPr>
        <w:pStyle w:val="Bibliography"/>
      </w:pPr>
      <w:r>
        <w:t xml:space="preserve">McFarlane, D. A., R. D. E. MacPhee, and D. C. Ford. 1998.</w:t>
      </w:r>
      <w:r>
        <w:t xml:space="preserve"> </w:t>
      </w:r>
      <w:hyperlink r:id="rId202">
        <w:r>
          <w:rPr>
            <w:rStyle w:val="Hyperlink"/>
          </w:rPr>
          <w:t xml:space="preserve">Body Size Variability and a Sangamonian Extinction Model for Amblyrhiza,a West Indian Megafaunal Rodent</w:t>
        </w:r>
      </w:hyperlink>
      <w:r>
        <w:t xml:space="preserve">. Quaternary Research 50:80–89.</w:t>
      </w:r>
    </w:p>
    <w:bookmarkEnd w:id="203"/>
    <w:bookmarkStart w:id="205" w:name="ref-meiri2007"/>
    <w:p>
      <w:pPr>
        <w:pStyle w:val="Bibliography"/>
      </w:pPr>
      <w:r>
        <w:t xml:space="preserve">Meiri, S., N. Cooper, and A. Purvis. 2007.</w:t>
      </w:r>
      <w:r>
        <w:t xml:space="preserve"> </w:t>
      </w:r>
      <w:hyperlink r:id="rId204">
        <w:r>
          <w:rPr>
            <w:rStyle w:val="Hyperlink"/>
          </w:rPr>
          <w:t xml:space="preserve">The island rule: Made to be broken?</w:t>
        </w:r>
      </w:hyperlink>
      <w:r>
        <w:t xml:space="preserve"> Proceedings of the Royal Society B: Biological Sciences 275:141–148.</w:t>
      </w:r>
    </w:p>
    <w:bookmarkEnd w:id="205"/>
    <w:bookmarkStart w:id="207" w:name="ref-meseguer2020"/>
    <w:p>
      <w:pPr>
        <w:pStyle w:val="Bibliography"/>
      </w:pPr>
      <w:r>
        <w:t xml:space="preserve">Meseguer, A. S., and F. L. Condamine. 2020.</w:t>
      </w:r>
      <w:r>
        <w:t xml:space="preserve"> </w:t>
      </w:r>
      <w:hyperlink r:id="rId206">
        <w:r>
          <w:rPr>
            <w:rStyle w:val="Hyperlink"/>
          </w:rPr>
          <w:t xml:space="preserve">Ancient tropical extinctions at high latitudes contributed to the latitudinal diversity gradient</w:t>
        </w:r>
      </w:hyperlink>
      <w:r>
        <w:t xml:space="preserve">. Evolution 74:1966–1987.</w:t>
      </w:r>
    </w:p>
    <w:bookmarkEnd w:id="207"/>
    <w:bookmarkStart w:id="209" w:name="ref-miller2020"/>
    <w:p>
      <w:pPr>
        <w:pStyle w:val="Bibliography"/>
      </w:pPr>
      <w:r>
        <w:t xml:space="preserve">Miller, K. G., J. V. Browning, W. J. Schmelz, R. E. Kopp, G. S. Mountain, and J. D. Wright. 2020.</w:t>
      </w:r>
      <w:r>
        <w:t xml:space="preserve"> </w:t>
      </w:r>
      <w:hyperlink r:id="rId208">
        <w:r>
          <w:rPr>
            <w:rStyle w:val="Hyperlink"/>
          </w:rPr>
          <w:t xml:space="preserve">Cenozoic sea-level and cryospheric evolution from deep-sea geochemical and continental margin records</w:t>
        </w:r>
      </w:hyperlink>
      <w:r>
        <w:t xml:space="preserve">. Science Advances 6:eaaz1346.</w:t>
      </w:r>
    </w:p>
    <w:bookmarkEnd w:id="209"/>
    <w:bookmarkStart w:id="211" w:name="ref-missagia2023"/>
    <w:p>
      <w:pPr>
        <w:pStyle w:val="Bibliography"/>
      </w:pPr>
      <w:r>
        <w:t xml:space="preserve">Missagia, R. V., D. M. Casali, B. D. Patterson, and F. A. Perini. 2023.</w:t>
      </w:r>
      <w:r>
        <w:t xml:space="preserve"> </w:t>
      </w:r>
      <w:hyperlink r:id="rId210">
        <w:r>
          <w:rPr>
            <w:rStyle w:val="Hyperlink"/>
          </w:rPr>
          <w:t xml:space="preserve">Decoupled Patterns of Diversity and Disparity Characterize an Ecologically Specialized Lineage of Neotropical Cricetids</w:t>
        </w:r>
      </w:hyperlink>
      <w:r>
        <w:t xml:space="preserve">. Evolutionary Biology 50:181–196.</w:t>
      </w:r>
    </w:p>
    <w:bookmarkEnd w:id="211"/>
    <w:bookmarkStart w:id="213" w:name="ref-mones1982"/>
    <w:p>
      <w:pPr>
        <w:pStyle w:val="Bibliography"/>
      </w:pPr>
      <w:r>
        <w:t xml:space="preserve">Mones, A. 1982.</w:t>
      </w:r>
      <w:r>
        <w:t xml:space="preserve"> </w:t>
      </w:r>
      <w:hyperlink r:id="rId212">
        <w:r>
          <w:rPr>
            <w:rStyle w:val="Hyperlink"/>
          </w:rPr>
          <w:t xml:space="preserve">An equivocal nomenclature: What means hypsodonty?</w:t>
        </w:r>
      </w:hyperlink>
      <w:r>
        <w:t xml:space="preserve"> Paläontologische Zeitschrift 56:107–111.</w:t>
      </w:r>
    </w:p>
    <w:bookmarkEnd w:id="213"/>
    <w:bookmarkStart w:id="215"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14">
        <w:r>
          <w:rPr>
            <w:rStyle w:val="Hyperlink"/>
          </w:rPr>
          <w:t xml:space="preserve">10.1146/annurev-ecolsys-102722-020508</w:t>
        </w:r>
      </w:hyperlink>
      <w:r>
        <w:t xml:space="preserve">.</w:t>
      </w:r>
    </w:p>
    <w:bookmarkEnd w:id="215"/>
    <w:bookmarkStart w:id="217" w:name="ref-muñoz2023"/>
    <w:p>
      <w:pPr>
        <w:pStyle w:val="Bibliography"/>
      </w:pPr>
      <w:r>
        <w:t xml:space="preserve">Muñoz, C. O. R., R. Bonini, S. Hemming, M. Cenizo, U. F. J. Pardiñas, and F. J. Prevosti. 2023.</w:t>
      </w:r>
      <w:r>
        <w:t xml:space="preserve"> </w:t>
      </w:r>
      <w:hyperlink r:id="rId216">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17"/>
    <w:bookmarkStart w:id="218"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18"/>
    <w:bookmarkStart w:id="220" w:name="ref-ogg2020"/>
    <w:p>
      <w:pPr>
        <w:pStyle w:val="Bibliography"/>
      </w:pPr>
      <w:r>
        <w:t xml:space="preserve">Ogg, J. G. 2020.</w:t>
      </w:r>
      <w:r>
        <w:t xml:space="preserve"> </w:t>
      </w:r>
      <w:hyperlink r:id="rId219">
        <w:r>
          <w:rPr>
            <w:rStyle w:val="Hyperlink"/>
          </w:rPr>
          <w:t xml:space="preserve">Geomagnetic polarity time scale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20"/>
    <w:bookmarkStart w:id="222" w:name="ref-paiva2026"/>
    <w:p>
      <w:pPr>
        <w:pStyle w:val="Bibliography"/>
      </w:pPr>
      <w:r>
        <w:t xml:space="preserve">Paiva, A. L., P. Godoy, D. dos Santos, M. Langer, and P. Mannion. 2026.</w:t>
      </w:r>
      <w:r>
        <w:t xml:space="preserve"> </w:t>
      </w:r>
      <w:hyperlink r:id="rId221">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22"/>
    <w:bookmarkStart w:id="224" w:name="ref-patton2015"/>
    <w:p>
      <w:pPr>
        <w:pStyle w:val="Bibliography"/>
      </w:pPr>
      <w:r>
        <w:t xml:space="preserve">Patton, J. L., U. F. J. Pardiñas, and G. D’Elía. 2015.</w:t>
      </w:r>
      <w:r>
        <w:t xml:space="preserve"> </w:t>
      </w:r>
      <w:hyperlink r:id="rId223">
        <w:r>
          <w:rPr>
            <w:rStyle w:val="Hyperlink"/>
          </w:rPr>
          <w:t xml:space="preserve">Mammals of South America, Volume 2: Rodents</w:t>
        </w:r>
      </w:hyperlink>
      <w:r>
        <w:t xml:space="preserve">. University of Chicago Press, Chicago, IL.</w:t>
      </w:r>
    </w:p>
    <w:bookmarkEnd w:id="224"/>
    <w:bookmarkStart w:id="226" w:name="ref-pérez_new_2010"/>
    <w:p>
      <w:pPr>
        <w:pStyle w:val="Bibliography"/>
      </w:pPr>
      <w:r>
        <w:t xml:space="preserve">Pérez, M. E. 2010.</w:t>
      </w:r>
      <w:r>
        <w:t xml:space="preserve"> </w:t>
      </w:r>
      <w:hyperlink r:id="rId225">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26"/>
    <w:bookmarkStart w:id="228" w:name="ref-pimiento2019"/>
    <w:p>
      <w:pPr>
        <w:pStyle w:val="Bibliography"/>
      </w:pPr>
      <w:r>
        <w:t xml:space="preserve">Pimiento, C., J. L. Cantalapiedra, K. Shimada, D. J. Field, and J. B. Smaers. 2019.</w:t>
      </w:r>
      <w:r>
        <w:t xml:space="preserve"> </w:t>
      </w:r>
      <w:hyperlink r:id="rId227">
        <w:r>
          <w:rPr>
            <w:rStyle w:val="Hyperlink"/>
          </w:rPr>
          <w:t xml:space="preserve">Evolutionary pathways toward gigantism in sharks and rays</w:t>
        </w:r>
      </w:hyperlink>
      <w:r>
        <w:t xml:space="preserve">. Evolution 73:588–599.</w:t>
      </w:r>
    </w:p>
    <w:bookmarkEnd w:id="228"/>
    <w:bookmarkStart w:id="230" w:name="ref-quental2013"/>
    <w:p>
      <w:pPr>
        <w:pStyle w:val="Bibliography"/>
      </w:pPr>
      <w:r>
        <w:t xml:space="preserve">Quental, T. B., and C. R. Marshall. 2013.</w:t>
      </w:r>
      <w:r>
        <w:t xml:space="preserve"> </w:t>
      </w:r>
      <w:hyperlink r:id="rId229">
        <w:r>
          <w:rPr>
            <w:rStyle w:val="Hyperlink"/>
          </w:rPr>
          <w:t xml:space="preserve">How the red queen drives terrestrial mammals to extinction</w:t>
        </w:r>
      </w:hyperlink>
      <w:r>
        <w:t xml:space="preserve">. Science 341:290–292.</w:t>
      </w:r>
    </w:p>
    <w:bookmarkEnd w:id="230"/>
    <w:bookmarkStart w:id="232" w:name="ref-quintero_loss_2025"/>
    <w:p>
      <w:pPr>
        <w:pStyle w:val="Bibliography"/>
      </w:pPr>
      <w:r>
        <w:t xml:space="preserve">Quintero, I., J. Andréoletti, D. Silvestro, and H. Morlon. 2025.</w:t>
      </w:r>
      <w:r>
        <w:t xml:space="preserve"> </w:t>
      </w:r>
      <w:hyperlink r:id="rId231">
        <w:r>
          <w:rPr>
            <w:rStyle w:val="Hyperlink"/>
          </w:rPr>
          <w:t xml:space="preserve">Loss of macroevolutionary species fitness explains the rise and fall of clades</w:t>
        </w:r>
      </w:hyperlink>
      <w:r>
        <w:t xml:space="preserve">. Nat Ecol Evol 1–12. Nature Publishing Group.</w:t>
      </w:r>
    </w:p>
    <w:bookmarkEnd w:id="232"/>
    <w:bookmarkStart w:id="234" w:name="ref-quintero2023"/>
    <w:p>
      <w:pPr>
        <w:pStyle w:val="Bibliography"/>
      </w:pPr>
      <w:r>
        <w:t xml:space="preserve">Quintero, I., M. J. Landis, W. Jetz, and H. Morlon. 2023.</w:t>
      </w:r>
      <w:r>
        <w:t xml:space="preserve"> </w:t>
      </w:r>
      <w:hyperlink r:id="rId233">
        <w:r>
          <w:rPr>
            <w:rStyle w:val="Hyperlink"/>
          </w:rPr>
          <w:t xml:space="preserve">The build-up of the present-day tropical diversity of tetrapods</w:t>
        </w:r>
      </w:hyperlink>
      <w:r>
        <w:t xml:space="preserve">. Proceedings of the National Academy of Sciences 120:e2220672120.</w:t>
      </w:r>
    </w:p>
    <w:bookmarkEnd w:id="234"/>
    <w:bookmarkStart w:id="236" w:name="ref-rabosky2010"/>
    <w:p>
      <w:pPr>
        <w:pStyle w:val="Bibliography"/>
      </w:pPr>
      <w:r>
        <w:t xml:space="preserve">Rabosky, D. L. 2010.</w:t>
      </w:r>
      <w:r>
        <w:t xml:space="preserve"> </w:t>
      </w:r>
      <w:hyperlink r:id="rId235">
        <w:r>
          <w:rPr>
            <w:rStyle w:val="Hyperlink"/>
          </w:rPr>
          <w:t xml:space="preserve">Extinction rates should not be estimated from molecular phylogenies</w:t>
        </w:r>
      </w:hyperlink>
      <w:r>
        <w:t xml:space="preserve">. Evolution 64:1816–1824.</w:t>
      </w:r>
    </w:p>
    <w:bookmarkEnd w:id="236"/>
    <w:bookmarkStart w:id="238" w:name="ref-rabosky2013"/>
    <w:p>
      <w:pPr>
        <w:pStyle w:val="Bibliography"/>
      </w:pPr>
      <w:r>
        <w:t xml:space="preserve">Rabosky, D. L., F. Santini, J. Eastman, S. A. Smith, B. Sidlauskas, J. Chang, and M. E. Alfaro. 2013.</w:t>
      </w:r>
      <w:r>
        <w:t xml:space="preserve"> </w:t>
      </w:r>
      <w:hyperlink r:id="rId237">
        <w:r>
          <w:rPr>
            <w:rStyle w:val="Hyperlink"/>
          </w:rPr>
          <w:t xml:space="preserve">Rates of speciation and morphological evolution are correlated across the largest vertebrate radiation</w:t>
        </w:r>
      </w:hyperlink>
      <w:r>
        <w:t xml:space="preserve">. Nature Communications 4:1958.</w:t>
      </w:r>
    </w:p>
    <w:bookmarkEnd w:id="238"/>
    <w:bookmarkStart w:id="239" w:name="ref-rasia2026"/>
    <w:p>
      <w:pPr>
        <w:pStyle w:val="Bibliography"/>
      </w:pPr>
      <w:r>
        <w:t xml:space="preserve">Rasia, L. L. 2026. Reassessing the hyperdiverse dinomyid (rodentia, caviomorpha) assemblage from the late miocene ituzaingó formation (entre ríos province, argentina). Ameghiniana.</w:t>
      </w:r>
    </w:p>
    <w:bookmarkEnd w:id="239"/>
    <w:bookmarkStart w:id="241" w:name="ref-rasia_comprehensive_2021"/>
    <w:p>
      <w:pPr>
        <w:pStyle w:val="Bibliography"/>
      </w:pPr>
      <w:r>
        <w:t xml:space="preserve">Rasia, L. L., A. M. Candela, and C. Cañón. 2021.</w:t>
      </w:r>
      <w:r>
        <w:t xml:space="preserve"> </w:t>
      </w:r>
      <w:hyperlink r:id="rId240">
        <w:r>
          <w:rPr>
            <w:rStyle w:val="Hyperlink"/>
          </w:rPr>
          <w:t xml:space="preserve">Comprehensive total evidence phylogeny of chinchillids (rodentia, caviomorpha): Cheek teeth anatomy and evolution</w:t>
        </w:r>
      </w:hyperlink>
      <w:r>
        <w:t xml:space="preserve">. Journal of Anatomy 239:405–423.</w:t>
      </w:r>
    </w:p>
    <w:bookmarkEnd w:id="241"/>
    <w:bookmarkStart w:id="243" w:name="ref-rasia2024"/>
    <w:p>
      <w:pPr>
        <w:pStyle w:val="Bibliography"/>
      </w:pPr>
      <w:r>
        <w:t xml:space="preserve">Rasia, L. L., C. I. Montalvo, R. Sostillo, L. Kerber, and R. L. Tomassini. 2024.</w:t>
      </w:r>
      <w:r>
        <w:t xml:space="preserve"> </w:t>
      </w:r>
      <w:hyperlink r:id="rId242">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43"/>
    <w:bookmarkStart w:id="245" w:name="ref-raup1986"/>
    <w:p>
      <w:pPr>
        <w:pStyle w:val="Bibliography"/>
      </w:pPr>
      <w:r>
        <w:t xml:space="preserve">Raup, D. M. 1986.</w:t>
      </w:r>
      <w:r>
        <w:t xml:space="preserve"> </w:t>
      </w:r>
      <w:hyperlink r:id="rId244">
        <w:r>
          <w:rPr>
            <w:rStyle w:val="Hyperlink"/>
          </w:rPr>
          <w:t xml:space="preserve">Biological extinction in earth history</w:t>
        </w:r>
      </w:hyperlink>
      <w:r>
        <w:t xml:space="preserve">. Science 231:1528–1533.</w:t>
      </w:r>
    </w:p>
    <w:bookmarkEnd w:id="245"/>
    <w:bookmarkStart w:id="247" w:name="ref-rinderknecht2008"/>
    <w:p>
      <w:pPr>
        <w:pStyle w:val="Bibliography"/>
      </w:pPr>
      <w:r>
        <w:t xml:space="preserve">Rinderknecht, A., and R. E. Blanco. 2008.</w:t>
      </w:r>
      <w:r>
        <w:t xml:space="preserve"> </w:t>
      </w:r>
      <w:hyperlink r:id="rId246">
        <w:r>
          <w:rPr>
            <w:rStyle w:val="Hyperlink"/>
          </w:rPr>
          <w:t xml:space="preserve">The largest fossil rodent</w:t>
        </w:r>
      </w:hyperlink>
      <w:r>
        <w:t xml:space="preserve">. Proceedings of the Royal Society B: Biological Sciences 275:923–928.</w:t>
      </w:r>
    </w:p>
    <w:bookmarkEnd w:id="247"/>
    <w:bookmarkStart w:id="249" w:name="ref-robinet2020"/>
    <w:p>
      <w:pPr>
        <w:pStyle w:val="Bibliography"/>
      </w:pPr>
      <w:r>
        <w:t xml:space="preserve">Robinet, C., G. Merceron, A. M. Candela, and L. Marivaux. 2020.</w:t>
      </w:r>
      <w:r>
        <w:t xml:space="preserve"> </w:t>
      </w:r>
      <w:hyperlink r:id="rId248">
        <w:r>
          <w:rPr>
            <w:rStyle w:val="Hyperlink"/>
          </w:rPr>
          <w:t xml:space="preserve">Dental microwear texture analysis and diet in caviomorphs (rodentia) from the serra do mar atlantic forest (brazil)</w:t>
        </w:r>
      </w:hyperlink>
      <w:r>
        <w:t xml:space="preserve">. Journal of Mammalogy 101:386–402.</w:t>
      </w:r>
    </w:p>
    <w:bookmarkEnd w:id="249"/>
    <w:bookmarkStart w:id="251" w:name="ref-rowe2011"/>
    <w:p>
      <w:pPr>
        <w:pStyle w:val="Bibliography"/>
      </w:pPr>
      <w:r>
        <w:t xml:space="preserve">Rowe, K. C., K. P. Aplin, P. R. Baverstock, and C. Moritz. 2011.</w:t>
      </w:r>
      <w:r>
        <w:t xml:space="preserve"> </w:t>
      </w:r>
      <w:hyperlink r:id="rId250">
        <w:r>
          <w:rPr>
            <w:rStyle w:val="Hyperlink"/>
          </w:rPr>
          <w:t xml:space="preserve">Recent and rapid speciation with limited morphological disparity in the genus rattus</w:t>
        </w:r>
      </w:hyperlink>
      <w:r>
        <w:t xml:space="preserve">. Systematic Biology 60:188–203.</w:t>
      </w:r>
    </w:p>
    <w:bookmarkEnd w:id="251"/>
    <w:bookmarkStart w:id="253" w:name="ref-ruta2013"/>
    <w:p>
      <w:pPr>
        <w:pStyle w:val="Bibliography"/>
      </w:pPr>
      <w:r>
        <w:t xml:space="preserve">Ruta, M., K. D. Angielczyk, J. Fröbisch, and M. J. Benton. 2013.</w:t>
      </w:r>
      <w:r>
        <w:t xml:space="preserve"> </w:t>
      </w:r>
      <w:hyperlink r:id="rId252">
        <w:r>
          <w:rPr>
            <w:rStyle w:val="Hyperlink"/>
          </w:rPr>
          <w:t xml:space="preserve">Decoupling of morphological disparity and taxic diversity during the adaptive radiation of anomodont therapsids</w:t>
        </w:r>
      </w:hyperlink>
      <w:r>
        <w:t xml:space="preserve">. Proceedings of the Royal Society B: Biological Sciences 280:20131071.</w:t>
      </w:r>
    </w:p>
    <w:bookmarkEnd w:id="253"/>
    <w:bookmarkStart w:id="255" w:name="ref-salas-gismondi2015"/>
    <w:p>
      <w:pPr>
        <w:pStyle w:val="Bibliography"/>
      </w:pPr>
      <w:r>
        <w:t xml:space="preserve">Salas-Gismondi, R., J. J. Flynn, P. Baby, J. V. Tejada-Lara, F. P. Wesselingh, and P.-O. Antoine. 2015.</w:t>
      </w:r>
      <w:r>
        <w:t xml:space="preserve"> </w:t>
      </w:r>
      <w:hyperlink r:id="rId254">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55"/>
    <w:bookmarkStart w:id="257" w:name="ref-sánchez-villagra2003"/>
    <w:p>
      <w:pPr>
        <w:pStyle w:val="Bibliography"/>
      </w:pPr>
      <w:r>
        <w:t xml:space="preserve">Sánchez-Villagra, M. R., O. Aguilera, and I. Horovitz. 2003.</w:t>
      </w:r>
      <w:r>
        <w:t xml:space="preserve"> </w:t>
      </w:r>
      <w:hyperlink r:id="rId256">
        <w:r>
          <w:rPr>
            <w:rStyle w:val="Hyperlink"/>
          </w:rPr>
          <w:t xml:space="preserve">The anatomy of the world’s largest extinct rodent</w:t>
        </w:r>
      </w:hyperlink>
      <w:r>
        <w:t xml:space="preserve">. Science 301:1708–1710.</w:t>
      </w:r>
    </w:p>
    <w:bookmarkEnd w:id="257"/>
    <w:bookmarkStart w:id="259"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58">
        <w:r>
          <w:rPr>
            <w:rStyle w:val="Hyperlink"/>
          </w:rPr>
          <w:t xml:space="preserve">Biology of the sauropod dinosaurs: the evolution of gigantism</w:t>
        </w:r>
      </w:hyperlink>
      <w:r>
        <w:t xml:space="preserve">. Biological Reviews 86:117–155.</w:t>
      </w:r>
    </w:p>
    <w:bookmarkEnd w:id="259"/>
    <w:bookmarkStart w:id="261" w:name="ref-selkin2015"/>
    <w:p>
      <w:pPr>
        <w:pStyle w:val="Bibliography"/>
      </w:pPr>
      <w:r>
        <w:t xml:space="preserve">Selkin, P. A., C. A. E. Strömberg, R. Dunn, M. J. Kohn, A. A. Carlini, K. S. Davies-Vollum, and R. H. Madden. 2015.</w:t>
      </w:r>
      <w:r>
        <w:t xml:space="preserve"> </w:t>
      </w:r>
      <w:hyperlink r:id="rId260">
        <w:r>
          <w:rPr>
            <w:rStyle w:val="Hyperlink"/>
          </w:rPr>
          <w:t xml:space="preserve">Climate, dust, and fire across the eocene-oligocene transition, patagonia</w:t>
        </w:r>
      </w:hyperlink>
      <w:r>
        <w:t xml:space="preserve">. Geology 43:567–570.</w:t>
      </w:r>
    </w:p>
    <w:bookmarkEnd w:id="261"/>
    <w:bookmarkStart w:id="263" w:name="ref-silvestro_angiosperm_2015"/>
    <w:p>
      <w:pPr>
        <w:pStyle w:val="Bibliography"/>
      </w:pPr>
      <w:r>
        <w:t xml:space="preserve">Silvestro, D., B. Cascales-Miñana, C. D. Bacon, and A. Antonelli. 2015.</w:t>
      </w:r>
      <w:r>
        <w:t xml:space="preserve"> </w:t>
      </w:r>
      <w:hyperlink r:id="rId262">
        <w:r>
          <w:rPr>
            <w:rStyle w:val="Hyperlink"/>
          </w:rPr>
          <w:t xml:space="preserve">Revisiting the origin and diversification of vascular plants through a comprehensive bayesian analysis of the fossil record</w:t>
        </w:r>
      </w:hyperlink>
      <w:r>
        <w:t xml:space="preserve">. New Phytologist 207:425–436.</w:t>
      </w:r>
    </w:p>
    <w:bookmarkEnd w:id="263"/>
    <w:bookmarkStart w:id="265" w:name="ref-silvestro2019"/>
    <w:p>
      <w:pPr>
        <w:pStyle w:val="Bibliography"/>
      </w:pPr>
      <w:r>
        <w:t xml:space="preserve">Silvestro, D., N. Salamin, A. Antonelli, and X. Meyer. 2019.</w:t>
      </w:r>
      <w:r>
        <w:t xml:space="preserve"> </w:t>
      </w:r>
      <w:hyperlink r:id="rId264">
        <w:r>
          <w:rPr>
            <w:rStyle w:val="Hyperlink"/>
          </w:rPr>
          <w:t xml:space="preserve">Improved estimation of macroevolutionary rates from fossil data using a Bayesian framework</w:t>
        </w:r>
      </w:hyperlink>
      <w:r>
        <w:t xml:space="preserve">. Paleobiology 45:546–570.</w:t>
      </w:r>
    </w:p>
    <w:bookmarkEnd w:id="265"/>
    <w:bookmarkStart w:id="267" w:name="ref-silvestro2014"/>
    <w:p>
      <w:pPr>
        <w:pStyle w:val="Bibliography"/>
      </w:pPr>
      <w:r>
        <w:t xml:space="preserve">Silvestro, D., N. Salamin, and J. Schnitzler. 2014.</w:t>
      </w:r>
      <w:r>
        <w:t xml:space="preserve"> </w:t>
      </w:r>
      <w:hyperlink r:id="rId266">
        <w:r>
          <w:rPr>
            <w:rStyle w:val="Hyperlink"/>
          </w:rPr>
          <w:t xml:space="preserve">PyRate: a new program to estimate speciation and extinction rates from incomplete fossil data</w:t>
        </w:r>
      </w:hyperlink>
      <w:r>
        <w:t xml:space="preserve">. Methods in Ecology and Evolution 5:1126–1131.</w:t>
      </w:r>
    </w:p>
    <w:bookmarkEnd w:id="267"/>
    <w:bookmarkStart w:id="268" w:name="ref-simpson1980"/>
    <w:p>
      <w:pPr>
        <w:pStyle w:val="Bibliography"/>
      </w:pPr>
      <w:r>
        <w:t xml:space="preserve">Simpson, G. G. 1980. Splendid isolation : The curious history of south american mammals. Yale University Press, New Haven.</w:t>
      </w:r>
    </w:p>
    <w:bookmarkEnd w:id="268"/>
    <w:bookmarkStart w:id="269" w:name="ref-simpson1953"/>
    <w:p>
      <w:pPr>
        <w:pStyle w:val="Bibliography"/>
      </w:pPr>
      <w:r>
        <w:t xml:space="preserve">Simpson, G. G. 1953. The major features of evolution. Columbia University Press.</w:t>
      </w:r>
    </w:p>
    <w:bookmarkEnd w:id="269"/>
    <w:bookmarkStart w:id="271" w:name="ref-solórzano2021"/>
    <w:p>
      <w:pPr>
        <w:pStyle w:val="Bibliography"/>
      </w:pPr>
      <w:r>
        <w:t xml:space="preserve">Solórzano, A., and M. Núñez-Flores. 2021.</w:t>
      </w:r>
      <w:r>
        <w:t xml:space="preserve"> </w:t>
      </w:r>
      <w:hyperlink r:id="rId270">
        <w:r>
          <w:rPr>
            <w:rStyle w:val="Hyperlink"/>
          </w:rPr>
          <w:t xml:space="preserve">Evolutionary trends of body size and hypsodonty in notoungulates and their probable drivers</w:t>
        </w:r>
      </w:hyperlink>
      <w:r>
        <w:t xml:space="preserve">. Palaeogeography, Palaeoclimatology, Palaeoecology 568:110306.</w:t>
      </w:r>
    </w:p>
    <w:bookmarkEnd w:id="271"/>
    <w:bookmarkStart w:id="273" w:name="ref-solórzano2024"/>
    <w:p>
      <w:pPr>
        <w:pStyle w:val="Bibliography"/>
      </w:pPr>
      <w:r>
        <w:t xml:space="preserve">Solórzano, A., M. Núñez-Flores, and E. Rodríguez-Serrano. 2024.</w:t>
      </w:r>
      <w:r>
        <w:t xml:space="preserve"> </w:t>
      </w:r>
      <w:hyperlink r:id="rId272">
        <w:r>
          <w:rPr>
            <w:rStyle w:val="Hyperlink"/>
          </w:rPr>
          <w:t xml:space="preserve">The rise and fall of notoungulates: How andean uplift, available land area, competition, and depredation driven its diversification dynamics</w:t>
        </w:r>
      </w:hyperlink>
      <w:r>
        <w:t xml:space="preserve">. Gondwana Research 116–132.</w:t>
      </w:r>
    </w:p>
    <w:bookmarkEnd w:id="273"/>
    <w:bookmarkStart w:id="275" w:name="ref-stebbins1981"/>
    <w:p>
      <w:pPr>
        <w:pStyle w:val="Bibliography"/>
      </w:pPr>
      <w:r>
        <w:t xml:space="preserve">Stebbins, G. L. 1981.</w:t>
      </w:r>
      <w:r>
        <w:t xml:space="preserve"> </w:t>
      </w:r>
      <w:hyperlink r:id="rId274">
        <w:r>
          <w:rPr>
            <w:rStyle w:val="Hyperlink"/>
          </w:rPr>
          <w:t xml:space="preserve">Coevolution of grasses and herbivores</w:t>
        </w:r>
      </w:hyperlink>
      <w:r>
        <w:t xml:space="preserve">. Annals of the Missouri Botanical Garden 68:75–86.</w:t>
      </w:r>
    </w:p>
    <w:bookmarkEnd w:id="275"/>
    <w:bookmarkStart w:id="277" w:name="ref-tardif2025"/>
    <w:p>
      <w:pPr>
        <w:pStyle w:val="Bibliography"/>
      </w:pPr>
      <w:r>
        <w:t xml:space="preserve">Tardif, D., F. L. Condamine, S. J. R. Streiff, P. Sepulchre, and T. L. P. Couvreur. 2025.</w:t>
      </w:r>
      <w:r>
        <w:t xml:space="preserve"> </w:t>
      </w:r>
      <w:hyperlink r:id="rId276">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77"/>
    <w:bookmarkStart w:id="279" w:name="ref-tarquini2022"/>
    <w:p>
      <w:pPr>
        <w:pStyle w:val="Bibliography"/>
      </w:pPr>
      <w:r>
        <w:t xml:space="preserve">Tarquini, S. D., S. Ladevèze, and F. J. Prevosti. 2022.</w:t>
      </w:r>
      <w:r>
        <w:t xml:space="preserve"> </w:t>
      </w:r>
      <w:hyperlink r:id="rId278">
        <w:r>
          <w:rPr>
            <w:rStyle w:val="Hyperlink"/>
          </w:rPr>
          <w:t xml:space="preserve">The multicausal twilight of South American native mammalian predators (Metatheria, Sparassodonta)</w:t>
        </w:r>
      </w:hyperlink>
      <w:r>
        <w:t xml:space="preserve">. Scientific Reports 12:1224.</w:t>
      </w:r>
    </w:p>
    <w:bookmarkEnd w:id="279"/>
    <w:bookmarkStart w:id="281" w:name="ref-troyer2022"/>
    <w:p>
      <w:pPr>
        <w:pStyle w:val="Bibliography"/>
      </w:pPr>
      <w:r>
        <w:t xml:space="preserve">Troyer, E. M., R. Betancur-R, L. C. Hughes, M. Westneat, G. Carnevale, W. T. White, J. J. Pogonoski, J. C. Tyler, C. C. Baldwin, G. Ortí, A. Brinkworth, J. Clavel, and D. Arcila. 2022.</w:t>
      </w:r>
      <w:r>
        <w:t xml:space="preserve"> </w:t>
      </w:r>
      <w:hyperlink r:id="rId280">
        <w:r>
          <w:rPr>
            <w:rStyle w:val="Hyperlink"/>
          </w:rPr>
          <w:t xml:space="preserve">The impact of paleoclimatic changes on body size evolution in marine fishes</w:t>
        </w:r>
      </w:hyperlink>
      <w:r>
        <w:t xml:space="preserve">. Proceedings of the National Academy of Sciences 119:e2122486119.</w:t>
      </w:r>
    </w:p>
    <w:bookmarkEnd w:id="281"/>
    <w:bookmarkStart w:id="283" w:name="ref-upham2019"/>
    <w:p>
      <w:pPr>
        <w:pStyle w:val="Bibliography"/>
      </w:pPr>
      <w:r>
        <w:t xml:space="preserve">Upham, N. S., J. A. Esselstyn, and W. Jetz. 2019.</w:t>
      </w:r>
      <w:r>
        <w:t xml:space="preserve"> </w:t>
      </w:r>
      <w:hyperlink r:id="rId282">
        <w:r>
          <w:rPr>
            <w:rStyle w:val="Hyperlink"/>
          </w:rPr>
          <w:t xml:space="preserve">Inferring the mammal tree: Species-level sets of phylogenies for questions in ecology, evolution, and conservation</w:t>
        </w:r>
      </w:hyperlink>
      <w:r>
        <w:t xml:space="preserve">. PLOS Biology 17:e3000494.</w:t>
      </w:r>
    </w:p>
    <w:bookmarkEnd w:id="283"/>
    <w:bookmarkStart w:id="285" w:name="ref-upham2026"/>
    <w:p>
      <w:pPr>
        <w:pStyle w:val="Bibliography"/>
      </w:pPr>
      <w:r>
        <w:t xml:space="preserve">Upham, N., C. Burgin, J. Widness, S. Liphardt, C. Parker, M. Becker, I. Rochon, D. Huckaby, and J. Zijlstra. 2026.</w:t>
      </w:r>
      <w:r>
        <w:t xml:space="preserve"> </w:t>
      </w:r>
      <w:hyperlink r:id="rId284">
        <w:r>
          <w:rPr>
            <w:rStyle w:val="Hyperlink"/>
          </w:rPr>
          <w:t xml:space="preserve">Mammal Diversity Database v2.4</w:t>
        </w:r>
      </w:hyperlink>
      <w:r>
        <w:t xml:space="preserve">.</w:t>
      </w:r>
    </w:p>
    <w:bookmarkEnd w:id="285"/>
    <w:bookmarkStart w:id="287" w:name="ref-valenzuela-toro2025"/>
    <w:p>
      <w:pPr>
        <w:pStyle w:val="Bibliography"/>
      </w:pPr>
      <w:r>
        <w:t xml:space="preserve">Valenzuela-Toro, A. M., N. D. Pyenson, J. Velez-Juarbe, and M. E. Suárez. 2025.</w:t>
      </w:r>
      <w:r>
        <w:t xml:space="preserve"> </w:t>
      </w:r>
      <w:hyperlink r:id="rId286">
        <w:r>
          <w:rPr>
            <w:rStyle w:val="Hyperlink"/>
          </w:rPr>
          <w:t xml:space="preserve">Aquatic sloths (Thalassocnus) from the Miocene of Chile and the evolution of marine mammal herbivory in the Pacific Ocean</w:t>
        </w:r>
      </w:hyperlink>
      <w:r>
        <w:t xml:space="preserve">. PeerJ 13:e19897.</w:t>
      </w:r>
    </w:p>
    <w:bookmarkEnd w:id="287"/>
    <w:bookmarkStart w:id="289"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88">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89"/>
    <w:bookmarkStart w:id="291" w:name="ref-vanvalen1960"/>
    <w:p>
      <w:pPr>
        <w:pStyle w:val="Bibliography"/>
      </w:pPr>
      <w:r>
        <w:t xml:space="preserve">Van Valen, L. 1960.</w:t>
      </w:r>
      <w:r>
        <w:t xml:space="preserve"> </w:t>
      </w:r>
      <w:hyperlink r:id="rId290">
        <w:r>
          <w:rPr>
            <w:rStyle w:val="Hyperlink"/>
          </w:rPr>
          <w:t xml:space="preserve">A functional index of hypsodonty</w:t>
        </w:r>
      </w:hyperlink>
      <w:r>
        <w:t xml:space="preserve">. Evolution 14:531–532.</w:t>
      </w:r>
    </w:p>
    <w:bookmarkEnd w:id="291"/>
    <w:bookmarkStart w:id="292" w:name="ref-vanvalen1973"/>
    <w:p>
      <w:pPr>
        <w:pStyle w:val="Bibliography"/>
      </w:pPr>
      <w:r>
        <w:t xml:space="preserve">Van Valen, L. 1973. A new evolutionary law. Evolutionary Theory 1–30.</w:t>
      </w:r>
    </w:p>
    <w:bookmarkEnd w:id="292"/>
    <w:bookmarkStart w:id="294" w:name="ref-vermeij1973"/>
    <w:p>
      <w:pPr>
        <w:pStyle w:val="Bibliography"/>
      </w:pPr>
      <w:r>
        <w:t xml:space="preserve">Vermeij, G. J. 1973a.</w:t>
      </w:r>
      <w:r>
        <w:t xml:space="preserve"> </w:t>
      </w:r>
      <w:hyperlink r:id="rId293">
        <w:r>
          <w:rPr>
            <w:rStyle w:val="Hyperlink"/>
          </w:rPr>
          <w:t xml:space="preserve">Adaptation, versatility, and evolution</w:t>
        </w:r>
      </w:hyperlink>
      <w:r>
        <w:t xml:space="preserve">. Systematic Zoology 22:466–477.</w:t>
      </w:r>
    </w:p>
    <w:bookmarkEnd w:id="294"/>
    <w:bookmarkStart w:id="296" w:name="ref-vermeij_pnas_1973"/>
    <w:p>
      <w:pPr>
        <w:pStyle w:val="Bibliography"/>
      </w:pPr>
      <w:r>
        <w:t xml:space="preserve">Vermeij, G. J. 1973b.</w:t>
      </w:r>
      <w:r>
        <w:t xml:space="preserve"> </w:t>
      </w:r>
      <w:hyperlink r:id="rId295">
        <w:r>
          <w:rPr>
            <w:rStyle w:val="Hyperlink"/>
          </w:rPr>
          <w:t xml:space="preserve">Biological versatility and earth history</w:t>
        </w:r>
      </w:hyperlink>
      <w:r>
        <w:t xml:space="preserve">. Proceedings of the National Academy of Sciences 70:1936–1938. Proceedings of the National Academy of Sciences.</w:t>
      </w:r>
    </w:p>
    <w:bookmarkEnd w:id="296"/>
    <w:bookmarkStart w:id="297"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297"/>
    <w:bookmarkStart w:id="298" w:name="ref-wallace1878"/>
    <w:p>
      <w:pPr>
        <w:pStyle w:val="Bibliography"/>
      </w:pPr>
      <w:r>
        <w:t xml:space="preserve">Wallace, A. R. 1878. Tropical Nature, and Other Essays. Macmillan; Company.</w:t>
      </w:r>
    </w:p>
    <w:bookmarkEnd w:id="298"/>
    <w:bookmarkStart w:id="300" w:name="ref-warnock2020"/>
    <w:p>
      <w:pPr>
        <w:pStyle w:val="Bibliography"/>
      </w:pPr>
      <w:r>
        <w:t xml:space="preserve">Warnock, R. C. M., T. A. Heath, and T. Stadler. 2020.</w:t>
      </w:r>
      <w:r>
        <w:t xml:space="preserve"> </w:t>
      </w:r>
      <w:hyperlink r:id="rId299">
        <w:r>
          <w:rPr>
            <w:rStyle w:val="Hyperlink"/>
          </w:rPr>
          <w:t xml:space="preserve">Assessing the impact of incomplete species sampling on estimates of speciation and extinction rates</w:t>
        </w:r>
      </w:hyperlink>
      <w:r>
        <w:t xml:space="preserve">. Paleobiology 46:137–157.</w:t>
      </w:r>
    </w:p>
    <w:bookmarkEnd w:id="300"/>
    <w:bookmarkStart w:id="301" w:name="ref-webb1985"/>
    <w:p>
      <w:pPr>
        <w:pStyle w:val="Bibliography"/>
      </w:pPr>
      <w:r>
        <w:t xml:space="preserve">Webb, S. D. 1985. Late cenozoic mammal dispersals between the americas.</w:t>
      </w:r>
      <w:r>
        <w:t xml:space="preserve"> </w:t>
      </w:r>
      <w:r>
        <w:rPr>
          <w:i/>
          <w:iCs/>
        </w:rPr>
        <w:t xml:space="preserve">in</w:t>
      </w:r>
      <w:r>
        <w:t xml:space="preserve"> </w:t>
      </w:r>
      <w:r>
        <w:t xml:space="preserve">F. G. Stehli and S. D. Webb, eds. The great american biotic interchange.</w:t>
      </w:r>
    </w:p>
    <w:bookmarkEnd w:id="301"/>
    <w:bookmarkStart w:id="303" w:name="ref-weppe2023"/>
    <w:p>
      <w:pPr>
        <w:pStyle w:val="Bibliography"/>
      </w:pPr>
      <w:r>
        <w:t xml:space="preserve">Weppe, R., F. L. Condamine, G. Guinot, J. Maugoust, and M. J. Orliac. 2023.</w:t>
      </w:r>
      <w:r>
        <w:t xml:space="preserve"> </w:t>
      </w:r>
      <w:hyperlink r:id="rId302">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303"/>
    <w:bookmarkStart w:id="305"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304">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305"/>
    <w:bookmarkStart w:id="307" w:name="ref-woods2021"/>
    <w:p>
      <w:pPr>
        <w:pStyle w:val="Bibliography"/>
      </w:pPr>
      <w:r>
        <w:t xml:space="preserve">Woods, R., I. Barnes, S. Brace, and S. T. Turvey. 2021.</w:t>
      </w:r>
      <w:r>
        <w:t xml:space="preserve"> </w:t>
      </w:r>
      <w:hyperlink r:id="rId306">
        <w:r>
          <w:rPr>
            <w:rStyle w:val="Hyperlink"/>
          </w:rPr>
          <w:t xml:space="preserve">Ancient DNA suggests single colonization and within-archipelago diversification of caribbean caviomorph rodents</w:t>
        </w:r>
      </w:hyperlink>
      <w:r>
        <w:t xml:space="preserve">. Molecular Biology and Evolution 38:84–95.</w:t>
      </w:r>
    </w:p>
    <w:bookmarkEnd w:id="307"/>
    <w:bookmarkEnd w:id="308"/>
    <w:p>
      <w:r>
        <w:br w:type="page"/>
      </w:r>
    </w:p>
    <w:bookmarkEnd w:id="309"/>
    <w:bookmarkStart w:id="335"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13" w:name="fig-context"/>
          <w:p>
            <w:pPr>
              <w:pStyle w:val="Compact"/>
              <w:jc w:val="center"/>
            </w:pPr>
            <w:r>
              <w:drawing>
                <wp:inline>
                  <wp:extent cx="4679999" cy="5399999"/>
                  <wp:effectExtent b="0" l="0" r="0" t="0"/>
                  <wp:docPr descr="" title="" id="311" name="Picture"/>
                  <a:graphic>
                    <a:graphicData uri="http://schemas.openxmlformats.org/drawingml/2006/picture">
                      <pic:pic>
                        <pic:nvPicPr>
                          <pic:cNvPr descr="../Figures/Main/Figure_set_the_scene/Figure_context.png" id="312" name="Picture"/>
                          <pic:cNvPicPr>
                            <a:picLocks noChangeArrowheads="1" noChangeAspect="1"/>
                          </pic:cNvPicPr>
                        </pic:nvPicPr>
                        <pic:blipFill>
                          <a:blip r:embed="rId310"/>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313"/>
        </w:tc>
      </w:tr>
    </w:tbl>
    <w:tbl>
      <w:tblPr>
        <w:tblStyle w:val="Table"/>
        <w:tblW w:type="pct" w:w="5000"/>
        <w:tblLayout w:type="fixed"/>
        <w:tblLook w:firstRow="0" w:lastRow="0" w:firstColumn="0" w:lastColumn="0" w:noHBand="0" w:noVBand="0" w:val="0000"/>
      </w:tblPr>
      <w:tblGrid>
        <w:gridCol w:w="7920"/>
      </w:tblGrid>
      <w:tr>
        <w:tc>
          <w:tcPr/>
          <w:bookmarkStart w:id="318" w:name="fig-ExtSampl"/>
          <w:p>
            <w:pPr>
              <w:pStyle w:val="Compact"/>
              <w:jc w:val="center"/>
            </w:pPr>
            <w:r>
              <w:drawing>
                <wp:inline>
                  <wp:extent cx="5399999" cy="1486246"/>
                  <wp:effectExtent b="0" l="0" r="0" t="0"/>
                  <wp:docPr descr="" title="" id="315" name="Picture"/>
                  <a:graphic>
                    <a:graphicData uri="http://schemas.openxmlformats.org/drawingml/2006/picture">
                      <pic:pic>
                        <pic:nvPicPr>
                          <pic:cNvPr descr="../Figures/Main/extant_sampling/extant_sampling.png" id="316" name="Picture"/>
                          <pic:cNvPicPr>
                            <a:picLocks noChangeArrowheads="1" noChangeAspect="1"/>
                          </pic:cNvPicPr>
                        </pic:nvPicPr>
                        <pic:blipFill>
                          <a:blip r:embed="rId314"/>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317">
              <w:r>
                <w:rPr>
                  <w:rStyle w:val="Hyperlink"/>
                </w:rPr>
                <w:t xml:space="preserve">Phylopic</w:t>
              </w:r>
            </w:hyperlink>
            <w:r>
              <w:t xml:space="preserve">, see Tab. S3 for additional information.</w:t>
            </w:r>
          </w:p>
          <w:bookmarkEnd w:id="318"/>
        </w:tc>
      </w:tr>
    </w:tbl>
    <w:tbl>
      <w:tblPr>
        <w:tblStyle w:val="Table"/>
        <w:tblW w:type="pct" w:w="5000"/>
        <w:tblLayout w:type="fixed"/>
        <w:tblLook w:firstRow="0" w:lastRow="0" w:firstColumn="0" w:lastColumn="0" w:noHBand="0" w:noVBand="0" w:val="0000"/>
      </w:tblPr>
      <w:tblGrid>
        <w:gridCol w:w="7920"/>
      </w:tblGrid>
      <w:tr>
        <w:tc>
          <w:tcPr/>
          <w:bookmarkStart w:id="322" w:name="fig-diversityBM"/>
          <w:p>
            <w:pPr>
              <w:pStyle w:val="Compact"/>
              <w:jc w:val="center"/>
            </w:pPr>
            <w:r>
              <w:drawing>
                <wp:inline>
                  <wp:extent cx="1889999" cy="5399999"/>
                  <wp:effectExtent b="0" l="0" r="0" t="0"/>
                  <wp:docPr descr="" title="" id="320" name="Picture"/>
                  <a:graphic>
                    <a:graphicData uri="http://schemas.openxmlformats.org/drawingml/2006/picture">
                      <pic:pic>
                        <pic:nvPicPr>
                          <pic:cNvPr descr="../Figures/Main/Diversity_and_BM_through_time.png" id="321" name="Picture"/>
                          <pic:cNvPicPr>
                            <a:picLocks noChangeArrowheads="1" noChangeAspect="1"/>
                          </pic:cNvPicPr>
                        </pic:nvPicPr>
                        <pic:blipFill>
                          <a:blip r:embed="rId319"/>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322"/>
        </w:tc>
      </w:tr>
    </w:tbl>
    <w:tbl>
      <w:tblPr>
        <w:tblStyle w:val="Table"/>
        <w:tblW w:type="pct" w:w="5000"/>
        <w:tblLayout w:type="fixed"/>
        <w:tblLook w:firstRow="0" w:lastRow="0" w:firstColumn="0" w:lastColumn="0" w:noHBand="0" w:noVBand="0" w:val="0000"/>
      </w:tblPr>
      <w:tblGrid>
        <w:gridCol w:w="7920"/>
      </w:tblGrid>
      <w:tr>
        <w:tc>
          <w:tcPr/>
          <w:bookmarkStart w:id="326" w:name="fig-lifespans"/>
          <w:p>
            <w:pPr>
              <w:pStyle w:val="Compact"/>
              <w:jc w:val="center"/>
            </w:pPr>
            <w:r>
              <w:drawing>
                <wp:inline>
                  <wp:extent cx="5399999" cy="6839999"/>
                  <wp:effectExtent b="0" l="0" r="0" t="0"/>
                  <wp:docPr descr="" title="" id="324" name="Picture"/>
                  <a:graphic>
                    <a:graphicData uri="http://schemas.openxmlformats.org/drawingml/2006/picture">
                      <pic:pic>
                        <pic:nvPicPr>
                          <pic:cNvPr descr="../Figures/Main/Lifespans/lifespans_distribs.png" id="325" name="Picture"/>
                          <pic:cNvPicPr>
                            <a:picLocks noChangeArrowheads="1" noChangeAspect="1"/>
                          </pic:cNvPicPr>
                        </pic:nvPicPr>
                        <pic:blipFill>
                          <a:blip r:embed="rId323"/>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326"/>
        </w:tc>
      </w:tr>
    </w:tbl>
    <w:tbl>
      <w:tblPr>
        <w:tblStyle w:val="Table"/>
        <w:tblW w:type="pct" w:w="5000"/>
        <w:tblLayout w:type="fixed"/>
        <w:tblLook w:firstRow="0" w:lastRow="0" w:firstColumn="0" w:lastColumn="0" w:noHBand="0" w:noVBand="0" w:val="0000"/>
      </w:tblPr>
      <w:tblGrid>
        <w:gridCol w:w="7920"/>
      </w:tblGrid>
      <w:tr>
        <w:tc>
          <w:tcPr/>
          <w:bookmarkStart w:id="330" w:name="fig-diversification"/>
          <w:p>
            <w:pPr>
              <w:pStyle w:val="Compact"/>
              <w:jc w:val="center"/>
            </w:pPr>
            <w:r>
              <w:drawing>
                <wp:inline>
                  <wp:extent cx="5399999" cy="2591634"/>
                  <wp:effectExtent b="0" l="0" r="0" t="0"/>
                  <wp:docPr descr="" title="" id="328" name="Picture"/>
                  <a:graphic>
                    <a:graphicData uri="http://schemas.openxmlformats.org/drawingml/2006/picture">
                      <pic:pic>
                        <pic:nvPicPr>
                          <pic:cNvPr descr="../Figures/Main/Diversification_rates.png" id="329" name="Picture"/>
                          <pic:cNvPicPr>
                            <a:picLocks noChangeArrowheads="1" noChangeAspect="1"/>
                          </pic:cNvPicPr>
                        </pic:nvPicPr>
                        <pic:blipFill>
                          <a:blip r:embed="rId327"/>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S6).</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S16–S17). Last,</w:t>
            </w:r>
            <w:r>
              <w:t xml:space="preserve"> </w:t>
            </w:r>
            <w:r>
              <w:rPr>
                <w:b/>
                <w:bCs/>
              </w:rPr>
              <w:t xml:space="preserve">(G–H)</w:t>
            </w:r>
            <w:r>
              <w:t xml:space="preserve"> </w:t>
            </w:r>
            <w:r>
              <w:t xml:space="preserve">show the rates through time estimated by the MBD model as linear combinations of environmental variables.</w:t>
            </w:r>
          </w:p>
          <w:bookmarkEnd w:id="330"/>
        </w:tc>
      </w:tr>
    </w:tbl>
    <w:tbl>
      <w:tblPr>
        <w:tblStyle w:val="Table"/>
        <w:tblW w:type="pct" w:w="5000"/>
        <w:tblLayout w:type="fixed"/>
        <w:tblLook w:firstRow="0" w:lastRow="0" w:firstColumn="0" w:lastColumn="0" w:noHBand="0" w:noVBand="0" w:val="0000"/>
      </w:tblPr>
      <w:tblGrid>
        <w:gridCol w:w="7920"/>
      </w:tblGrid>
      <w:tr>
        <w:tc>
          <w:tcPr/>
          <w:bookmarkStart w:id="334" w:name="fig-ExtinctionDrivers"/>
          <w:p>
            <w:pPr>
              <w:pStyle w:val="Compact"/>
              <w:jc w:val="center"/>
            </w:pPr>
            <w:r>
              <w:drawing>
                <wp:inline>
                  <wp:extent cx="5305454" cy="5039999"/>
                  <wp:effectExtent b="0" l="0" r="0" t="0"/>
                  <wp:docPr descr="" title="" id="332" name="Picture"/>
                  <a:graphic>
                    <a:graphicData uri="http://schemas.openxmlformats.org/drawingml/2006/picture">
                      <pic:pic>
                        <pic:nvPicPr>
                          <pic:cNvPr descr="../Figures/Main/Drivers/Combined_driver_figure.png" id="333" name="Picture"/>
                          <pic:cNvPicPr>
                            <a:picLocks noChangeArrowheads="1" noChangeAspect="1"/>
                          </pic:cNvPicPr>
                        </pic:nvPicPr>
                        <pic:blipFill>
                          <a:blip r:embed="rId331"/>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2021)</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34"/>
        </w:tc>
      </w:tr>
    </w:tbl>
    <w:bookmarkEnd w:id="335"/>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8">
    <w:p>
      <w:pPr>
        <w:pStyle w:val="FootnoteText"/>
      </w:pPr>
      <w:r>
        <w:rPr>
          <w:rStyle w:val="FootnoteReference"/>
        </w:rPr>
        <w:footnoteRef/>
      </w:r>
      <w:r>
        <w:t xml:space="preserve"> </w:t>
      </w:r>
      <w:r>
        <w:rPr>
          <w:i/>
          <w:iCs/>
        </w:rPr>
        <w:t xml:space="preserve">Amblyrhiza inundata</w:t>
      </w:r>
      <w:r>
        <w:t xml:space="preserve">,</w:t>
      </w:r>
      <w:r>
        <w:t xml:space="preserve"> </w:t>
      </w:r>
      <w:r>
        <w:rPr>
          <w:i/>
          <w:iCs/>
        </w:rPr>
        <w:t xml:space="preserve">Borikenomys praecursor</w:t>
      </w:r>
      <w:r>
        <w:t xml:space="preserve">,</w:t>
      </w:r>
      <w:r>
        <w:t xml:space="preserve"> </w:t>
      </w:r>
      <w:r>
        <w:rPr>
          <w:i/>
          <w:iCs/>
        </w:rPr>
        <w:t xml:space="preserve">Clidomys osborni</w:t>
      </w:r>
      <w:r>
        <w:t xml:space="preserve">,</w:t>
      </w:r>
      <w:r>
        <w:t xml:space="preserve"> </w:t>
      </w:r>
      <w:r>
        <w:rPr>
          <w:i/>
          <w:iCs/>
        </w:rPr>
        <w:t xml:space="preserve">Elasmodontomys obliquus</w:t>
      </w:r>
      <w:r>
        <w:t xml:space="preserve">,</w:t>
      </w:r>
      <w:r>
        <w:t xml:space="preserve"> </w:t>
      </w:r>
      <w:r>
        <w:rPr>
          <w:i/>
          <w:iCs/>
        </w:rPr>
        <w:t xml:space="preserve">Quemisia gravis</w:t>
      </w:r>
      <w:r>
        <w:t xml:space="preserve">.</w:t>
      </w:r>
    </w:p>
  </w:footnote>
  <w:footnote w:id="31">
    <w:p>
      <w:pPr>
        <w:pStyle w:val="FootnoteText"/>
      </w:pPr>
      <w:r>
        <w:rPr>
          <w:rStyle w:val="FootnoteReference"/>
        </w:rPr>
        <w:footnoteRef/>
      </w:r>
      <w:r>
        <w:t xml:space="preserve"> </w:t>
      </w:r>
      <w:r>
        <w:t xml:space="preserve">The species that had missing body size and/or crown height category are:</w:t>
      </w:r>
      <w:r>
        <w:t xml:space="preserve"> </w:t>
      </w:r>
      <w:r>
        <w:rPr>
          <w:i/>
          <w:iCs/>
        </w:rPr>
        <w:t xml:space="preserve">Agnomys formosus</w:t>
      </w:r>
      <w:r>
        <w:t xml:space="preserve">,</w:t>
      </w:r>
      <w:r>
        <w:t xml:space="preserve"> </w:t>
      </w:r>
      <w:r>
        <w:rPr>
          <w:i/>
          <w:iCs/>
        </w:rPr>
        <w:t xml:space="preserve">Eusigmomys friasensis</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 w:id="42">
    <w:p>
      <w:pPr>
        <w:pStyle w:val="FootnoteText"/>
      </w:pPr>
      <w:r>
        <w:rPr>
          <w:rStyle w:val="FootnoteReference"/>
        </w:rPr>
        <w:footnoteRef/>
      </w:r>
      <w:r>
        <w:t xml:space="preserve"> </w:t>
      </w:r>
      <w:r>
        <w:rPr>
          <w:i/>
          <w:iCs/>
        </w:rPr>
        <w:t xml:space="preserve">e</w:t>
      </w:r>
      <w:r>
        <w:t xml:space="preserve">.</w:t>
      </w:r>
      <w:r>
        <w:rPr>
          <w:i/>
          <w:iCs/>
        </w:rPr>
        <w:t xml:space="preserve">g</w:t>
      </w:r>
      <w:r>
        <w:t xml:space="preserve">., The Paleobiology Database, Neotoma, NOW, Geobiodiversity database, … see</w:t>
      </w:r>
      <w:r>
        <w:t xml:space="preserve"> </w:t>
      </w:r>
      <w:hyperlink r:id="rId43">
        <w:r>
          <w:rPr>
            <w:rStyle w:val="Hyperlink"/>
          </w:rPr>
          <w:t xml:space="preserve">https://palaeoverse.org/external</w:t>
        </w:r>
      </w:hyperlink>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7" Target="media/rId327.png" /><Relationship Type="http://schemas.openxmlformats.org/officeDocument/2006/relationships/image" Id="rId319" Target="media/rId319.png" /><Relationship Type="http://schemas.openxmlformats.org/officeDocument/2006/relationships/image" Id="rId331" Target="media/rId331.png" /><Relationship Type="http://schemas.openxmlformats.org/officeDocument/2006/relationships/image" Id="rId310" Target="media/rId310.png" /><Relationship Type="http://schemas.openxmlformats.org/officeDocument/2006/relationships/image" Id="rId323" Target="media/rId323.png" /><Relationship Type="http://schemas.openxmlformats.org/officeDocument/2006/relationships/image" Id="rId314" Target="media/rId314.png" /><Relationship Type="http://schemas.openxmlformats.org/officeDocument/2006/relationships/hyperlink" Id="rId221" Target="https://discovery.ucl.ac.uk/id/eprint/10220325/" TargetMode="External" /><Relationship Type="http://schemas.openxmlformats.org/officeDocument/2006/relationships/hyperlink" Id="rId66" Target="https://doi.org/10.1002/spp2.70064" TargetMode="External" /><Relationship Type="http://schemas.openxmlformats.org/officeDocument/2006/relationships/hyperlink" Id="rId202" Target="https://doi.org/10.1006/qres.1998.1977" TargetMode="External" /><Relationship Type="http://schemas.openxmlformats.org/officeDocument/2006/relationships/hyperlink" Id="rId212" Target="https://doi.org/10.1007/BF02988789" TargetMode="External" /><Relationship Type="http://schemas.openxmlformats.org/officeDocument/2006/relationships/hyperlink" Id="rId54" Target="https://doi.org/10.1007/s10914-016-9333-1" TargetMode="External" /><Relationship Type="http://schemas.openxmlformats.org/officeDocument/2006/relationships/hyperlink" Id="rId196" Target="https://doi.org/10.1007/s10914-022-09631-7" TargetMode="External" /><Relationship Type="http://schemas.openxmlformats.org/officeDocument/2006/relationships/hyperlink" Id="rId129" Target="https://doi.org/10.1007/s10914-023-09675-3" TargetMode="External" /><Relationship Type="http://schemas.openxmlformats.org/officeDocument/2006/relationships/hyperlink" Id="rId81" Target="https://doi.org/10.1007/s10914-024-09739-y" TargetMode="External" /><Relationship Type="http://schemas.openxmlformats.org/officeDocument/2006/relationships/hyperlink" Id="rId171" Target="https://doi.org/10.1007/s11692-017-9434-7" TargetMode="External" /><Relationship Type="http://schemas.openxmlformats.org/officeDocument/2006/relationships/hyperlink" Id="rId210" Target="https://doi.org/10.1007/s11692-022-09596-8" TargetMode="External" /><Relationship Type="http://schemas.openxmlformats.org/officeDocument/2006/relationships/hyperlink" Id="rId91" Target="https://doi.org/10.1007/s12542-016-0306-8" TargetMode="External" /><Relationship Type="http://schemas.openxmlformats.org/officeDocument/2006/relationships/hyperlink" Id="rId219" Target="https://doi.org/10.1016/B978-0-12-824360-2.00005-X" TargetMode="External" /><Relationship Type="http://schemas.openxmlformats.org/officeDocument/2006/relationships/hyperlink" Id="rId87"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89" Target="https://doi.org/10.1016/j.gloplacha.2021.103704" TargetMode="External" /><Relationship Type="http://schemas.openxmlformats.org/officeDocument/2006/relationships/hyperlink" Id="rId272" Target="https://doi.org/10.1016/j.gr.2024.08.002" TargetMode="External" /><Relationship Type="http://schemas.openxmlformats.org/officeDocument/2006/relationships/hyperlink" Id="rId157" Target="https://doi.org/10.1016/j.jsames.2005.06.007" TargetMode="External" /><Relationship Type="http://schemas.openxmlformats.org/officeDocument/2006/relationships/hyperlink" Id="rId77" Target="https://doi.org/10.1016/j.palaeo.2009.01.004" TargetMode="External" /><Relationship Type="http://schemas.openxmlformats.org/officeDocument/2006/relationships/hyperlink" Id="rId176" Target="https://doi.org/10.1016/j.palaeo.2012.09.001" TargetMode="External" /><Relationship Type="http://schemas.openxmlformats.org/officeDocument/2006/relationships/hyperlink" Id="rId270" Target="https://doi.org/10.1016/j.palaeo.2021.110306" TargetMode="External" /><Relationship Type="http://schemas.openxmlformats.org/officeDocument/2006/relationships/hyperlink" Id="rId169" Target="https://doi.org/10.1016/j.palaeo.2025.113076" TargetMode="External" /><Relationship Type="http://schemas.openxmlformats.org/officeDocument/2006/relationships/hyperlink" Id="rId64" Target="https://doi.org/10.1016/j.palaeo.2026.113585" TargetMode="External" /><Relationship Type="http://schemas.openxmlformats.org/officeDocument/2006/relationships/hyperlink" Id="rId147" Target="https://doi.org/10.1017/S0094837300005224" TargetMode="External" /><Relationship Type="http://schemas.openxmlformats.org/officeDocument/2006/relationships/hyperlink" Id="rId145" Target="https://doi.org/10.1017/S0094837300015864" TargetMode="External" /><Relationship Type="http://schemas.openxmlformats.org/officeDocument/2006/relationships/hyperlink" Id="rId264" Target="https://doi.org/10.1017/pab.2019.23" TargetMode="External" /><Relationship Type="http://schemas.openxmlformats.org/officeDocument/2006/relationships/hyperlink" Id="rId299" Target="https://doi.org/10.1017/pab.2020.12" TargetMode="External" /><Relationship Type="http://schemas.openxmlformats.org/officeDocument/2006/relationships/hyperlink" Id="rId237" Target="https://doi.org/10.1038/ncomms2958" TargetMode="External" /><Relationship Type="http://schemas.openxmlformats.org/officeDocument/2006/relationships/hyperlink" Id="rId143" Target="https://doi.org/10.1038/s41467-022-30507-0" TargetMode="External" /><Relationship Type="http://schemas.openxmlformats.org/officeDocument/2006/relationships/hyperlink" Id="rId122" Target="https://doi.org/10.1038/s41467-024-48434-7" TargetMode="External" /><Relationship Type="http://schemas.openxmlformats.org/officeDocument/2006/relationships/hyperlink" Id="rId118" Target="https://doi.org/10.1038/s41559-020-01321-y" TargetMode="External" /><Relationship Type="http://schemas.openxmlformats.org/officeDocument/2006/relationships/hyperlink" Id="rId231" Target="https://doi.org/10.1038/s41559-025-02873-7" TargetMode="External" /><Relationship Type="http://schemas.openxmlformats.org/officeDocument/2006/relationships/hyperlink" Id="rId58" Target="https://doi.org/10.1038/s41561-018-0236-z" TargetMode="External" /><Relationship Type="http://schemas.openxmlformats.org/officeDocument/2006/relationships/hyperlink" Id="rId74" Target="https://doi.org/10.1038/s41586-023-06381-1" TargetMode="External" /><Relationship Type="http://schemas.openxmlformats.org/officeDocument/2006/relationships/hyperlink" Id="rId182" Target="https://doi.org/10.1038/s41598-017-05263-7" TargetMode="External" /><Relationship Type="http://schemas.openxmlformats.org/officeDocument/2006/relationships/hyperlink" Id="rId278" Target="https://doi.org/10.1038/s41598-022-05266-z" TargetMode="External" /><Relationship Type="http://schemas.openxmlformats.org/officeDocument/2006/relationships/hyperlink" Id="rId93" Target="https://doi.org/10.1038/s41598-022-26010-7" TargetMode="External" /><Relationship Type="http://schemas.openxmlformats.org/officeDocument/2006/relationships/hyperlink" Id="rId288" Target="https://doi.org/10.1038/s41598-023-28497-0" TargetMode="External" /><Relationship Type="http://schemas.openxmlformats.org/officeDocument/2006/relationships/hyperlink" Id="rId184" Target="https://doi.org/10.1073/pnas.0709763105" TargetMode="External" /><Relationship Type="http://schemas.openxmlformats.org/officeDocument/2006/relationships/hyperlink" Id="rId60" Target="https://doi.org/10.1073/pnas.0811421106" TargetMode="External" /><Relationship Type="http://schemas.openxmlformats.org/officeDocument/2006/relationships/hyperlink" Id="rId167" Target="https://doi.org/10.1073/pnas.1302642110" TargetMode="External" /><Relationship Type="http://schemas.openxmlformats.org/officeDocument/2006/relationships/hyperlink" Id="rId106" Target="https://doi.org/10.1073/pnas.1606868114" TargetMode="External" /><Relationship Type="http://schemas.openxmlformats.org/officeDocument/2006/relationships/hyperlink" Id="rId114" Target="https://doi.org/10.1073/pnas.1902693116" TargetMode="External" /><Relationship Type="http://schemas.openxmlformats.org/officeDocument/2006/relationships/hyperlink" Id="rId116" Target="https://doi.org/10.1073/pnas.2005571117" TargetMode="External" /><Relationship Type="http://schemas.openxmlformats.org/officeDocument/2006/relationships/hyperlink" Id="rId104" Target="https://doi.org/10.1073/pnas.2006087117" TargetMode="External" /><Relationship Type="http://schemas.openxmlformats.org/officeDocument/2006/relationships/hyperlink" Id="rId280" Target="https://doi.org/10.1073/pnas.2122486119" TargetMode="External" /><Relationship Type="http://schemas.openxmlformats.org/officeDocument/2006/relationships/hyperlink" Id="rId233" Target="https://doi.org/10.1073/pnas.2220672120" TargetMode="External" /><Relationship Type="http://schemas.openxmlformats.org/officeDocument/2006/relationships/hyperlink" Id="rId302" Target="https://doi.org/10.1073/pnas.2309945120" TargetMode="External" /><Relationship Type="http://schemas.openxmlformats.org/officeDocument/2006/relationships/hyperlink" Id="rId178" Target="https://doi.org/10.1073/pnas.2317795121" TargetMode="External" /><Relationship Type="http://schemas.openxmlformats.org/officeDocument/2006/relationships/hyperlink" Id="rId95" Target="https://doi.org/10.1073/pnas.2419520122" TargetMode="External" /><Relationship Type="http://schemas.openxmlformats.org/officeDocument/2006/relationships/hyperlink" Id="rId295" Target="https://doi.org/10.1073/pnas.70.7.1936" TargetMode="External" /><Relationship Type="http://schemas.openxmlformats.org/officeDocument/2006/relationships/hyperlink" Id="rId225" Target="https://doi.org/10.1080/02724634.2010.522432" TargetMode="External" /><Relationship Type="http://schemas.openxmlformats.org/officeDocument/2006/relationships/hyperlink" Id="rId242"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59" Target="https://doi.org/10.1093/botlinnean/boab098" TargetMode="External" /><Relationship Type="http://schemas.openxmlformats.org/officeDocument/2006/relationships/hyperlink" Id="rId248" Target="https://doi.org/10.1093/jmammal/gyz194" TargetMode="External" /><Relationship Type="http://schemas.openxmlformats.org/officeDocument/2006/relationships/hyperlink" Id="rId306" Target="https://doi.org/10.1093/molbev/msaa189" TargetMode="External" /><Relationship Type="http://schemas.openxmlformats.org/officeDocument/2006/relationships/hyperlink" Id="rId186" Target="https://doi.org/10.1093/sysbio/syq052" TargetMode="External" /><Relationship Type="http://schemas.openxmlformats.org/officeDocument/2006/relationships/hyperlink" Id="rId250" Target="https://doi.org/10.1093/sysbio/syq092" TargetMode="External" /><Relationship Type="http://schemas.openxmlformats.org/officeDocument/2006/relationships/hyperlink" Id="rId131" Target="https://doi.org/10.1093/sysbio/syw020" TargetMode="External" /><Relationship Type="http://schemas.openxmlformats.org/officeDocument/2006/relationships/hyperlink" Id="rId153" Target="https://doi.org/10.1093/sysbio/syx082" TargetMode="External" /><Relationship Type="http://schemas.openxmlformats.org/officeDocument/2006/relationships/hyperlink" Id="rId110" Target="https://doi.org/10.1093/sysbio/syy009" TargetMode="External" /><Relationship Type="http://schemas.openxmlformats.org/officeDocument/2006/relationships/hyperlink" Id="rId204" Target="https://doi.org/10.1098/rspb.2007.1056" TargetMode="External" /><Relationship Type="http://schemas.openxmlformats.org/officeDocument/2006/relationships/hyperlink" Id="rId246" Target="https://doi.org/10.1098/rspb.2007.1645" TargetMode="External" /><Relationship Type="http://schemas.openxmlformats.org/officeDocument/2006/relationships/hyperlink" Id="rId137" Target="https://doi.org/10.1098/rspb.2011.1439" TargetMode="External" /><Relationship Type="http://schemas.openxmlformats.org/officeDocument/2006/relationships/hyperlink" Id="rId252" Target="https://doi.org/10.1098/rspb.2013.1071" TargetMode="External" /><Relationship Type="http://schemas.openxmlformats.org/officeDocument/2006/relationships/hyperlink" Id="rId254" Target="https://doi.org/10.1098/rspb.2014.2490" TargetMode="External" /><Relationship Type="http://schemas.openxmlformats.org/officeDocument/2006/relationships/hyperlink" Id="rId198" Target="https://doi.org/10.1098/rspb.2019.2806" TargetMode="External" /><Relationship Type="http://schemas.openxmlformats.org/officeDocument/2006/relationships/hyperlink" Id="rId194" Target="https://doi.org/10.1098/rspb.2024.2932" TargetMode="External" /><Relationship Type="http://schemas.openxmlformats.org/officeDocument/2006/relationships/hyperlink" Id="rId68" Target="https://doi.org/10.1098/rspb.2025.1418" TargetMode="External" /><Relationship Type="http://schemas.openxmlformats.org/officeDocument/2006/relationships/hyperlink" Id="rId135"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266" Target="https://doi.org/10.1111/2041-210X.12263" TargetMode="External" /><Relationship Type="http://schemas.openxmlformats.org/officeDocument/2006/relationships/hyperlink" Id="rId120" Target="https://doi.org/10.1111/2041-210X.70070" TargetMode="External" /><Relationship Type="http://schemas.openxmlformats.org/officeDocument/2006/relationships/hyperlink" Id="rId50" Target="https://doi.org/10.1111/bij.12695" TargetMode="External" /><Relationship Type="http://schemas.openxmlformats.org/officeDocument/2006/relationships/hyperlink" Id="rId112" Target="https://doi.org/10.1111/ele.13382" TargetMode="External" /><Relationship Type="http://schemas.openxmlformats.org/officeDocument/2006/relationships/hyperlink" Id="rId192" Target="https://doi.org/10.1111/evo.13155" TargetMode="External" /><Relationship Type="http://schemas.openxmlformats.org/officeDocument/2006/relationships/hyperlink" Id="rId227" Target="https://doi.org/10.1111/evo.13680" TargetMode="External" /><Relationship Type="http://schemas.openxmlformats.org/officeDocument/2006/relationships/hyperlink" Id="rId206" Target="https://doi.org/10.1111/evo.13967" TargetMode="External" /><Relationship Type="http://schemas.openxmlformats.org/officeDocument/2006/relationships/hyperlink" Id="rId276" Target="https://doi.org/10.1111/geb.70024" TargetMode="External" /><Relationship Type="http://schemas.openxmlformats.org/officeDocument/2006/relationships/hyperlink" Id="rId258" Target="https://doi.org/10.1111/j.1469-185X.2010.00137.x" TargetMode="External" /><Relationship Type="http://schemas.openxmlformats.org/officeDocument/2006/relationships/hyperlink" Id="rId290" Target="https://doi.org/10.1111/j.1558-5646.1960.tb03121.x" TargetMode="External" /><Relationship Type="http://schemas.openxmlformats.org/officeDocument/2006/relationships/hyperlink" Id="rId235" Target="https://doi.org/10.1111/j.1558-5646.2009.00926.x" TargetMode="External" /><Relationship Type="http://schemas.openxmlformats.org/officeDocument/2006/relationships/hyperlink" Id="rId240" Target="https://doi.org/10.1111/joa.13430" TargetMode="External" /><Relationship Type="http://schemas.openxmlformats.org/officeDocument/2006/relationships/hyperlink" Id="rId98" Target="https://doi.org/10.1111/let.12015" TargetMode="External" /><Relationship Type="http://schemas.openxmlformats.org/officeDocument/2006/relationships/hyperlink" Id="rId262" Target="https://doi.org/10.1111/nph.13247" TargetMode="External" /><Relationship Type="http://schemas.openxmlformats.org/officeDocument/2006/relationships/hyperlink" Id="rId174" Target="https://doi.org/10.1126/sciadv.1601693" TargetMode="External" /><Relationship Type="http://schemas.openxmlformats.org/officeDocument/2006/relationships/hyperlink" Id="rId208" Target="https://doi.org/10.1126/sciadv.aaz1346" TargetMode="External" /><Relationship Type="http://schemas.openxmlformats.org/officeDocument/2006/relationships/hyperlink" Id="rId155" Target="https://doi.org/10.1126/sciadv.adl2643" TargetMode="External" /><Relationship Type="http://schemas.openxmlformats.org/officeDocument/2006/relationships/hyperlink" Id="rId256" Target="https://doi.org/10.1126/science.1089332" TargetMode="External" /><Relationship Type="http://schemas.openxmlformats.org/officeDocument/2006/relationships/hyperlink" Id="rId244" Target="https://doi.org/10.1126/science.11542058" TargetMode="External" /><Relationship Type="http://schemas.openxmlformats.org/officeDocument/2006/relationships/hyperlink" Id="rId72" Target="https://doi.org/10.1126/science.1157719" TargetMode="External" /><Relationship Type="http://schemas.openxmlformats.org/officeDocument/2006/relationships/hyperlink" Id="rId165" Target="https://doi.org/10.1126/science.1194585" TargetMode="External" /><Relationship Type="http://schemas.openxmlformats.org/officeDocument/2006/relationships/hyperlink" Id="rId229" Target="https://doi.org/10.1126/science.1239431" TargetMode="External" /><Relationship Type="http://schemas.openxmlformats.org/officeDocument/2006/relationships/hyperlink" Id="rId100" Target="https://doi.org/10.1126/science.aag1772" TargetMode="External" /><Relationship Type="http://schemas.openxmlformats.org/officeDocument/2006/relationships/hyperlink" Id="rId304" Target="https://doi.org/10.1126/science.aba6853" TargetMode="External" /><Relationship Type="http://schemas.openxmlformats.org/officeDocument/2006/relationships/hyperlink" Id="rId85" Target="https://doi.org/10.1126/science.adu0704" TargetMode="External" /><Relationship Type="http://schemas.openxmlformats.org/officeDocument/2006/relationships/hyperlink" Id="rId161" Target="https://doi.org/10.1130/0091-7613(1995)023&lt;0237:ATAACF&gt;2.3.CO;2" TargetMode="External" /><Relationship Type="http://schemas.openxmlformats.org/officeDocument/2006/relationships/hyperlink" Id="rId133" Target="https://doi.org/10.1130/B30660.1" TargetMode="External" /><Relationship Type="http://schemas.openxmlformats.org/officeDocument/2006/relationships/hyperlink" Id="rId260" Target="https://doi.org/10.1130/G36664.1" TargetMode="External" /><Relationship Type="http://schemas.openxmlformats.org/officeDocument/2006/relationships/hyperlink" Id="rId127" Target="https://doi.org/10.1144/jgs2020-188" TargetMode="External" /><Relationship Type="http://schemas.openxmlformats.org/officeDocument/2006/relationships/hyperlink" Id="rId125" Target="https://doi.org/10.1146/annurev-earth-072619-060126" TargetMode="External" /><Relationship Type="http://schemas.openxmlformats.org/officeDocument/2006/relationships/hyperlink" Id="rId163" Target="https://doi.org/10.1146/annurev-earth-081522-090454" TargetMode="External" /><Relationship Type="http://schemas.openxmlformats.org/officeDocument/2006/relationships/hyperlink" Id="rId214" Target="https://doi.org/10.1146/annurev-ecolsys-102722-020508" TargetMode="External" /><Relationship Type="http://schemas.openxmlformats.org/officeDocument/2006/relationships/hyperlink" Id="rId188" Target="https://doi.org/10.1146/annurev.ecolsys.31.1.33" TargetMode="External" /><Relationship Type="http://schemas.openxmlformats.org/officeDocument/2006/relationships/hyperlink" Id="rId62" Target="https://doi.org/10.1146/annurev.ecolsys.33.010802.150500" TargetMode="External" /><Relationship Type="http://schemas.openxmlformats.org/officeDocument/2006/relationships/hyperlink" Id="rId190" Target="https://doi.org/10.1206/0003-0090-363.1.1" TargetMode="External" /><Relationship Type="http://schemas.openxmlformats.org/officeDocument/2006/relationships/hyperlink" Id="rId282" Target="https://doi.org/10.1371/journal.pbio.3000494" TargetMode="External" /><Relationship Type="http://schemas.openxmlformats.org/officeDocument/2006/relationships/hyperlink" Id="rId149" Target="https://doi.org/10.1590/1809-4392202103601" TargetMode="External" /><Relationship Type="http://schemas.openxmlformats.org/officeDocument/2006/relationships/hyperlink" Id="rId70" Target="https://doi.org/10.1671/0272-4634(2001)021[0172:DTEOTR]2.0.CO;2" TargetMode="External" /><Relationship Type="http://schemas.openxmlformats.org/officeDocument/2006/relationships/hyperlink" Id="rId108" Target="https://doi.org/10.18814/epiiugs/2025/025001" TargetMode="External" /><Relationship Type="http://schemas.openxmlformats.org/officeDocument/2006/relationships/hyperlink" Id="rId180" Target="https://doi.org/10.2307/2291091" TargetMode="External" /><Relationship Type="http://schemas.openxmlformats.org/officeDocument/2006/relationships/hyperlink" Id="rId274" Target="https://doi.org/10.2307/2398811" TargetMode="External" /><Relationship Type="http://schemas.openxmlformats.org/officeDocument/2006/relationships/hyperlink" Id="rId293" Target="https://doi.org/10.2307/2412953" TargetMode="External" /><Relationship Type="http://schemas.openxmlformats.org/officeDocument/2006/relationships/hyperlink" Id="rId83" Target="https://doi.org/10.5252/geodiversitas2019v41a4" TargetMode="External" /><Relationship Type="http://schemas.openxmlformats.org/officeDocument/2006/relationships/hyperlink" Id="rId284" Target="https://doi.org/10.5281/zenodo.18135819" TargetMode="External" /><Relationship Type="http://schemas.openxmlformats.org/officeDocument/2006/relationships/hyperlink" Id="rId216" Target="https://doi.org/10.5710/AMGH.07.07.2023.3551" TargetMode="External" /><Relationship Type="http://schemas.openxmlformats.org/officeDocument/2006/relationships/hyperlink" Id="rId141" Target="https://doi.org/10.5710/PEAPA.01.11.2019.309" TargetMode="External" /><Relationship Type="http://schemas.openxmlformats.org/officeDocument/2006/relationships/hyperlink" Id="rId151" Target="https://doi.org/10.64898/2026.02.27.708174" TargetMode="External" /><Relationship Type="http://schemas.openxmlformats.org/officeDocument/2006/relationships/hyperlink" Id="rId286" Target="https://doi.org/10.7717/peerj.19897" TargetMode="External" /><Relationship Type="http://schemas.openxmlformats.org/officeDocument/2006/relationships/hyperlink" Id="rId79"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23" Target="https://press.uchicago.edu/ucp/books/book/chicago/M/bo18553844.html" TargetMode="External" /><Relationship Type="http://schemas.openxmlformats.org/officeDocument/2006/relationships/hyperlink" Id="rId200" Target="https://www.jstor.org/stable/1688046" TargetMode="External" /><Relationship Type="http://schemas.openxmlformats.org/officeDocument/2006/relationships/hyperlink" Id="rId139" Target="https://www.jstor.org/stable/2461605" TargetMode="External" /><Relationship Type="http://schemas.openxmlformats.org/officeDocument/2006/relationships/hyperlink" Id="rId317"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21" Target="https://discovery.ucl.ac.uk/id/eprint/10220325/" TargetMode="External" /><Relationship Type="http://schemas.openxmlformats.org/officeDocument/2006/relationships/hyperlink" Id="rId66" Target="https://doi.org/10.1002/spp2.70064" TargetMode="External" /><Relationship Type="http://schemas.openxmlformats.org/officeDocument/2006/relationships/hyperlink" Id="rId202" Target="https://doi.org/10.1006/qres.1998.1977" TargetMode="External" /><Relationship Type="http://schemas.openxmlformats.org/officeDocument/2006/relationships/hyperlink" Id="rId212" Target="https://doi.org/10.1007/BF02988789" TargetMode="External" /><Relationship Type="http://schemas.openxmlformats.org/officeDocument/2006/relationships/hyperlink" Id="rId54" Target="https://doi.org/10.1007/s10914-016-9333-1" TargetMode="External" /><Relationship Type="http://schemas.openxmlformats.org/officeDocument/2006/relationships/hyperlink" Id="rId196" Target="https://doi.org/10.1007/s10914-022-09631-7" TargetMode="External" /><Relationship Type="http://schemas.openxmlformats.org/officeDocument/2006/relationships/hyperlink" Id="rId129" Target="https://doi.org/10.1007/s10914-023-09675-3" TargetMode="External" /><Relationship Type="http://schemas.openxmlformats.org/officeDocument/2006/relationships/hyperlink" Id="rId81" Target="https://doi.org/10.1007/s10914-024-09739-y" TargetMode="External" /><Relationship Type="http://schemas.openxmlformats.org/officeDocument/2006/relationships/hyperlink" Id="rId171" Target="https://doi.org/10.1007/s11692-017-9434-7" TargetMode="External" /><Relationship Type="http://schemas.openxmlformats.org/officeDocument/2006/relationships/hyperlink" Id="rId210" Target="https://doi.org/10.1007/s11692-022-09596-8" TargetMode="External" /><Relationship Type="http://schemas.openxmlformats.org/officeDocument/2006/relationships/hyperlink" Id="rId91" Target="https://doi.org/10.1007/s12542-016-0306-8" TargetMode="External" /><Relationship Type="http://schemas.openxmlformats.org/officeDocument/2006/relationships/hyperlink" Id="rId219" Target="https://doi.org/10.1016/B978-0-12-824360-2.00005-X" TargetMode="External" /><Relationship Type="http://schemas.openxmlformats.org/officeDocument/2006/relationships/hyperlink" Id="rId87"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89" Target="https://doi.org/10.1016/j.gloplacha.2021.103704" TargetMode="External" /><Relationship Type="http://schemas.openxmlformats.org/officeDocument/2006/relationships/hyperlink" Id="rId272" Target="https://doi.org/10.1016/j.gr.2024.08.002" TargetMode="External" /><Relationship Type="http://schemas.openxmlformats.org/officeDocument/2006/relationships/hyperlink" Id="rId157" Target="https://doi.org/10.1016/j.jsames.2005.06.007" TargetMode="External" /><Relationship Type="http://schemas.openxmlformats.org/officeDocument/2006/relationships/hyperlink" Id="rId77" Target="https://doi.org/10.1016/j.palaeo.2009.01.004" TargetMode="External" /><Relationship Type="http://schemas.openxmlformats.org/officeDocument/2006/relationships/hyperlink" Id="rId176" Target="https://doi.org/10.1016/j.palaeo.2012.09.001" TargetMode="External" /><Relationship Type="http://schemas.openxmlformats.org/officeDocument/2006/relationships/hyperlink" Id="rId270" Target="https://doi.org/10.1016/j.palaeo.2021.110306" TargetMode="External" /><Relationship Type="http://schemas.openxmlformats.org/officeDocument/2006/relationships/hyperlink" Id="rId169" Target="https://doi.org/10.1016/j.palaeo.2025.113076" TargetMode="External" /><Relationship Type="http://schemas.openxmlformats.org/officeDocument/2006/relationships/hyperlink" Id="rId64" Target="https://doi.org/10.1016/j.palaeo.2026.113585" TargetMode="External" /><Relationship Type="http://schemas.openxmlformats.org/officeDocument/2006/relationships/hyperlink" Id="rId147" Target="https://doi.org/10.1017/S0094837300005224" TargetMode="External" /><Relationship Type="http://schemas.openxmlformats.org/officeDocument/2006/relationships/hyperlink" Id="rId145" Target="https://doi.org/10.1017/S0094837300015864" TargetMode="External" /><Relationship Type="http://schemas.openxmlformats.org/officeDocument/2006/relationships/hyperlink" Id="rId264" Target="https://doi.org/10.1017/pab.2019.23" TargetMode="External" /><Relationship Type="http://schemas.openxmlformats.org/officeDocument/2006/relationships/hyperlink" Id="rId299" Target="https://doi.org/10.1017/pab.2020.12" TargetMode="External" /><Relationship Type="http://schemas.openxmlformats.org/officeDocument/2006/relationships/hyperlink" Id="rId237" Target="https://doi.org/10.1038/ncomms2958" TargetMode="External" /><Relationship Type="http://schemas.openxmlformats.org/officeDocument/2006/relationships/hyperlink" Id="rId143" Target="https://doi.org/10.1038/s41467-022-30507-0" TargetMode="External" /><Relationship Type="http://schemas.openxmlformats.org/officeDocument/2006/relationships/hyperlink" Id="rId122" Target="https://doi.org/10.1038/s41467-024-48434-7" TargetMode="External" /><Relationship Type="http://schemas.openxmlformats.org/officeDocument/2006/relationships/hyperlink" Id="rId118" Target="https://doi.org/10.1038/s41559-020-01321-y" TargetMode="External" /><Relationship Type="http://schemas.openxmlformats.org/officeDocument/2006/relationships/hyperlink" Id="rId231" Target="https://doi.org/10.1038/s41559-025-02873-7" TargetMode="External" /><Relationship Type="http://schemas.openxmlformats.org/officeDocument/2006/relationships/hyperlink" Id="rId58" Target="https://doi.org/10.1038/s41561-018-0236-z" TargetMode="External" /><Relationship Type="http://schemas.openxmlformats.org/officeDocument/2006/relationships/hyperlink" Id="rId74" Target="https://doi.org/10.1038/s41586-023-06381-1" TargetMode="External" /><Relationship Type="http://schemas.openxmlformats.org/officeDocument/2006/relationships/hyperlink" Id="rId182" Target="https://doi.org/10.1038/s41598-017-05263-7" TargetMode="External" /><Relationship Type="http://schemas.openxmlformats.org/officeDocument/2006/relationships/hyperlink" Id="rId278" Target="https://doi.org/10.1038/s41598-022-05266-z" TargetMode="External" /><Relationship Type="http://schemas.openxmlformats.org/officeDocument/2006/relationships/hyperlink" Id="rId93" Target="https://doi.org/10.1038/s41598-022-26010-7" TargetMode="External" /><Relationship Type="http://schemas.openxmlformats.org/officeDocument/2006/relationships/hyperlink" Id="rId288" Target="https://doi.org/10.1038/s41598-023-28497-0" TargetMode="External" /><Relationship Type="http://schemas.openxmlformats.org/officeDocument/2006/relationships/hyperlink" Id="rId184" Target="https://doi.org/10.1073/pnas.0709763105" TargetMode="External" /><Relationship Type="http://schemas.openxmlformats.org/officeDocument/2006/relationships/hyperlink" Id="rId60" Target="https://doi.org/10.1073/pnas.0811421106" TargetMode="External" /><Relationship Type="http://schemas.openxmlformats.org/officeDocument/2006/relationships/hyperlink" Id="rId167" Target="https://doi.org/10.1073/pnas.1302642110" TargetMode="External" /><Relationship Type="http://schemas.openxmlformats.org/officeDocument/2006/relationships/hyperlink" Id="rId106" Target="https://doi.org/10.1073/pnas.1606868114" TargetMode="External" /><Relationship Type="http://schemas.openxmlformats.org/officeDocument/2006/relationships/hyperlink" Id="rId114" Target="https://doi.org/10.1073/pnas.1902693116" TargetMode="External" /><Relationship Type="http://schemas.openxmlformats.org/officeDocument/2006/relationships/hyperlink" Id="rId116" Target="https://doi.org/10.1073/pnas.2005571117" TargetMode="External" /><Relationship Type="http://schemas.openxmlformats.org/officeDocument/2006/relationships/hyperlink" Id="rId104" Target="https://doi.org/10.1073/pnas.2006087117" TargetMode="External" /><Relationship Type="http://schemas.openxmlformats.org/officeDocument/2006/relationships/hyperlink" Id="rId280" Target="https://doi.org/10.1073/pnas.2122486119" TargetMode="External" /><Relationship Type="http://schemas.openxmlformats.org/officeDocument/2006/relationships/hyperlink" Id="rId233" Target="https://doi.org/10.1073/pnas.2220672120" TargetMode="External" /><Relationship Type="http://schemas.openxmlformats.org/officeDocument/2006/relationships/hyperlink" Id="rId302" Target="https://doi.org/10.1073/pnas.2309945120" TargetMode="External" /><Relationship Type="http://schemas.openxmlformats.org/officeDocument/2006/relationships/hyperlink" Id="rId178" Target="https://doi.org/10.1073/pnas.2317795121" TargetMode="External" /><Relationship Type="http://schemas.openxmlformats.org/officeDocument/2006/relationships/hyperlink" Id="rId95" Target="https://doi.org/10.1073/pnas.2419520122" TargetMode="External" /><Relationship Type="http://schemas.openxmlformats.org/officeDocument/2006/relationships/hyperlink" Id="rId295" Target="https://doi.org/10.1073/pnas.70.7.1936" TargetMode="External" /><Relationship Type="http://schemas.openxmlformats.org/officeDocument/2006/relationships/hyperlink" Id="rId225" Target="https://doi.org/10.1080/02724634.2010.522432" TargetMode="External" /><Relationship Type="http://schemas.openxmlformats.org/officeDocument/2006/relationships/hyperlink" Id="rId242"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59" Target="https://doi.org/10.1093/botlinnean/boab098" TargetMode="External" /><Relationship Type="http://schemas.openxmlformats.org/officeDocument/2006/relationships/hyperlink" Id="rId248" Target="https://doi.org/10.1093/jmammal/gyz194" TargetMode="External" /><Relationship Type="http://schemas.openxmlformats.org/officeDocument/2006/relationships/hyperlink" Id="rId306" Target="https://doi.org/10.1093/molbev/msaa189" TargetMode="External" /><Relationship Type="http://schemas.openxmlformats.org/officeDocument/2006/relationships/hyperlink" Id="rId186" Target="https://doi.org/10.1093/sysbio/syq052" TargetMode="External" /><Relationship Type="http://schemas.openxmlformats.org/officeDocument/2006/relationships/hyperlink" Id="rId250" Target="https://doi.org/10.1093/sysbio/syq092" TargetMode="External" /><Relationship Type="http://schemas.openxmlformats.org/officeDocument/2006/relationships/hyperlink" Id="rId131" Target="https://doi.org/10.1093/sysbio/syw020" TargetMode="External" /><Relationship Type="http://schemas.openxmlformats.org/officeDocument/2006/relationships/hyperlink" Id="rId153" Target="https://doi.org/10.1093/sysbio/syx082" TargetMode="External" /><Relationship Type="http://schemas.openxmlformats.org/officeDocument/2006/relationships/hyperlink" Id="rId110" Target="https://doi.org/10.1093/sysbio/syy009" TargetMode="External" /><Relationship Type="http://schemas.openxmlformats.org/officeDocument/2006/relationships/hyperlink" Id="rId204" Target="https://doi.org/10.1098/rspb.2007.1056" TargetMode="External" /><Relationship Type="http://schemas.openxmlformats.org/officeDocument/2006/relationships/hyperlink" Id="rId246" Target="https://doi.org/10.1098/rspb.2007.1645" TargetMode="External" /><Relationship Type="http://schemas.openxmlformats.org/officeDocument/2006/relationships/hyperlink" Id="rId137" Target="https://doi.org/10.1098/rspb.2011.1439" TargetMode="External" /><Relationship Type="http://schemas.openxmlformats.org/officeDocument/2006/relationships/hyperlink" Id="rId252" Target="https://doi.org/10.1098/rspb.2013.1071" TargetMode="External" /><Relationship Type="http://schemas.openxmlformats.org/officeDocument/2006/relationships/hyperlink" Id="rId254" Target="https://doi.org/10.1098/rspb.2014.2490" TargetMode="External" /><Relationship Type="http://schemas.openxmlformats.org/officeDocument/2006/relationships/hyperlink" Id="rId198" Target="https://doi.org/10.1098/rspb.2019.2806" TargetMode="External" /><Relationship Type="http://schemas.openxmlformats.org/officeDocument/2006/relationships/hyperlink" Id="rId194" Target="https://doi.org/10.1098/rspb.2024.2932" TargetMode="External" /><Relationship Type="http://schemas.openxmlformats.org/officeDocument/2006/relationships/hyperlink" Id="rId68" Target="https://doi.org/10.1098/rspb.2025.1418" TargetMode="External" /><Relationship Type="http://schemas.openxmlformats.org/officeDocument/2006/relationships/hyperlink" Id="rId135"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266" Target="https://doi.org/10.1111/2041-210X.12263" TargetMode="External" /><Relationship Type="http://schemas.openxmlformats.org/officeDocument/2006/relationships/hyperlink" Id="rId120" Target="https://doi.org/10.1111/2041-210X.70070" TargetMode="External" /><Relationship Type="http://schemas.openxmlformats.org/officeDocument/2006/relationships/hyperlink" Id="rId50" Target="https://doi.org/10.1111/bij.12695" TargetMode="External" /><Relationship Type="http://schemas.openxmlformats.org/officeDocument/2006/relationships/hyperlink" Id="rId112" Target="https://doi.org/10.1111/ele.13382" TargetMode="External" /><Relationship Type="http://schemas.openxmlformats.org/officeDocument/2006/relationships/hyperlink" Id="rId192" Target="https://doi.org/10.1111/evo.13155" TargetMode="External" /><Relationship Type="http://schemas.openxmlformats.org/officeDocument/2006/relationships/hyperlink" Id="rId227" Target="https://doi.org/10.1111/evo.13680" TargetMode="External" /><Relationship Type="http://schemas.openxmlformats.org/officeDocument/2006/relationships/hyperlink" Id="rId206" Target="https://doi.org/10.1111/evo.13967" TargetMode="External" /><Relationship Type="http://schemas.openxmlformats.org/officeDocument/2006/relationships/hyperlink" Id="rId276" Target="https://doi.org/10.1111/geb.70024" TargetMode="External" /><Relationship Type="http://schemas.openxmlformats.org/officeDocument/2006/relationships/hyperlink" Id="rId258" Target="https://doi.org/10.1111/j.1469-185X.2010.00137.x" TargetMode="External" /><Relationship Type="http://schemas.openxmlformats.org/officeDocument/2006/relationships/hyperlink" Id="rId290" Target="https://doi.org/10.1111/j.1558-5646.1960.tb03121.x" TargetMode="External" /><Relationship Type="http://schemas.openxmlformats.org/officeDocument/2006/relationships/hyperlink" Id="rId235" Target="https://doi.org/10.1111/j.1558-5646.2009.00926.x" TargetMode="External" /><Relationship Type="http://schemas.openxmlformats.org/officeDocument/2006/relationships/hyperlink" Id="rId240" Target="https://doi.org/10.1111/joa.13430" TargetMode="External" /><Relationship Type="http://schemas.openxmlformats.org/officeDocument/2006/relationships/hyperlink" Id="rId98" Target="https://doi.org/10.1111/let.12015" TargetMode="External" /><Relationship Type="http://schemas.openxmlformats.org/officeDocument/2006/relationships/hyperlink" Id="rId262" Target="https://doi.org/10.1111/nph.13247" TargetMode="External" /><Relationship Type="http://schemas.openxmlformats.org/officeDocument/2006/relationships/hyperlink" Id="rId174" Target="https://doi.org/10.1126/sciadv.1601693" TargetMode="External" /><Relationship Type="http://schemas.openxmlformats.org/officeDocument/2006/relationships/hyperlink" Id="rId208" Target="https://doi.org/10.1126/sciadv.aaz1346" TargetMode="External" /><Relationship Type="http://schemas.openxmlformats.org/officeDocument/2006/relationships/hyperlink" Id="rId155" Target="https://doi.org/10.1126/sciadv.adl2643" TargetMode="External" /><Relationship Type="http://schemas.openxmlformats.org/officeDocument/2006/relationships/hyperlink" Id="rId256" Target="https://doi.org/10.1126/science.1089332" TargetMode="External" /><Relationship Type="http://schemas.openxmlformats.org/officeDocument/2006/relationships/hyperlink" Id="rId244" Target="https://doi.org/10.1126/science.11542058" TargetMode="External" /><Relationship Type="http://schemas.openxmlformats.org/officeDocument/2006/relationships/hyperlink" Id="rId72" Target="https://doi.org/10.1126/science.1157719" TargetMode="External" /><Relationship Type="http://schemas.openxmlformats.org/officeDocument/2006/relationships/hyperlink" Id="rId165" Target="https://doi.org/10.1126/science.1194585" TargetMode="External" /><Relationship Type="http://schemas.openxmlformats.org/officeDocument/2006/relationships/hyperlink" Id="rId229" Target="https://doi.org/10.1126/science.1239431" TargetMode="External" /><Relationship Type="http://schemas.openxmlformats.org/officeDocument/2006/relationships/hyperlink" Id="rId100" Target="https://doi.org/10.1126/science.aag1772" TargetMode="External" /><Relationship Type="http://schemas.openxmlformats.org/officeDocument/2006/relationships/hyperlink" Id="rId304" Target="https://doi.org/10.1126/science.aba6853" TargetMode="External" /><Relationship Type="http://schemas.openxmlformats.org/officeDocument/2006/relationships/hyperlink" Id="rId85" Target="https://doi.org/10.1126/science.adu0704" TargetMode="External" /><Relationship Type="http://schemas.openxmlformats.org/officeDocument/2006/relationships/hyperlink" Id="rId161" Target="https://doi.org/10.1130/0091-7613(1995)023&lt;0237:ATAACF&gt;2.3.CO;2" TargetMode="External" /><Relationship Type="http://schemas.openxmlformats.org/officeDocument/2006/relationships/hyperlink" Id="rId133" Target="https://doi.org/10.1130/B30660.1" TargetMode="External" /><Relationship Type="http://schemas.openxmlformats.org/officeDocument/2006/relationships/hyperlink" Id="rId260" Target="https://doi.org/10.1130/G36664.1" TargetMode="External" /><Relationship Type="http://schemas.openxmlformats.org/officeDocument/2006/relationships/hyperlink" Id="rId127" Target="https://doi.org/10.1144/jgs2020-188" TargetMode="External" /><Relationship Type="http://schemas.openxmlformats.org/officeDocument/2006/relationships/hyperlink" Id="rId125" Target="https://doi.org/10.1146/annurev-earth-072619-060126" TargetMode="External" /><Relationship Type="http://schemas.openxmlformats.org/officeDocument/2006/relationships/hyperlink" Id="rId163" Target="https://doi.org/10.1146/annurev-earth-081522-090454" TargetMode="External" /><Relationship Type="http://schemas.openxmlformats.org/officeDocument/2006/relationships/hyperlink" Id="rId214" Target="https://doi.org/10.1146/annurev-ecolsys-102722-020508" TargetMode="External" /><Relationship Type="http://schemas.openxmlformats.org/officeDocument/2006/relationships/hyperlink" Id="rId188" Target="https://doi.org/10.1146/annurev.ecolsys.31.1.33" TargetMode="External" /><Relationship Type="http://schemas.openxmlformats.org/officeDocument/2006/relationships/hyperlink" Id="rId62" Target="https://doi.org/10.1146/annurev.ecolsys.33.010802.150500" TargetMode="External" /><Relationship Type="http://schemas.openxmlformats.org/officeDocument/2006/relationships/hyperlink" Id="rId190" Target="https://doi.org/10.1206/0003-0090-363.1.1" TargetMode="External" /><Relationship Type="http://schemas.openxmlformats.org/officeDocument/2006/relationships/hyperlink" Id="rId282" Target="https://doi.org/10.1371/journal.pbio.3000494" TargetMode="External" /><Relationship Type="http://schemas.openxmlformats.org/officeDocument/2006/relationships/hyperlink" Id="rId149" Target="https://doi.org/10.1590/1809-4392202103601" TargetMode="External" /><Relationship Type="http://schemas.openxmlformats.org/officeDocument/2006/relationships/hyperlink" Id="rId70" Target="https://doi.org/10.1671/0272-4634(2001)021[0172:DTEOTR]2.0.CO;2" TargetMode="External" /><Relationship Type="http://schemas.openxmlformats.org/officeDocument/2006/relationships/hyperlink" Id="rId108" Target="https://doi.org/10.18814/epiiugs/2025/025001" TargetMode="External" /><Relationship Type="http://schemas.openxmlformats.org/officeDocument/2006/relationships/hyperlink" Id="rId180" Target="https://doi.org/10.2307/2291091" TargetMode="External" /><Relationship Type="http://schemas.openxmlformats.org/officeDocument/2006/relationships/hyperlink" Id="rId274" Target="https://doi.org/10.2307/2398811" TargetMode="External" /><Relationship Type="http://schemas.openxmlformats.org/officeDocument/2006/relationships/hyperlink" Id="rId293" Target="https://doi.org/10.2307/2412953" TargetMode="External" /><Relationship Type="http://schemas.openxmlformats.org/officeDocument/2006/relationships/hyperlink" Id="rId83" Target="https://doi.org/10.5252/geodiversitas2019v41a4" TargetMode="External" /><Relationship Type="http://schemas.openxmlformats.org/officeDocument/2006/relationships/hyperlink" Id="rId284" Target="https://doi.org/10.5281/zenodo.18135819" TargetMode="External" /><Relationship Type="http://schemas.openxmlformats.org/officeDocument/2006/relationships/hyperlink" Id="rId216" Target="https://doi.org/10.5710/AMGH.07.07.2023.3551" TargetMode="External" /><Relationship Type="http://schemas.openxmlformats.org/officeDocument/2006/relationships/hyperlink" Id="rId141" Target="https://doi.org/10.5710/PEAPA.01.11.2019.309" TargetMode="External" /><Relationship Type="http://schemas.openxmlformats.org/officeDocument/2006/relationships/hyperlink" Id="rId151" Target="https://doi.org/10.64898/2026.02.27.708174" TargetMode="External" /><Relationship Type="http://schemas.openxmlformats.org/officeDocument/2006/relationships/hyperlink" Id="rId286" Target="https://doi.org/10.7717/peerj.19897" TargetMode="External" /><Relationship Type="http://schemas.openxmlformats.org/officeDocument/2006/relationships/hyperlink" Id="rId79"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23" Target="https://press.uchicago.edu/ucp/books/book/chicago/M/bo18553844.html" TargetMode="External" /><Relationship Type="http://schemas.openxmlformats.org/officeDocument/2006/relationships/hyperlink" Id="rId200" Target="https://www.jstor.org/stable/1688046" TargetMode="External" /><Relationship Type="http://schemas.openxmlformats.org/officeDocument/2006/relationships/hyperlink" Id="rId139" Target="https://www.jstor.org/stable/2461605" TargetMode="External" /><Relationship Type="http://schemas.openxmlformats.org/officeDocument/2006/relationships/hyperlink" Id="rId317"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Boivin^{2,3}*, Alicia Álvarez^{2,3}, Fabien L. Condamine¹, Laurent Marivaux¹</dc:creator>
  <cp:keywords/>
  <dcterms:created xsi:type="dcterms:W3CDTF">2026-06-05T17:07:48Z</dcterms:created>
  <dcterms:modified xsi:type="dcterms:W3CDTF">2026-06-05T17:07:48Z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