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86.png" ContentType="image/png"/>
  <Override PartName="/word/media/rId298.pdf" ContentType="application/pdf"/>
  <Override PartName="/word/media/rId277.png" ContentType="image/png"/>
  <Override PartName="/word/media/rId290.png" ContentType="image/png"/>
  <Override PartName="/word/media/rId2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sup>
        </m:sSup>
      </m:oMath>
      <w:r>
        <w:t xml:space="preserve">,</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carry out body mass estimations based on recently-published sets of predictive equations, and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Such an incorporation avoided to artificially inflate speciation rate towards the present, which is otherwise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(Figure S1).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S2).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S6).</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S3).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rPr>
          <w:i/>
          <w:iCs/>
        </w:rPr>
        <w:t xml:space="preserve"> </w:t>
      </w:r>
      <w:r>
        <w:rPr>
          <w:i/>
          <w:iCs/>
        </w:rP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8" w:name="results"/>
    <w:p>
      <w:pPr>
        <w:pStyle w:val="Heading1"/>
      </w:pPr>
      <w:r>
        <w:t xml:space="preserve">Results</w:t>
      </w:r>
    </w:p>
    <w:bookmarkStart w:id="36"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S4 C) or when excluding singletons from the species-level dataset (Figure S5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long-recognised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0b65376b50d92c7f9b85c756c4b903a7bf7009f"/>
    <w:p>
      <w:pPr>
        <w:pStyle w:val="Heading2"/>
      </w:pPr>
      <w:r>
        <w:t xml:space="preserve">Heterogeneous extinction selectivity across body size classes and latitude, likely enhanced by the Andean uplift shaped the decline of Chinchilloidea</w:t>
      </w:r>
    </w:p>
    <w:p>
      <w:pPr>
        <w:pStyle w:val="FirstParagraph"/>
      </w:pPr>
      <w:r>
        <w:t xml:space="preserve">Our findings revealed that the aforementioned changes in diversity were due to changes in extinction, not speciation rate during the history of the clade.</w:t>
      </w:r>
    </w:p>
    <w:p>
      <w:pPr>
        <w:pStyle w:val="BodyText"/>
      </w:pPr>
      <w:r>
        <w:t xml:space="preserve">Indeed, the analyses we conducted using PyRate (rjMCMC algorithm) suggest that the speciation rate of Chinchilloidea remained constant during their evolutionary history (</w:t>
      </w:r>
      <w:hyperlink w:anchor="fig-diversification">
        <w:r>
          <w:rPr>
            <w:rStyle w:val="Hyperlink"/>
          </w:rPr>
          <w:t xml:space="preserve">Figure 5</w:t>
        </w:r>
      </w:hyperlink>
      <w:r>
        <w:t xml:space="preserve"> </w:t>
      </w:r>
      <w:r>
        <w:t xml:space="preserve">A, Figure S2 A). This result aligns with the output of the MBD model, where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E), and was not found significantly associated with any of the variables (Figure S15). The results obtained with the BDNN model also corroborate this conclusion. Indeed, when plotted against time, BDNN-inferred margnial speciation rate did not exhibit striking variations (</w:t>
      </w:r>
      <w:hyperlink w:anchor="fig-diversification">
        <w:r>
          <w:rPr>
            <w:rStyle w:val="Hyperlink"/>
          </w:rPr>
          <w:t xml:space="preserve">Figure 5</w:t>
        </w:r>
      </w:hyperlink>
      <w:r>
        <w:t xml:space="preserve"> </w:t>
      </w:r>
      <w:r>
        <w:t xml:space="preserve">C). Also, the coefficient of rate variation across the ten imputation replicates, not differing from expectations under a constant-rate birth–death model (0.25</w:t>
      </w:r>
      <w:r>
        <w:t xml:space="preserve"> </w:t>
      </w:r>
      <w:r>
        <w:rPr>
          <w:i/>
          <w:iCs/>
        </w:rPr>
        <w:t xml:space="preserve">vs</w:t>
      </w:r>
      <w:r>
        <w:t xml:space="preserve">. 0.23, Table S4), suggested an absence of significant speciation rate variation across lineages. It should be noted that the overall speciation rate value was conserved across the three methods, nearing 0.6 event per lineage per million years (</w:t>
      </w:r>
      <w:hyperlink w:anchor="fig-diversification">
        <w:r>
          <w:rPr>
            <w:rStyle w:val="Hyperlink"/>
          </w:rPr>
          <w:t xml:space="preserve">Figure 5</w:t>
        </w:r>
      </w:hyperlink>
      <w:r>
        <w:t xml:space="preserve"> </w:t>
      </w:r>
      <w:r>
        <w:t xml:space="preserve">A, C, E).</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and lineages (</w:t>
      </w:r>
      <w:hyperlink w:anchor="fig-extinctionBDNN">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S2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S7)</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S4-5). The species-level late Miocene shift in extinction rate was both detected by the BDNN and the MBD models, but these two models captured an additional increase in extinction rate during the Middle Miocene (</w:t>
      </w:r>
      <w:hyperlink w:anchor="fig-diversification">
        <w:r>
          <w:rPr>
            <w:rStyle w:val="Hyperlink"/>
          </w:rPr>
          <w:t xml:space="preserve">Figure 5</w:t>
        </w:r>
      </w:hyperlink>
      <w:r>
        <w:t xml:space="preserve"> </w:t>
      </w:r>
      <w:r>
        <w:t xml:space="preserve">D, F). That being said, we might notice that removing singleton from our diversification analyses totally eroded the pattern that we described (Figures S7-S8).</w:t>
      </w:r>
    </w:p>
    <w:p>
      <w:pPr>
        <w:pStyle w:val="BodyText"/>
      </w:pPr>
      <w:r>
        <w:t xml:space="preserve">Our BDNN analyses revealed that the three best predictors of extinction rate were the Andean uplift, body mass and latitude (Table S6). We document a non-linear relationship between extinction rate and the Andean uplift. Lower average elevations (900–1400 m) are indeed associated with nearly stable rates, whereas for higher average elevations (&gt;1500 m), we report a positive relationship between the Andean elevation and chinchilloid extinction rate. Furthermore, we evidenced that larger-bodied species had higher extinction rates than smaller-bodied species, with up to a 1.91-fold difference in average values between S and XL taxa (</w:t>
      </w:r>
      <w:hyperlink w:anchor="fig-extinctionBDNN">
        <w:r>
          <w:rPr>
            <w:rStyle w:val="Hyperlink"/>
          </w:rPr>
          <w:t xml:space="preserve">Figure 6</w:t>
        </w:r>
      </w:hyperlink>
      <w:r>
        <w:t xml:space="preserve"> </w:t>
      </w:r>
      <w:r>
        <w:t xml:space="preserve">B, Table S7). + PyRate body size-dependent analyses</w:t>
      </w:r>
    </w:p>
    <w:p>
      <w:pPr>
        <w:pStyle w:val="BodyText"/>
      </w:pPr>
      <w:r>
        <w:t xml:space="preserve">Next, on average, tropical species were found to have 1.52-times lower extinction rates than extra-tropical species (</w:t>
      </w:r>
      <w:hyperlink w:anchor="fig-extinctionBDNN">
        <w:r>
          <w:rPr>
            <w:rStyle w:val="Hyperlink"/>
          </w:rPr>
          <w:t xml:space="preserve">Figure 6</w:t>
        </w:r>
      </w:hyperlink>
      <w:r>
        <w:t xml:space="preserve"> </w:t>
      </w:r>
      <w:r>
        <w:t xml:space="preserve">C, Table S8). We might precise that, in our BDNN analyses, time was always ranked as the least important predictor (Table S6), suggesting our environmental and trait variables effectively captured signals of rate variation.</w:t>
      </w:r>
    </w:p>
    <w:p>
      <w:pPr>
        <w:pStyle w:val="BodyText"/>
      </w:pPr>
      <w:r>
        <w:t xml:space="preserve">Interestingly, our MBD analyses evidenced that sea level was positively correlated with extinction rate (Figure S19), whereas sea level ranked among the least important predictors by BDNN (Table S6).</w:t>
      </w:r>
    </w:p>
    <w:p>
      <w:pPr>
        <w:pStyle w:val="BodyText"/>
      </w:pPr>
      <w:r>
        <w:t xml:space="preserve">Last, we found support for a significant age-dependent extinction pattern after the late Miocene extinction rate shift that we evidenced, with extinction rate decreasing with increasing species age (Weibull shape</w:t>
      </w:r>
      <w:r>
        <w:t xml:space="preserve"> </w:t>
      </w:r>
      <m:oMath>
        <m:r>
          <m:t>Φ</m:t>
        </m:r>
        <m:r>
          <m:rPr>
            <m:sty m:val="p"/>
          </m:rPr>
          <m:t>&lt;</m:t>
        </m:r>
        <m:r>
          <m:t>1</m:t>
        </m:r>
      </m:oMath>
      <w:r>
        <w:t xml:space="preserve">, Figure S8).</w:t>
      </w:r>
    </w:p>
    <w:bookmarkEnd w:id="37"/>
    <w:bookmarkEnd w:id="38"/>
    <w:bookmarkStart w:id="47"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w:t>
      </w:r>
      <w:r>
        <w:rPr>
          <w:b/>
          <w:bCs/>
        </w:rPr>
        <w:t xml:space="preserve">carrillo?</w:t>
      </w:r>
      <w:r>
        <w:t xml:space="preserve">)</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Our results corroborate the long-described synchronous character of body mass evolution and diversity dynamics throughout the evolutionary history of Chinchilloidea (refs)</w:t>
      </w:r>
    </w:p>
    <w:p>
      <w:pPr>
        <w:pStyle w:val="BodyText"/>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hippopotamoids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t xml:space="preserve">Hypsodonty appears close to the podium. However, the imbalance in the size of the different crown height classes potentially challenge accurate estimations of diversification rates in the lower crown classes (Figure Supp hypsoclass).</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Body size has long been assumed as a strong determinant of extinction selectivity, under the classical view that larger taxa would have higher extinction rates</w:t>
      </w:r>
      <w:r>
        <w:t xml:space="preserve"> </w:t>
      </w:r>
      <w:r>
        <w:t xml:space="preserve">(Raup 1986)</w:t>
      </w:r>
    </w:p>
    <w:p>
      <w:pPr>
        <w:pStyle w:val="BodyText"/>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p>
      <w:pPr>
        <w:pStyle w:val="BodyText"/>
      </w:pPr>
      <w:r>
        <w:t xml:space="preserve">Traits influence extinction selectivity, a trend visible in the deep time as well as in the shallow time</w:t>
      </w:r>
      <w:r>
        <w:t xml:space="preserve"> </w:t>
      </w:r>
      <w:r>
        <w:t xml:space="preserve">Birskis-Barros et al. (2026)</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Cautionary tale on the importance of input data, affecting subsequent pipeline. In our case, incorporating the taxonomic revisions of</w:t>
      </w:r>
      <w:r>
        <w:t xml:space="preserve"> </w:t>
      </w:r>
      <w:r>
        <w:t xml:space="preserve">Rasia (2026)</w:t>
      </w:r>
      <w:r>
        <w:t xml:space="preserve"> </w:t>
      </w:r>
      <w:r>
        <w:t xml:space="preserve">on</w:t>
      </w:r>
      <w:r>
        <w:t xml:space="preserve"> </w:t>
      </w:r>
      <w:r>
        <w:t xml:space="preserve">‘</w:t>
      </w:r>
      <w:r>
        <w:t xml:space="preserve">Mesopotamiense</w:t>
      </w:r>
      <w:r>
        <w:t xml:space="preserve">’</w:t>
      </w:r>
      <w:r>
        <w:t xml:space="preserve"> </w:t>
      </w:r>
      <w:r>
        <w:t xml:space="preserve">fauna (Ituzaingó Fm.), formerely considered hyperdiverse but with many synonymies</w:t>
      </w:r>
    </w:p>
    <w:p>
      <w:pPr>
        <w:pStyle w:val="BodyText"/>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76" w:name="references"/>
    <w:p>
      <w:pPr>
        <w:pStyle w:val="Heading1"/>
      </w:pPr>
      <w:r>
        <w:t xml:space="preserve">References</w:t>
      </w:r>
    </w:p>
    <w:bookmarkStart w:id="275"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irskis-barros2026"/>
    <w:p>
      <w:pPr>
        <w:pStyle w:val="Bibliography"/>
      </w:pPr>
      <w:r>
        <w:t xml:space="preserve">Birskis-Barros, I., A. P. A. Assis, H. James, S. L. Kim, and J. D. Yeakel. 2026.</w:t>
      </w:r>
      <w:r>
        <w:t xml:space="preserve"> </w:t>
      </w:r>
      <w:hyperlink r:id="rId73">
        <w:r>
          <w:rPr>
            <w:rStyle w:val="Hyperlink"/>
          </w:rPr>
          <w:t xml:space="preserve">Morphological variability as a buffer against extinction: Insights from hawaiian honeycreepers</w:t>
        </w:r>
      </w:hyperlink>
      <w:r>
        <w:t xml:space="preserve">. Proceedings of the Royal Society B: Biological Sciences 293:20252594.</w:t>
      </w:r>
    </w:p>
    <w:bookmarkEnd w:id="74"/>
    <w:bookmarkStart w:id="76" w:name="ref-boessenecker2019"/>
    <w:p>
      <w:pPr>
        <w:pStyle w:val="Bibliography"/>
      </w:pPr>
      <w:r>
        <w:t xml:space="preserve">Boessenecker, R. W., D. J. Ehret, D. J. Long, M. Churchill, E. Martin, and S. J. Boessenecker. 2019.</w:t>
      </w:r>
      <w:r>
        <w:t xml:space="preserve"> </w:t>
      </w:r>
      <w:hyperlink r:id="rId75">
        <w:r>
          <w:rPr>
            <w:rStyle w:val="Hyperlink"/>
          </w:rPr>
          <w:t xml:space="preserve">The Early Pliocene extinction of the mega-toothed shark Otodus megalodon: a view from the eastern North Pacific</w:t>
        </w:r>
      </w:hyperlink>
      <w:r>
        <w:t xml:space="preserve">. PeerJ 7:e6088.</w:t>
      </w:r>
    </w:p>
    <w:bookmarkEnd w:id="76"/>
    <w:bookmarkStart w:id="78" w:name="ref-boisserie_phylogeny_2005"/>
    <w:p>
      <w:pPr>
        <w:pStyle w:val="Bibliography"/>
      </w:pPr>
      <w:r>
        <w:t xml:space="preserve">Boisserie, J.-R. 2005.</w:t>
      </w:r>
      <w:r>
        <w:t xml:space="preserve"> </w:t>
      </w:r>
      <w:hyperlink r:id="rId77">
        <w:r>
          <w:rPr>
            <w:rStyle w:val="Hyperlink"/>
          </w:rPr>
          <w:t xml:space="preserve">The phylogeny and taxonomy of hippopotamidae (mammalia: Artiodactyla): A review based on morphology and cladistic analysis</w:t>
        </w:r>
      </w:hyperlink>
      <w:r>
        <w:t xml:space="preserve">. Zool J Linn Soc 143:1–26.</w:t>
      </w:r>
    </w:p>
    <w:bookmarkEnd w:id="78"/>
    <w:bookmarkStart w:id="80" w:name="ref-boisserie2005"/>
    <w:p>
      <w:pPr>
        <w:pStyle w:val="Bibliography"/>
      </w:pPr>
      <w:r>
        <w:t xml:space="preserve">Boisserie, J.-R., F. Lihoreau, and M. Brunet. 2005.</w:t>
      </w:r>
      <w:r>
        <w:t xml:space="preserve"> </w:t>
      </w:r>
      <w:hyperlink r:id="rId79">
        <w:r>
          <w:rPr>
            <w:rStyle w:val="Hyperlink"/>
          </w:rPr>
          <w:t xml:space="preserve">The position of hippopotamidae within cetartiodactyla</w:t>
        </w:r>
      </w:hyperlink>
      <w:r>
        <w:t xml:space="preserve">. Proceedings of the National Academy of Sciences 102:1537–1541.</w:t>
      </w:r>
    </w:p>
    <w:bookmarkEnd w:id="80"/>
    <w:bookmarkStart w:id="82" w:name="ref-boivin2024"/>
    <w:p>
      <w:pPr>
        <w:pStyle w:val="Bibliography"/>
      </w:pPr>
      <w:r>
        <w:t xml:space="preserve">Boivin, M., A. Álvarez, M. D. Ercoli, S. R. Moyano, J. S. Salgado-Ahumada, A. M. O. Tejerina, and G. H. Cassini. 2024.</w:t>
      </w:r>
      <w:r>
        <w:t xml:space="preserve"> </w:t>
      </w:r>
      <w:hyperlink r:id="rId81">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2"/>
    <w:bookmarkStart w:id="84" w:name="ref-boivin2019"/>
    <w:p>
      <w:pPr>
        <w:pStyle w:val="Bibliography"/>
      </w:pPr>
      <w:r>
        <w:t xml:space="preserve">Boivin, M., L. Marivaux, and P.-O. Antoine. 2019.</w:t>
      </w:r>
      <w:r>
        <w:t xml:space="preserve"> </w:t>
      </w:r>
      <w:hyperlink r:id="rId83">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4"/>
    <w:bookmarkStart w:id="86"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5">
        <w:r>
          <w:rPr>
            <w:rStyle w:val="Hyperlink"/>
          </w:rPr>
          <w:t xml:space="preserve">The emergence and demise of giant sloths</w:t>
        </w:r>
      </w:hyperlink>
      <w:r>
        <w:t xml:space="preserve">. Science 388:864–868.</w:t>
      </w:r>
    </w:p>
    <w:bookmarkEnd w:id="86"/>
    <w:bookmarkStart w:id="88" w:name="ref-boschman2021"/>
    <w:p>
      <w:pPr>
        <w:pStyle w:val="Bibliography"/>
      </w:pPr>
      <w:r>
        <w:t xml:space="preserve">Boschman, L. M. 2021.</w:t>
      </w:r>
      <w:r>
        <w:t xml:space="preserve"> </w:t>
      </w:r>
      <w:hyperlink r:id="rId87">
        <w:r>
          <w:rPr>
            <w:rStyle w:val="Hyperlink"/>
          </w:rPr>
          <w:t xml:space="preserve">Andean mountain building since the late cretaceous: A paleoelevation reconstruction</w:t>
        </w:r>
      </w:hyperlink>
      <w:r>
        <w:t xml:space="preserve">. Earth-Science Reviews 220:103640.</w:t>
      </w:r>
    </w:p>
    <w:bookmarkEnd w:id="88"/>
    <w:bookmarkStart w:id="90" w:name="ref-brandoni2016"/>
    <w:p>
      <w:pPr>
        <w:pStyle w:val="Bibliography"/>
      </w:pPr>
      <w:r>
        <w:t xml:space="preserve">Brandoni, D., L. G. Ruiz, M. F. Tejedor, G. Martin, and J. G. Fleagle. 2016.</w:t>
      </w:r>
      <w:r>
        <w:t xml:space="preserve"> </w:t>
      </w:r>
      <w:hyperlink r:id="rId89">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0"/>
    <w:bookmarkStart w:id="92" w:name="ref-brée2022"/>
    <w:p>
      <w:pPr>
        <w:pStyle w:val="Bibliography"/>
      </w:pPr>
      <w:r>
        <w:t xml:space="preserve">Brée, B., F. L. Condamine, and G. Guinot. 2022.</w:t>
      </w:r>
      <w:r>
        <w:t xml:space="preserve"> </w:t>
      </w:r>
      <w:hyperlink r:id="rId91">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2"/>
    <w:bookmarkStart w:id="93"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3"/>
    <w:bookmarkStart w:id="95" w:name="ref-candela2013"/>
    <w:p>
      <w:pPr>
        <w:pStyle w:val="Bibliography"/>
      </w:pPr>
      <w:r>
        <w:t xml:space="preserve">Candela, A. M., G. H. Cassini, and N. L. Nasif. 2013.</w:t>
      </w:r>
      <w:r>
        <w:t xml:space="preserve"> </w:t>
      </w:r>
      <w:hyperlink r:id="rId94">
        <w:r>
          <w:rPr>
            <w:rStyle w:val="Hyperlink"/>
          </w:rPr>
          <w:t xml:space="preserve">Fractal dimension and cheek teeth crown complexity in the giant rodent eumegamys paranensis</w:t>
        </w:r>
      </w:hyperlink>
      <w:r>
        <w:t xml:space="preserve">. Lethaia 46:369–377.</w:t>
      </w:r>
    </w:p>
    <w:bookmarkEnd w:id="95"/>
    <w:bookmarkStart w:id="97" w:name="ref-cantalapiedra2021"/>
    <w:p>
      <w:pPr>
        <w:pStyle w:val="Bibliography"/>
      </w:pPr>
      <w:r>
        <w:t xml:space="preserve">Cantalapiedra, J. L., Ó. Sanisidro, H. Zhang, M. T. Alberdi, J. L. Prado, F. Blanco, and J. Saarinen. 2021.</w:t>
      </w:r>
      <w:r>
        <w:t xml:space="preserve"> </w:t>
      </w:r>
      <w:hyperlink r:id="rId96">
        <w:r>
          <w:rPr>
            <w:rStyle w:val="Hyperlink"/>
          </w:rPr>
          <w:t xml:space="preserve">The rise and fall of proboscidean ecological diversity</w:t>
        </w:r>
      </w:hyperlink>
      <w:r>
        <w:t xml:space="preserve">. Nature Ecology &amp; Evolution 5:1266–1272.</w:t>
      </w:r>
    </w:p>
    <w:bookmarkEnd w:id="97"/>
    <w:bookmarkStart w:id="99" w:name="ref-carrillo_giant_2015"/>
    <w:p>
      <w:pPr>
        <w:pStyle w:val="Bibliography"/>
      </w:pPr>
      <w:r>
        <w:t xml:space="preserve">Carrillo, J. D., and M. R. Sánchez-Villagra. 2015.</w:t>
      </w:r>
      <w:r>
        <w:t xml:space="preserve"> </w:t>
      </w:r>
      <w:hyperlink r:id="rId98">
        <w:r>
          <w:rPr>
            <w:rStyle w:val="Hyperlink"/>
          </w:rPr>
          <w:t xml:space="preserve">Giant rodents from the neotropics: Diversity and dental variation of late miocene neoepiblemid remains from urumaco, venezuela</w:t>
        </w:r>
      </w:hyperlink>
      <w:r>
        <w:t xml:space="preserve">. Paläontologische 89:1057–1071.</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Decoupled diversity and disparity after faunistic turnover in caviomorph rodents</w:t>
        </w:r>
      </w:hyperlink>
      <w:r>
        <w:t xml:space="preserve">. Proceedings of the Royal Society B: Biological Sciences 293:20252586.</w:t>
      </w:r>
    </w:p>
    <w:bookmarkEnd w:id="101"/>
    <w:bookmarkStart w:id="103" w:name="ref-chiarenza2020"/>
    <w:p>
      <w:pPr>
        <w:pStyle w:val="Bibliography"/>
      </w:pPr>
      <w:r>
        <w:t xml:space="preserve">Chiarenza, A. A., A. Farnsworth, P. D. Mannion, D. J. Lunt, P. J. Valdes, J. V. Morgan, and P. A. Allison. 2020.</w:t>
      </w:r>
      <w:r>
        <w:t xml:space="preserve"> </w:t>
      </w:r>
      <w:hyperlink r:id="rId102">
        <w:r>
          <w:rPr>
            <w:rStyle w:val="Hyperlink"/>
          </w:rPr>
          <w:t xml:space="preserve">Asteroid impact, not volcanism, caused the end-cretaceous dinosaur extinction</w:t>
        </w:r>
      </w:hyperlink>
      <w:r>
        <w:t xml:space="preserve">. Proceedings of the National Academy of Sciences 117:17084–17093.</w:t>
      </w:r>
    </w:p>
    <w:bookmarkEnd w:id="103"/>
    <w:bookmarkStart w:id="105" w:name="ref-cohen2025"/>
    <w:p>
      <w:pPr>
        <w:pStyle w:val="Bibliography"/>
      </w:pPr>
      <w:r>
        <w:t xml:space="preserve">Cohen, K., D. Harper, P. Gibbard, and N. Car. 2025.</w:t>
      </w:r>
      <w:r>
        <w:t xml:space="preserve"> </w:t>
      </w:r>
      <w:hyperlink r:id="rId104">
        <w:r>
          <w:rPr>
            <w:rStyle w:val="Hyperlink"/>
          </w:rPr>
          <w:t xml:space="preserve">The ICS international chronostratigraphic chart this decade</w:t>
        </w:r>
      </w:hyperlink>
      <w:r>
        <w:t xml:space="preserve">. Episodes Journal of International Geoscience 48:105–115.</w:t>
      </w:r>
    </w:p>
    <w:bookmarkEnd w:id="105"/>
    <w:bookmarkStart w:id="107" w:name="ref-condamine2018"/>
    <w:p>
      <w:pPr>
        <w:pStyle w:val="Bibliography"/>
      </w:pPr>
      <w:r>
        <w:t xml:space="preserve">Condamine, F. L., J. Rolland, S. Höhna, F. A. H. Sperling, and I. Sanmartín. 2018.</w:t>
      </w:r>
      <w:r>
        <w:t xml:space="preserve"> </w:t>
      </w:r>
      <w:hyperlink r:id="rId106">
        <w:r>
          <w:rPr>
            <w:rStyle w:val="Hyperlink"/>
          </w:rPr>
          <w:t xml:space="preserve">Testing the role of the red queen and court jester as drivers of the macroevolution of apollo butterflies</w:t>
        </w:r>
      </w:hyperlink>
      <w:r>
        <w:t xml:space="preserve">. Systematic Biology 67:940–964.</w:t>
      </w:r>
    </w:p>
    <w:bookmarkEnd w:id="107"/>
    <w:bookmarkStart w:id="109" w:name="ref-condamine2019"/>
    <w:p>
      <w:pPr>
        <w:pStyle w:val="Bibliography"/>
      </w:pPr>
      <w:r>
        <w:t xml:space="preserve">Condamine, F. L., J. Rolland, and H. Morlon. 2019a.</w:t>
      </w:r>
      <w:r>
        <w:t xml:space="preserve"> </w:t>
      </w:r>
      <w:hyperlink r:id="rId108">
        <w:r>
          <w:rPr>
            <w:rStyle w:val="Hyperlink"/>
          </w:rPr>
          <w:t xml:space="preserve">Assessing the causes of diversification slowdowns: temperature-dependent and diversity-dependent models receive equivalent support</w:t>
        </w:r>
      </w:hyperlink>
      <w:r>
        <w:t xml:space="preserve">. Ecology Letters 22:1900–1912.</w:t>
      </w:r>
    </w:p>
    <w:bookmarkEnd w:id="109"/>
    <w:bookmarkStart w:id="111" w:name="ref-condamine_climate_2019"/>
    <w:p>
      <w:pPr>
        <w:pStyle w:val="Bibliography"/>
      </w:pPr>
      <w:r>
        <w:t xml:space="preserve">Condamine, F. L., J. Romieu, and G. Guinot. 2019b.</w:t>
      </w:r>
      <w:r>
        <w:t xml:space="preserve"> </w:t>
      </w:r>
      <w:hyperlink r:id="rId110">
        <w:r>
          <w:rPr>
            <w:rStyle w:val="Hyperlink"/>
          </w:rPr>
          <w:t xml:space="preserve">Climate cooling and clade competition likely drove the decline of lamniform sharks</w:t>
        </w:r>
      </w:hyperlink>
      <w:r>
        <w:t xml:space="preserve">. Proc. Nat. Acad. Sc. U.S.A 116. Proceedings of the National Academy of Sciences.</w:t>
      </w:r>
    </w:p>
    <w:bookmarkEnd w:id="111"/>
    <w:bookmarkStart w:id="113" w:name="ref-condamine2020"/>
    <w:p>
      <w:pPr>
        <w:pStyle w:val="Bibliography"/>
      </w:pPr>
      <w:r>
        <w:t xml:space="preserve">Condamine, F. L., D. Silvestro, E. B. Koppelhus, and A. Antonelli. 2020.</w:t>
      </w:r>
      <w:r>
        <w:t xml:space="preserve"> </w:t>
      </w:r>
      <w:hyperlink r:id="rId112">
        <w:r>
          <w:rPr>
            <w:rStyle w:val="Hyperlink"/>
          </w:rPr>
          <w:t xml:space="preserve">The rise of angiosperms pushed conifers to decline during global cooling</w:t>
        </w:r>
      </w:hyperlink>
      <w:r>
        <w:t xml:space="preserve">. Proceedings of the National Academy of Sciences 117:28867–28875.</w:t>
      </w:r>
    </w:p>
    <w:bookmarkEnd w:id="113"/>
    <w:bookmarkStart w:id="115" w:name="ref-cooper2025"/>
    <w:p>
      <w:pPr>
        <w:pStyle w:val="Bibliography"/>
      </w:pPr>
      <w:r>
        <w:t xml:space="preserve">Cooper, R. B., B. J. Allen, and D. Silvestro. 2025.</w:t>
      </w:r>
      <w:r>
        <w:t xml:space="preserve"> </w:t>
      </w:r>
      <w:hyperlink r:id="rId114">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5"/>
    <w:bookmarkStart w:id="117" w:name="ref-cooper2024"/>
    <w:p>
      <w:pPr>
        <w:pStyle w:val="Bibliography"/>
      </w:pPr>
      <w:r>
        <w:t xml:space="preserve">Cooper, R. B., J. T. Flannery-Sutherland, and D. Silvestro. 2024.</w:t>
      </w:r>
      <w:r>
        <w:t xml:space="preserve"> </w:t>
      </w:r>
      <w:hyperlink r:id="rId116">
        <w:r>
          <w:rPr>
            <w:rStyle w:val="Hyperlink"/>
          </w:rPr>
          <w:t xml:space="preserve">DeepDive: estimating global biodiversity patterns through time using deep learning</w:t>
        </w:r>
      </w:hyperlink>
      <w:r>
        <w:t xml:space="preserve">. Nature Communications 15:4199.</w:t>
      </w:r>
    </w:p>
    <w:bookmarkEnd w:id="117"/>
    <w:bookmarkStart w:id="119" w:name="ref-cuitiño2021"/>
    <w:p>
      <w:pPr>
        <w:pStyle w:val="Bibliography"/>
      </w:pPr>
      <w:r>
        <w:t xml:space="preserve">Cuitiño, J. I., M. Sol Raigemborn, M. Susana Bargo, S. F. Vizcaíno, N. A. Muñoz, M. J. Kohn, and R. F. Kay. 2021.</w:t>
      </w:r>
      <w:r>
        <w:t xml:space="preserve"> </w:t>
      </w:r>
      <w:hyperlink r:id="rId118">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19"/>
    <w:bookmarkStart w:id="121" w:name="ref-dacunha2023"/>
    <w:p>
      <w:pPr>
        <w:pStyle w:val="Bibliography"/>
      </w:pPr>
      <w:r>
        <w:t xml:space="preserve">Da Cunha, L., L. W. Viñola-López, R. D. E. MacPhee, L. Kerber, J. Vélez-Juarbe, P.-O. Antoine, M. Boivin, L. Hautier, R. Lebrun, L. Marivaux, and P.-H. Fabre. 2023.</w:t>
      </w:r>
      <w:r>
        <w:t xml:space="preserve"> </w:t>
      </w:r>
      <w:hyperlink r:id="rId120">
        <w:r>
          <w:rPr>
            <w:rStyle w:val="Hyperlink"/>
          </w:rPr>
          <w:t xml:space="preserve">The inner ear of caviomorph rodents: Phylogenetic implications and application to extinct West Indian taxa</w:t>
        </w:r>
      </w:hyperlink>
      <w:r>
        <w:t xml:space="preserve">. Journal of Mammalian Evolution 30:1155–1176.</w:t>
      </w:r>
    </w:p>
    <w:bookmarkEnd w:id="121"/>
    <w:bookmarkStart w:id="123" w:name="ref-damuth1993"/>
    <w:p>
      <w:pPr>
        <w:pStyle w:val="Bibliography"/>
      </w:pPr>
      <w:r>
        <w:t xml:space="preserve">Damuth, J. 1993.</w:t>
      </w:r>
      <w:r>
        <w:t xml:space="preserve"> </w:t>
      </w:r>
      <w:hyperlink r:id="rId122">
        <w:r>
          <w:rPr>
            <w:rStyle w:val="Hyperlink"/>
          </w:rPr>
          <w:t xml:space="preserve">Cope’s rule, the island rule and the scaling of mammalian population density</w:t>
        </w:r>
      </w:hyperlink>
      <w:r>
        <w:t xml:space="preserve">. Nature 365:748–750.</w:t>
      </w:r>
    </w:p>
    <w:bookmarkEnd w:id="123"/>
    <w:bookmarkStart w:id="125" w:name="ref-damuth2011"/>
    <w:p>
      <w:pPr>
        <w:pStyle w:val="Bibliography"/>
      </w:pPr>
      <w:r>
        <w:t xml:space="preserve">Damuth, J., and C. M. Janis. 2011.</w:t>
      </w:r>
      <w:r>
        <w:t xml:space="preserve"> </w:t>
      </w:r>
      <w:hyperlink r:id="rId124">
        <w:r>
          <w:rPr>
            <w:rStyle w:val="Hyperlink"/>
          </w:rPr>
          <w:t xml:space="preserve">On the relationship between hypsodonty and feeding ecology in ungulate mammals, and its utility in palaeoecology</w:t>
        </w:r>
      </w:hyperlink>
      <w:r>
        <w:t xml:space="preserve">. Biological Reviews 86:733–758.</w:t>
      </w:r>
    </w:p>
    <w:bookmarkEnd w:id="125"/>
    <w:bookmarkStart w:id="127" w:name="ref-drury2016"/>
    <w:p>
      <w:pPr>
        <w:pStyle w:val="Bibliography"/>
      </w:pPr>
      <w:r>
        <w:t xml:space="preserve">Drury, J., J. Clavel, M. Manceau, and H. Morlon. 2016.</w:t>
      </w:r>
      <w:r>
        <w:t xml:space="preserve"> </w:t>
      </w:r>
      <w:hyperlink r:id="rId126">
        <w:r>
          <w:rPr>
            <w:rStyle w:val="Hyperlink"/>
          </w:rPr>
          <w:t xml:space="preserve">Estimating the effect of competition on trait evolution using maximum likelihood inference</w:t>
        </w:r>
      </w:hyperlink>
      <w:r>
        <w:t xml:space="preserve">. Systematic Biology 65:700–710.</w:t>
      </w:r>
    </w:p>
    <w:bookmarkEnd w:id="127"/>
    <w:bookmarkStart w:id="129" w:name="ref-dunn2013"/>
    <w:p>
      <w:pPr>
        <w:pStyle w:val="Bibliography"/>
      </w:pPr>
      <w:r>
        <w:t xml:space="preserve">Dunn, R. E., R. H. Madden, M. J. Kohn, M. D. Schmitz, C. A. E. Strömberg, A. A. Carlini, G. H. Ré, and J. Crowley. 2013.</w:t>
      </w:r>
      <w:r>
        <w:t xml:space="preserve"> </w:t>
      </w:r>
      <w:hyperlink r:id="rId128">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29"/>
    <w:bookmarkStart w:id="131" w:name="ref-esteve2025"/>
    <w:p>
      <w:pPr>
        <w:pStyle w:val="Bibliography"/>
      </w:pPr>
      <w:r>
        <w:t xml:space="preserve">Esteve, J. 2025.</w:t>
      </w:r>
      <w:r>
        <w:t xml:space="preserve"> </w:t>
      </w:r>
      <w:hyperlink r:id="rId130">
        <w:r>
          <w:rPr>
            <w:rStyle w:val="Hyperlink"/>
          </w:rPr>
          <w:t xml:space="preserve">When extinction expands morphospace: Lessons from trilobites</w:t>
        </w:r>
      </w:hyperlink>
      <w:r>
        <w:t xml:space="preserve">. Proceedings of the Royal Society B: Biological Sciences 292:20252245.</w:t>
      </w:r>
    </w:p>
    <w:bookmarkEnd w:id="131"/>
    <w:bookmarkStart w:id="133" w:name="ref-etienne2011"/>
    <w:p>
      <w:pPr>
        <w:pStyle w:val="Bibliography"/>
      </w:pPr>
      <w:r>
        <w:t xml:space="preserve">Etienne, R. S., B. Haegeman, T. Stadler, T. Aze, P. N. Pearson, A. Purvis, and A. B. Phillimore. 2011.</w:t>
      </w:r>
      <w:r>
        <w:t xml:space="preserve"> </w:t>
      </w:r>
      <w:hyperlink r:id="rId132">
        <w:r>
          <w:rPr>
            <w:rStyle w:val="Hyperlink"/>
          </w:rPr>
          <w:t xml:space="preserve">Diversity-dependence brings molecular phylogenies closer to agreement with the fossil record</w:t>
        </w:r>
      </w:hyperlink>
      <w:r>
        <w:t xml:space="preserve">. Proceedings of the Royal Society B: Biological Sciences 279:1300–1309.</w:t>
      </w:r>
    </w:p>
    <w:bookmarkEnd w:id="133"/>
    <w:bookmarkStart w:id="135" w:name="ref-faurby2016"/>
    <w:p>
      <w:pPr>
        <w:pStyle w:val="Bibliography"/>
      </w:pPr>
      <w:r>
        <w:t xml:space="preserve">Faurby, S., and J.-C. Svenning. 2016.</w:t>
      </w:r>
      <w:r>
        <w:t xml:space="preserve"> </w:t>
      </w:r>
      <w:hyperlink r:id="rId134">
        <w:r>
          <w:rPr>
            <w:rStyle w:val="Hyperlink"/>
          </w:rPr>
          <w:t xml:space="preserve">Resurrection of the island rule: Human-driven extinctions have obscured a basic evolutionary pattern</w:t>
        </w:r>
      </w:hyperlink>
      <w:r>
        <w:t xml:space="preserve">. The American Naturalist 187:812–820.</w:t>
      </w:r>
    </w:p>
    <w:bookmarkEnd w:id="135"/>
    <w:bookmarkStart w:id="137" w:name="ref-fernicola2019"/>
    <w:p>
      <w:pPr>
        <w:pStyle w:val="Bibliography"/>
      </w:pPr>
      <w:r>
        <w:t xml:space="preserve">Fernicola, J. C., S. F. Vizcaíno, M. S. Bargo, R. F. Kay, and J. I. Cuitiño. 2019.</w:t>
      </w:r>
      <w:r>
        <w:t xml:space="preserve"> </w:t>
      </w:r>
      <w:hyperlink r:id="rId136">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7"/>
    <w:bookmarkStart w:id="139" w:name="ref-flannery-sutherland2022"/>
    <w:p>
      <w:pPr>
        <w:pStyle w:val="Bibliography"/>
      </w:pPr>
      <w:r>
        <w:t xml:space="preserve">Flannery-Sutherland, J. T., D. Silvestro, and M. J. Benton. 2022.</w:t>
      </w:r>
      <w:r>
        <w:t xml:space="preserve"> </w:t>
      </w:r>
      <w:hyperlink r:id="rId138">
        <w:r>
          <w:rPr>
            <w:rStyle w:val="Hyperlink"/>
          </w:rPr>
          <w:t xml:space="preserve">Global diversity dynamics in the fossil record are regionally heterogeneous</w:t>
        </w:r>
      </w:hyperlink>
      <w:r>
        <w:t xml:space="preserve">. Nature Communications 13:2751.</w:t>
      </w:r>
    </w:p>
    <w:bookmarkEnd w:id="139"/>
    <w:bookmarkStart w:id="141" w:name="ref-foote1993"/>
    <w:p>
      <w:pPr>
        <w:pStyle w:val="Bibliography"/>
      </w:pPr>
      <w:r>
        <w:t xml:space="preserve">Foote, M. 1993.</w:t>
      </w:r>
      <w:r>
        <w:t xml:space="preserve"> </w:t>
      </w:r>
      <w:hyperlink r:id="rId140">
        <w:r>
          <w:rPr>
            <w:rStyle w:val="Hyperlink"/>
          </w:rPr>
          <w:t xml:space="preserve">Discordance and concordance between morphological and taxonomic diversity</w:t>
        </w:r>
      </w:hyperlink>
      <w:r>
        <w:t xml:space="preserve">. Paleobiology 19:185–204.</w:t>
      </w:r>
    </w:p>
    <w:bookmarkEnd w:id="141"/>
    <w:bookmarkStart w:id="143" w:name="ref-foote2007"/>
    <w:p>
      <w:pPr>
        <w:pStyle w:val="Bibliography"/>
      </w:pPr>
      <w:r>
        <w:t xml:space="preserve">Foote, M. 2007.</w:t>
      </w:r>
      <w:r>
        <w:t xml:space="preserve"> </w:t>
      </w:r>
      <w:hyperlink r:id="rId142">
        <w:r>
          <w:rPr>
            <w:rStyle w:val="Hyperlink"/>
          </w:rPr>
          <w:t xml:space="preserve">Symmetric waxing and waning of marine invertebrate genera</w:t>
        </w:r>
      </w:hyperlink>
      <w:r>
        <w:t xml:space="preserve">. Paleobiology 33:517–529.</w:t>
      </w:r>
    </w:p>
    <w:bookmarkEnd w:id="143"/>
    <w:bookmarkStart w:id="145" w:name="ref-foote1997"/>
    <w:p>
      <w:pPr>
        <w:pStyle w:val="Bibliography"/>
      </w:pPr>
      <w:r>
        <w:t xml:space="preserve">Foote, M. 1997.</w:t>
      </w:r>
      <w:r>
        <w:t xml:space="preserve"> </w:t>
      </w:r>
      <w:hyperlink r:id="rId144">
        <w:r>
          <w:rPr>
            <w:rStyle w:val="Hyperlink"/>
          </w:rPr>
          <w:t xml:space="preserve">The Evolution of Morphological Diversity</w:t>
        </w:r>
      </w:hyperlink>
      <w:r>
        <w:t xml:space="preserve">. Annual Review of Ecology, Evolution, and Systematics 28:129–152.</w:t>
      </w:r>
    </w:p>
    <w:bookmarkEnd w:id="145"/>
    <w:bookmarkStart w:id="147" w:name="ref-guayasamin2024"/>
    <w:p>
      <w:pPr>
        <w:pStyle w:val="Bibliography"/>
      </w:pPr>
      <w:r>
        <w:t xml:space="preserve">Guayasamin, J. M., C. C. Ribas, A. C. Carnaval, J. D. Carrillo, C. Hoorn, L. G. Lohmann, D. Riff, C. Ulloa Ulloa, and J. S. Albert. 2024.</w:t>
      </w:r>
      <w:r>
        <w:t xml:space="preserve"> </w:t>
      </w:r>
      <w:hyperlink r:id="rId146">
        <w:r>
          <w:rPr>
            <w:rStyle w:val="Hyperlink"/>
          </w:rPr>
          <w:t xml:space="preserve">Evolution of Amazonian biodiversity: A review</w:t>
        </w:r>
      </w:hyperlink>
      <w:r>
        <w:t xml:space="preserve">. Acta Amazonica 54:e54bc21360.</w:t>
      </w:r>
    </w:p>
    <w:bookmarkEnd w:id="147"/>
    <w:bookmarkStart w:id="149" w:name="ref-hagen2018"/>
    <w:p>
      <w:pPr>
        <w:pStyle w:val="Bibliography"/>
      </w:pPr>
      <w:r>
        <w:t xml:space="preserve">Hagen, O., T. Andermann, T. B. Quental, A. Antonelli, and D. Silvestro. 2018.</w:t>
      </w:r>
      <w:r>
        <w:t xml:space="preserve"> </w:t>
      </w:r>
      <w:hyperlink r:id="rId148">
        <w:r>
          <w:rPr>
            <w:rStyle w:val="Hyperlink"/>
          </w:rPr>
          <w:t xml:space="preserve">Estimating age-dependent extinction: Contrasting evidence from fossils and phylogenies</w:t>
        </w:r>
      </w:hyperlink>
      <w:r>
        <w:t xml:space="preserve">. Systematic Biology 67:458–474.</w:t>
      </w:r>
    </w:p>
    <w:bookmarkEnd w:id="149"/>
    <w:bookmarkStart w:id="151" w:name="ref-hauffe2024"/>
    <w:p>
      <w:pPr>
        <w:pStyle w:val="Bibliography"/>
      </w:pPr>
      <w:r>
        <w:t xml:space="preserve">Hauffe, T., J. L. Cantalapiedra, and D. Silvestro. 2024.</w:t>
      </w:r>
      <w:r>
        <w:t xml:space="preserve"> </w:t>
      </w:r>
      <w:hyperlink r:id="rId150">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1"/>
    <w:bookmarkStart w:id="153" w:name="ref-hernández2005"/>
    <w:p>
      <w:pPr>
        <w:pStyle w:val="Bibliography"/>
      </w:pPr>
      <w:r>
        <w:t xml:space="preserve">Hernández, R. M., T. E. Jordan, A. Dalenz Farjat, L. Echavarría, B. D. Idleman, and J. H. Reynolds. 2005.</w:t>
      </w:r>
      <w:r>
        <w:t xml:space="preserve"> </w:t>
      </w:r>
      <w:hyperlink r:id="rId152">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3"/>
    <w:bookmarkStart w:id="155" w:name="ref-hohmann2019"/>
    <w:p>
      <w:pPr>
        <w:pStyle w:val="Bibliography"/>
      </w:pPr>
      <w:r>
        <w:t xml:space="preserve">Hohmann, N., and E. Jarochowska. 2019.</w:t>
      </w:r>
      <w:r>
        <w:t xml:space="preserve"> </w:t>
      </w:r>
      <w:hyperlink r:id="rId154">
        <w:r>
          <w:rPr>
            <w:rStyle w:val="Hyperlink"/>
          </w:rPr>
          <w:t xml:space="preserve">Enforced symmetry: the necessity of symmetric waxing and waning</w:t>
        </w:r>
      </w:hyperlink>
      <w:r>
        <w:t xml:space="preserve">. PeerJ 7:e8011.</w:t>
      </w:r>
    </w:p>
    <w:bookmarkEnd w:id="155"/>
    <w:bookmarkStart w:id="156" w:name="ref-homerocamacho1967"/>
    <w:p>
      <w:pPr>
        <w:pStyle w:val="Bibliography"/>
      </w:pPr>
      <w:r>
        <w:t xml:space="preserve">Homero Camacho, H. 1967. Las transgresiones del cretácico superior y terciario de la argentina. Revista de la Asociación Geológica Argentina 22:253–280.</w:t>
      </w:r>
    </w:p>
    <w:bookmarkEnd w:id="156"/>
    <w:bookmarkStart w:id="158" w:name="ref-hoorn2022"/>
    <w:p>
      <w:pPr>
        <w:pStyle w:val="Bibliography"/>
      </w:pPr>
      <w:r>
        <w:t xml:space="preserve">Hoorn, C., L. M. Boschman, T. Kukla, M. Sciumbata, and P. Val. 2022.</w:t>
      </w:r>
      <w:r>
        <w:t xml:space="preserve"> </w:t>
      </w:r>
      <w:hyperlink r:id="rId157">
        <w:r>
          <w:rPr>
            <w:rStyle w:val="Hyperlink"/>
          </w:rPr>
          <w:t xml:space="preserve">The miocene wetland of western amazonia and its role in neotropical biogeography</w:t>
        </w:r>
      </w:hyperlink>
      <w:r>
        <w:t xml:space="preserve">. Botanical Journal of the Linnean Society 199:25–35.</w:t>
      </w:r>
    </w:p>
    <w:bookmarkEnd w:id="158"/>
    <w:bookmarkStart w:id="160" w:name="ref-hoorn1995"/>
    <w:p>
      <w:pPr>
        <w:pStyle w:val="Bibliography"/>
      </w:pPr>
      <w:r>
        <w:t xml:space="preserve">Hoorn, C., J. Guerrero, G. A. Sarmiento, and M. A. Lorente. 1995.</w:t>
      </w:r>
      <w:r>
        <w:t xml:space="preserve"> </w:t>
      </w:r>
      <w:hyperlink r:id="rId159">
        <w:r>
          <w:rPr>
            <w:rStyle w:val="Hyperlink"/>
          </w:rPr>
          <w:t xml:space="preserve">Andean tectonics as a cause for changing drainage patterns in Miocene northern South America</w:t>
        </w:r>
      </w:hyperlink>
      <w:r>
        <w:t xml:space="preserve">. Geology 23:237.</w:t>
      </w:r>
    </w:p>
    <w:bookmarkEnd w:id="160"/>
    <w:bookmarkStart w:id="162"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1">
        <w:r>
          <w:rPr>
            <w:rStyle w:val="Hyperlink"/>
          </w:rPr>
          <w:t xml:space="preserve">Amazonia through time: Andean uplift, climate change, landscape evolution, and biodiversity</w:t>
        </w:r>
      </w:hyperlink>
      <w:r>
        <w:t xml:space="preserve">. Science 330:927–931.</w:t>
      </w:r>
    </w:p>
    <w:bookmarkEnd w:id="162"/>
    <w:bookmarkStart w:id="164" w:name="ref-hullot2025"/>
    <w:p>
      <w:pPr>
        <w:pStyle w:val="Bibliography"/>
      </w:pPr>
      <w:r>
        <w:t xml:space="preserve">Hullot, M., C. Robinet, Q. Vautrin, R. Tabuce, P.-O. Antoine, G. Merceron, and F. Lihoreau. 2025.</w:t>
      </w:r>
      <w:r>
        <w:t xml:space="preserve"> </w:t>
      </w:r>
      <w:hyperlink r:id="rId163">
        <w:r>
          <w:rPr>
            <w:rStyle w:val="Hyperlink"/>
          </w:rPr>
          <w:t xml:space="preserve">Evolution of dietary preferences of the lophiodontidae (mammalia, perissodactyla) from southern france</w:t>
        </w:r>
      </w:hyperlink>
      <w:r>
        <w:t xml:space="preserve">. Palaeogeography, Palaeoclimatology, Palaeoecology 675:113076.</w:t>
      </w:r>
    </w:p>
    <w:bookmarkEnd w:id="164"/>
    <w:bookmarkStart w:id="166" w:name="ref-jablonski2017"/>
    <w:p>
      <w:pPr>
        <w:pStyle w:val="Bibliography"/>
      </w:pPr>
      <w:r>
        <w:t xml:space="preserve">Jablonski, D. 2017.</w:t>
      </w:r>
      <w:r>
        <w:t xml:space="preserve"> </w:t>
      </w:r>
      <w:hyperlink r:id="rId165">
        <w:r>
          <w:rPr>
            <w:rStyle w:val="Hyperlink"/>
          </w:rPr>
          <w:t xml:space="preserve">Approaches to Macroevolution: 2. Sorting of Variation, Some Overarching Issues, and General Conclusions</w:t>
        </w:r>
      </w:hyperlink>
      <w:r>
        <w:t xml:space="preserve">. Evolutionary Biology 44:451–475.</w:t>
      </w:r>
    </w:p>
    <w:bookmarkEnd w:id="166"/>
    <w:bookmarkStart w:id="167"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7"/>
    <w:bookmarkStart w:id="169"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8">
        <w:r>
          <w:rPr>
            <w:rStyle w:val="Hyperlink"/>
          </w:rPr>
          <w:t xml:space="preserve">Miocene flooding events of western amazonia</w:t>
        </w:r>
      </w:hyperlink>
      <w:r>
        <w:t xml:space="preserve">. Science Advances 3:e1601693.</w:t>
      </w:r>
    </w:p>
    <w:bookmarkEnd w:id="169"/>
    <w:bookmarkStart w:id="171" w:name="ref-jardine2012"/>
    <w:p>
      <w:pPr>
        <w:pStyle w:val="Bibliography"/>
      </w:pPr>
      <w:r>
        <w:t xml:space="preserve">Jardine, P. E., C. M. Janis, S. Sahney, and M. J. Benton. 2012.</w:t>
      </w:r>
      <w:r>
        <w:t xml:space="preserve"> </w:t>
      </w:r>
      <w:hyperlink r:id="rId170">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1"/>
    <w:bookmarkStart w:id="173" w:name="ref-kass1995"/>
    <w:p>
      <w:pPr>
        <w:pStyle w:val="Bibliography"/>
      </w:pPr>
      <w:r>
        <w:t xml:space="preserve">Kass, R. E., and A. E. Raftery. 1995.</w:t>
      </w:r>
      <w:r>
        <w:t xml:space="preserve"> </w:t>
      </w:r>
      <w:hyperlink r:id="rId172">
        <w:r>
          <w:rPr>
            <w:rStyle w:val="Hyperlink"/>
          </w:rPr>
          <w:t xml:space="preserve">Bayes factors</w:t>
        </w:r>
      </w:hyperlink>
      <w:r>
        <w:t xml:space="preserve">. Journal of the American Statistical Association 90:773–795.</w:t>
      </w:r>
    </w:p>
    <w:bookmarkEnd w:id="173"/>
    <w:bookmarkStart w:id="175" w:name="ref-lehtonen2017"/>
    <w:p>
      <w:pPr>
        <w:pStyle w:val="Bibliography"/>
      </w:pPr>
      <w:r>
        <w:t xml:space="preserve">Lehtonen, S., D. Silvestro, D. N. Karger, C. Scotese, H. Tuomisto, M. Kessler, C. Peña, N. Wahlberg, and A. Antonelli. 2017.</w:t>
      </w:r>
      <w:r>
        <w:t xml:space="preserve"> </w:t>
      </w:r>
      <w:hyperlink r:id="rId174">
        <w:r>
          <w:rPr>
            <w:rStyle w:val="Hyperlink"/>
          </w:rPr>
          <w:t xml:space="preserve">Environmentally driven extinction and opportunistic origination explain fern diversification patterns</w:t>
        </w:r>
      </w:hyperlink>
      <w:r>
        <w:t xml:space="preserve">. Scientific Reports 7:4831.</w:t>
      </w:r>
    </w:p>
    <w:bookmarkEnd w:id="175"/>
    <w:bookmarkStart w:id="177" w:name="ref-liow2008"/>
    <w:p>
      <w:pPr>
        <w:pStyle w:val="Bibliography"/>
      </w:pPr>
      <w:r>
        <w:t xml:space="preserve">Liow, L. H., M. Fortelius, E. Bingham, K. Lintulaakso, H. Mannila, L. Flynn, and N. Chr. Stenseth. 2008.</w:t>
      </w:r>
      <w:r>
        <w:t xml:space="preserve"> </w:t>
      </w:r>
      <w:hyperlink r:id="rId176">
        <w:r>
          <w:rPr>
            <w:rStyle w:val="Hyperlink"/>
          </w:rPr>
          <w:t xml:space="preserve">Higher origination and extinction rates in larger mammals</w:t>
        </w:r>
      </w:hyperlink>
      <w:r>
        <w:t xml:space="preserve">. Proceedings of the National Academy of Sciences 105:6097–6102.</w:t>
      </w:r>
    </w:p>
    <w:bookmarkEnd w:id="177"/>
    <w:bookmarkStart w:id="179" w:name="ref-liow2010"/>
    <w:p>
      <w:pPr>
        <w:pStyle w:val="Bibliography"/>
      </w:pPr>
      <w:r>
        <w:t xml:space="preserve">Liow, L. H., T. B. Quental, and C. R. Marshall. 2010.</w:t>
      </w:r>
      <w:r>
        <w:t xml:space="preserve"> </w:t>
      </w:r>
      <w:hyperlink r:id="rId178">
        <w:r>
          <w:rPr>
            <w:rStyle w:val="Hyperlink"/>
          </w:rPr>
          <w:t xml:space="preserve">When can decreasing diversification rates be detected with molecular phylogenies and the fossil record?</w:t>
        </w:r>
      </w:hyperlink>
      <w:r>
        <w:t xml:space="preserve"> Systematic Biology 59:646–659.</w:t>
      </w:r>
    </w:p>
    <w:bookmarkEnd w:id="179"/>
    <w:bookmarkStart w:id="181" w:name="ref-lomolino2005"/>
    <w:p>
      <w:pPr>
        <w:pStyle w:val="Bibliography"/>
      </w:pPr>
      <w:r>
        <w:t xml:space="preserve">Lomolino, M. V. 2005.</w:t>
      </w:r>
      <w:r>
        <w:t xml:space="preserve"> </w:t>
      </w:r>
      <w:hyperlink r:id="rId180">
        <w:r>
          <w:rPr>
            <w:rStyle w:val="Hyperlink"/>
          </w:rPr>
          <w:t xml:space="preserve">Body size evolution in insular vertebrates: Generality of the island rule</w:t>
        </w:r>
      </w:hyperlink>
      <w:r>
        <w:t xml:space="preserve">. Journal of Biogeography 32:1683–1699.</w:t>
      </w:r>
    </w:p>
    <w:bookmarkEnd w:id="181"/>
    <w:bookmarkStart w:id="183" w:name="ref-macfadden2000"/>
    <w:p>
      <w:pPr>
        <w:pStyle w:val="Bibliography"/>
      </w:pPr>
      <w:r>
        <w:t xml:space="preserve">MacFadden, B. J. 2000.</w:t>
      </w:r>
      <w:r>
        <w:t xml:space="preserve"> </w:t>
      </w:r>
      <w:hyperlink r:id="rId182">
        <w:r>
          <w:rPr>
            <w:rStyle w:val="Hyperlink"/>
          </w:rPr>
          <w:t xml:space="preserve">Cenozoic mammalian herbivores from the americas: Reconstructing ancient diets and terrestrial communities</w:t>
        </w:r>
      </w:hyperlink>
      <w:r>
        <w:t xml:space="preserve">. Annual Review of Ecology and Systematics 31:33–59.</w:t>
      </w:r>
    </w:p>
    <w:bookmarkEnd w:id="183"/>
    <w:bookmarkStart w:id="185" w:name="ref-macphee2011"/>
    <w:p>
      <w:pPr>
        <w:pStyle w:val="Bibliography"/>
      </w:pPr>
      <w:r>
        <w:t xml:space="preserve">MacPhee, R. D. E. 2011.</w:t>
      </w:r>
      <w:r>
        <w:t xml:space="preserve"> </w:t>
      </w:r>
      <w:hyperlink r:id="rId184">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5"/>
    <w:bookmarkStart w:id="187" w:name="ref-marion_bioluminescence_2025"/>
    <w:p>
      <w:pPr>
        <w:pStyle w:val="Bibliography"/>
      </w:pPr>
      <w:r>
        <w:t xml:space="preserve">Marion, A. F. P., F. L. Condamine, and G. Guinot. 2025.</w:t>
      </w:r>
      <w:r>
        <w:t xml:space="preserve"> </w:t>
      </w:r>
      <w:hyperlink r:id="rId186">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7"/>
    <w:bookmarkStart w:id="189" w:name="ref-marivaux2022"/>
    <w:p>
      <w:pPr>
        <w:pStyle w:val="Bibliography"/>
      </w:pPr>
      <w:r>
        <w:t xml:space="preserve">Marivaux, L., L. W. V. López, M. Boivin, L. Da Cunha, P.-H. Fabre, R. Joannes-Boyau, G. Maincent, P. Münch, N. S. Stutz, J. Vélez-Juarbe, and P.-O. Antoine. 2022.</w:t>
      </w:r>
      <w:r>
        <w:t xml:space="preserve"> </w:t>
      </w:r>
      <w:hyperlink r:id="rId188">
        <w:r>
          <w:rPr>
            <w:rStyle w:val="Hyperlink"/>
          </w:rPr>
          <w:t xml:space="preserve">Incisor enamel microstructure of West Indian caviomorph hystricognathous rodents (Octodontoidea and Chinchilloidea)</w:t>
        </w:r>
      </w:hyperlink>
      <w:r>
        <w:t xml:space="preserve">. Journal of Mammalian Evolution 29:969–995.</w:t>
      </w:r>
    </w:p>
    <w:bookmarkEnd w:id="189"/>
    <w:bookmarkStart w:id="191"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0">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1"/>
    <w:bookmarkStart w:id="193" w:name="ref-marshall1982"/>
    <w:p>
      <w:pPr>
        <w:pStyle w:val="Bibliography"/>
      </w:pPr>
      <w:r>
        <w:t xml:space="preserve">Marshall, L. G., S. D. Webb, J. J. Sepkoski, and D. M. Raup. 1982.</w:t>
      </w:r>
      <w:r>
        <w:t xml:space="preserve"> </w:t>
      </w:r>
      <w:hyperlink r:id="rId192">
        <w:r>
          <w:rPr>
            <w:rStyle w:val="Hyperlink"/>
          </w:rPr>
          <w:t xml:space="preserve">Mammalian evolution and the great american interchange</w:t>
        </w:r>
      </w:hyperlink>
      <w:r>
        <w:t xml:space="preserve">. Science 215:1351–1357.</w:t>
      </w:r>
    </w:p>
    <w:bookmarkEnd w:id="193"/>
    <w:bookmarkStart w:id="195" w:name="ref-mcfarlane1998"/>
    <w:p>
      <w:pPr>
        <w:pStyle w:val="Bibliography"/>
      </w:pPr>
      <w:r>
        <w:t xml:space="preserve">McFarlane, D. A., R. D. E. MacPhee, and D. C. Ford. 1998.</w:t>
      </w:r>
      <w:r>
        <w:t xml:space="preserve"> </w:t>
      </w:r>
      <w:hyperlink r:id="rId194">
        <w:r>
          <w:rPr>
            <w:rStyle w:val="Hyperlink"/>
          </w:rPr>
          <w:t xml:space="preserve">Body Size Variability and a Sangamonian Extinction Model for Amblyrhiza,a West Indian Megafaunal Rodent</w:t>
        </w:r>
      </w:hyperlink>
      <w:r>
        <w:t xml:space="preserve">. Quaternary Research 50:80–89.</w:t>
      </w:r>
    </w:p>
    <w:bookmarkEnd w:id="195"/>
    <w:bookmarkStart w:id="197" w:name="ref-meiri2007"/>
    <w:p>
      <w:pPr>
        <w:pStyle w:val="Bibliography"/>
      </w:pPr>
      <w:r>
        <w:t xml:space="preserve">Meiri, S., N. Cooper, and A. Purvis. 2007.</w:t>
      </w:r>
      <w:r>
        <w:t xml:space="preserve"> </w:t>
      </w:r>
      <w:hyperlink r:id="rId196">
        <w:r>
          <w:rPr>
            <w:rStyle w:val="Hyperlink"/>
          </w:rPr>
          <w:t xml:space="preserve">The island rule: Made to be broken?</w:t>
        </w:r>
      </w:hyperlink>
      <w:r>
        <w:t xml:space="preserve"> Proceedings of the Royal Society B: Biological Sciences 275:141–148.</w:t>
      </w:r>
    </w:p>
    <w:bookmarkEnd w:id="197"/>
    <w:bookmarkStart w:id="199" w:name="ref-miller2020"/>
    <w:p>
      <w:pPr>
        <w:pStyle w:val="Bibliography"/>
      </w:pPr>
      <w:r>
        <w:t xml:space="preserve">Miller, K. G., J. V. Browning, W. J. Schmelz, R. E. Kopp, G. S. Mountain, and J. D. Wright. 2020.</w:t>
      </w:r>
      <w:r>
        <w:t xml:space="preserve"> </w:t>
      </w:r>
      <w:hyperlink r:id="rId198">
        <w:r>
          <w:rPr>
            <w:rStyle w:val="Hyperlink"/>
          </w:rPr>
          <w:t xml:space="preserve">Cenozoic sea-level and cryospheric evolution from deep-sea geochemical and continental margin records</w:t>
        </w:r>
      </w:hyperlink>
      <w:r>
        <w:t xml:space="preserve">. Science Advances 6:eaaz1346.</w:t>
      </w:r>
    </w:p>
    <w:bookmarkEnd w:id="199"/>
    <w:bookmarkStart w:id="201" w:name="ref-mones1982"/>
    <w:p>
      <w:pPr>
        <w:pStyle w:val="Bibliography"/>
      </w:pPr>
      <w:r>
        <w:t xml:space="preserve">Mones, A. 1982.</w:t>
      </w:r>
      <w:r>
        <w:t xml:space="preserve"> </w:t>
      </w:r>
      <w:hyperlink r:id="rId200">
        <w:r>
          <w:rPr>
            <w:rStyle w:val="Hyperlink"/>
          </w:rPr>
          <w:t xml:space="preserve">An equivocal nomenclature: What means hypsodonty?</w:t>
        </w:r>
      </w:hyperlink>
      <w:r>
        <w:t xml:space="preserve"> Paläontologische Zeitschrift 56:107–111.</w:t>
      </w:r>
    </w:p>
    <w:bookmarkEnd w:id="201"/>
    <w:bookmarkStart w:id="203"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2">
        <w:r>
          <w:rPr>
            <w:rStyle w:val="Hyperlink"/>
          </w:rPr>
          <w:t xml:space="preserve">10.1146/annurev-ecolsys-102722-020508</w:t>
        </w:r>
      </w:hyperlink>
      <w:r>
        <w:t xml:space="preserve">.</w:t>
      </w:r>
    </w:p>
    <w:bookmarkEnd w:id="203"/>
    <w:bookmarkStart w:id="205" w:name="ref-muñoz2023"/>
    <w:p>
      <w:pPr>
        <w:pStyle w:val="Bibliography"/>
      </w:pPr>
      <w:r>
        <w:t xml:space="preserve">Muñoz, C. O. R., R. Bonini, S. Hemming, M. Cenizo, U. F. J. Pardiñas, and F. J. Prevosti. 2023.</w:t>
      </w:r>
      <w:r>
        <w:t xml:space="preserve"> </w:t>
      </w:r>
      <w:hyperlink r:id="rId204">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5"/>
    <w:bookmarkStart w:id="206"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6"/>
    <w:bookmarkStart w:id="208" w:name="ref-neige2026"/>
    <w:p>
      <w:pPr>
        <w:pStyle w:val="Bibliography"/>
      </w:pPr>
      <w:r>
        <w:t xml:space="preserve">Neige, P., and T. van Tiel. 2026.</w:t>
      </w:r>
      <w:r>
        <w:t xml:space="preserve"> </w:t>
      </w:r>
      <w:hyperlink r:id="rId207">
        <w:r>
          <w:rPr>
            <w:rStyle w:val="Hyperlink"/>
          </w:rPr>
          <w:t xml:space="preserve">Background extinction due to species specialization? Insights from a high-resolution Jurassic ammonoid case study (Dactylioceratidae)</w:t>
        </w:r>
      </w:hyperlink>
      <w:r>
        <w:t xml:space="preserve">. Paleobiology 1–17.</w:t>
      </w:r>
    </w:p>
    <w:bookmarkEnd w:id="208"/>
    <w:bookmarkStart w:id="210" w:name="ref-ogg2020"/>
    <w:p>
      <w:pPr>
        <w:pStyle w:val="Bibliography"/>
      </w:pPr>
      <w:r>
        <w:t xml:space="preserve">Ogg, J. G. 2020.</w:t>
      </w:r>
      <w:r>
        <w:t xml:space="preserve"> </w:t>
      </w:r>
      <w:hyperlink r:id="rId209">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10"/>
    <w:bookmarkStart w:id="212" w:name="ref-paiva2026"/>
    <w:p>
      <w:pPr>
        <w:pStyle w:val="Bibliography"/>
      </w:pPr>
      <w:r>
        <w:t xml:space="preserve">Paiva, A. L., P. Godoy, D. dos Santos, M. Langer, and P. Mannion. 2026.</w:t>
      </w:r>
      <w:r>
        <w:t xml:space="preserve"> </w:t>
      </w:r>
      <w:hyperlink r:id="rId211">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2"/>
    <w:bookmarkStart w:id="214" w:name="ref-palazzesi2012"/>
    <w:p>
      <w:pPr>
        <w:pStyle w:val="Bibliography"/>
      </w:pPr>
      <w:r>
        <w:t xml:space="preserve">Palazzesi, L., and V. Barreda. 2012.</w:t>
      </w:r>
      <w:r>
        <w:t xml:space="preserve"> </w:t>
      </w:r>
      <w:hyperlink r:id="rId213">
        <w:r>
          <w:rPr>
            <w:rStyle w:val="Hyperlink"/>
          </w:rPr>
          <w:t xml:space="preserve">Fossil pollen records reveal a late rise of open-habitat ecosystems in Patagonia</w:t>
        </w:r>
      </w:hyperlink>
      <w:r>
        <w:t xml:space="preserve">. Nature Communications 3:1294.</w:t>
      </w:r>
    </w:p>
    <w:bookmarkEnd w:id="214"/>
    <w:bookmarkStart w:id="215" w:name="ref-pascual1996"/>
    <w:p>
      <w:pPr>
        <w:pStyle w:val="Bibliography"/>
      </w:pPr>
      <w:r>
        <w:t xml:space="preserve">Pascual, R., E. Ortiz-Jaureguizar, and J. L. Prado. 1996. Land mammals: Paradigm for cenozoic south american geobiotic evolution. Pp. 265–319</w:t>
      </w:r>
      <w:r>
        <w:t xml:space="preserve"> </w:t>
      </w:r>
      <w:r>
        <w:rPr>
          <w:i/>
          <w:iCs/>
        </w:rPr>
        <w:t xml:space="preserve">in</w:t>
      </w:r>
      <w:r>
        <w:t xml:space="preserve">.</w:t>
      </w:r>
    </w:p>
    <w:bookmarkEnd w:id="215"/>
    <w:bookmarkStart w:id="217" w:name="ref-patton2015"/>
    <w:p>
      <w:pPr>
        <w:pStyle w:val="Bibliography"/>
      </w:pPr>
      <w:r>
        <w:t xml:space="preserve">Patton, J. L., U. F. J. Pardiñas, and G. D’Elía. 2015.</w:t>
      </w:r>
      <w:r>
        <w:t xml:space="preserve"> </w:t>
      </w:r>
      <w:hyperlink r:id="rId216">
        <w:r>
          <w:rPr>
            <w:rStyle w:val="Hyperlink"/>
          </w:rPr>
          <w:t xml:space="preserve">Mammals of South America, Volume 2: Rodents</w:t>
        </w:r>
      </w:hyperlink>
      <w:r>
        <w:t xml:space="preserve">. University of Chicago Press, Chicago, IL.</w:t>
      </w:r>
    </w:p>
    <w:bookmarkEnd w:id="217"/>
    <w:bookmarkStart w:id="219" w:name="ref-pérez_new_2010"/>
    <w:p>
      <w:pPr>
        <w:pStyle w:val="Bibliography"/>
      </w:pPr>
      <w:r>
        <w:t xml:space="preserve">Pérez, M. E. 2010.</w:t>
      </w:r>
      <w:r>
        <w:t xml:space="preserve"> </w:t>
      </w:r>
      <w:hyperlink r:id="rId218">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19"/>
    <w:bookmarkStart w:id="221" w:name="ref-pimiento2019"/>
    <w:p>
      <w:pPr>
        <w:pStyle w:val="Bibliography"/>
      </w:pPr>
      <w:r>
        <w:t xml:space="preserve">Pimiento, C., J. L. Cantalapiedra, K. Shimada, D. J. Field, and J. B. Smaers. 2019.</w:t>
      </w:r>
      <w:r>
        <w:t xml:space="preserve"> </w:t>
      </w:r>
      <w:hyperlink r:id="rId220">
        <w:r>
          <w:rPr>
            <w:rStyle w:val="Hyperlink"/>
          </w:rPr>
          <w:t xml:space="preserve">Evolutionary pathways toward gigantism in sharks and rays</w:t>
        </w:r>
      </w:hyperlink>
      <w:r>
        <w:t xml:space="preserve">. Evolution 73:588–599.</w:t>
      </w:r>
    </w:p>
    <w:bookmarkEnd w:id="221"/>
    <w:bookmarkStart w:id="223" w:name="ref-quintero_loss_2025"/>
    <w:p>
      <w:pPr>
        <w:pStyle w:val="Bibliography"/>
      </w:pPr>
      <w:r>
        <w:t xml:space="preserve">Quintero, I., J. Andréoletti, D. Silvestro, and H. Morlon. 2025.</w:t>
      </w:r>
      <w:r>
        <w:t xml:space="preserve"> </w:t>
      </w:r>
      <w:hyperlink r:id="rId222">
        <w:r>
          <w:rPr>
            <w:rStyle w:val="Hyperlink"/>
          </w:rPr>
          <w:t xml:space="preserve">Loss of macroevolutionary species fitness explains the rise and fall of clades</w:t>
        </w:r>
      </w:hyperlink>
      <w:r>
        <w:t xml:space="preserve">. Nat Ecol Evol 1–12. Nature Publishing Group.</w:t>
      </w:r>
    </w:p>
    <w:bookmarkEnd w:id="223"/>
    <w:bookmarkStart w:id="224" w:name="ref-rasia2026"/>
    <w:p>
      <w:pPr>
        <w:pStyle w:val="Bibliography"/>
      </w:pPr>
      <w:r>
        <w:t xml:space="preserve">Rasia, L. L. 2026. Reassessing the hyperdiverse dinomyid (rodentia, caviomorpha) assemblage from the late miocene ituzaingó formation (entre ríos province, argentina). Ameghiniana.</w:t>
      </w:r>
    </w:p>
    <w:bookmarkEnd w:id="224"/>
    <w:bookmarkStart w:id="226" w:name="ref-rasia_reappraisal_2018"/>
    <w:p>
      <w:pPr>
        <w:pStyle w:val="Bibliography"/>
      </w:pPr>
      <w:r>
        <w:t xml:space="preserve">Rasia, L. L., and A. M. Candela. 2018.</w:t>
      </w:r>
      <w:r>
        <w:t xml:space="preserve"> </w:t>
      </w:r>
      <w:hyperlink r:id="rId225">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6"/>
    <w:bookmarkStart w:id="228" w:name="ref-rasia_comprehensive_2021"/>
    <w:p>
      <w:pPr>
        <w:pStyle w:val="Bibliography"/>
      </w:pPr>
      <w:r>
        <w:t xml:space="preserve">Rasia, L. L., A. M. Candela, and C. Cañón. 2021.</w:t>
      </w:r>
      <w:r>
        <w:t xml:space="preserve"> </w:t>
      </w:r>
      <w:hyperlink r:id="rId227">
        <w:r>
          <w:rPr>
            <w:rStyle w:val="Hyperlink"/>
          </w:rPr>
          <w:t xml:space="preserve">Comprehensive total evidence phylogeny of chinchillids (rodentia, caviomorpha): Cheek teeth anatomy and evolution</w:t>
        </w:r>
      </w:hyperlink>
      <w:r>
        <w:t xml:space="preserve">. Journal of Anatomy 239:405–423.</w:t>
      </w:r>
    </w:p>
    <w:bookmarkEnd w:id="228"/>
    <w:bookmarkStart w:id="230" w:name="ref-rasia2024"/>
    <w:p>
      <w:pPr>
        <w:pStyle w:val="Bibliography"/>
      </w:pPr>
      <w:r>
        <w:t xml:space="preserve">Rasia, L. L., C. I. Montalvo, R. Sostillo, L. Kerber, and R. L. Tomassini. 2024.</w:t>
      </w:r>
      <w:r>
        <w:t xml:space="preserve"> </w:t>
      </w:r>
      <w:hyperlink r:id="rId229">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0"/>
    <w:bookmarkStart w:id="232" w:name="ref-raup1986"/>
    <w:p>
      <w:pPr>
        <w:pStyle w:val="Bibliography"/>
      </w:pPr>
      <w:r>
        <w:t xml:space="preserve">Raup, D. M. 1986.</w:t>
      </w:r>
      <w:r>
        <w:t xml:space="preserve"> </w:t>
      </w:r>
      <w:hyperlink r:id="rId231">
        <w:r>
          <w:rPr>
            <w:rStyle w:val="Hyperlink"/>
          </w:rPr>
          <w:t xml:space="preserve">Biological extinction in earth history</w:t>
        </w:r>
      </w:hyperlink>
      <w:r>
        <w:t xml:space="preserve">. Science 231:1528–1533.</w:t>
      </w:r>
    </w:p>
    <w:bookmarkEnd w:id="232"/>
    <w:bookmarkStart w:id="234" w:name="ref-rinderknecht2008"/>
    <w:p>
      <w:pPr>
        <w:pStyle w:val="Bibliography"/>
      </w:pPr>
      <w:r>
        <w:t xml:space="preserve">Rinderknecht, A., and R. E. Blanco. 2008.</w:t>
      </w:r>
      <w:r>
        <w:t xml:space="preserve"> </w:t>
      </w:r>
      <w:hyperlink r:id="rId233">
        <w:r>
          <w:rPr>
            <w:rStyle w:val="Hyperlink"/>
          </w:rPr>
          <w:t xml:space="preserve">The largest fossil rodent</w:t>
        </w:r>
      </w:hyperlink>
      <w:r>
        <w:t xml:space="preserve">. Proceedings of the Royal Society B: Biological Sciences 275:923–928.</w:t>
      </w:r>
    </w:p>
    <w:bookmarkEnd w:id="234"/>
    <w:bookmarkStart w:id="236" w:name="ref-robinet2020"/>
    <w:p>
      <w:pPr>
        <w:pStyle w:val="Bibliography"/>
      </w:pPr>
      <w:r>
        <w:t xml:space="preserve">Robinet, C., G. Merceron, A. M. Candela, and L. Marivaux. 2020.</w:t>
      </w:r>
      <w:r>
        <w:t xml:space="preserve"> </w:t>
      </w:r>
      <w:hyperlink r:id="rId235">
        <w:r>
          <w:rPr>
            <w:rStyle w:val="Hyperlink"/>
          </w:rPr>
          <w:t xml:space="preserve">Dental microwear texture analysis and diet in caviomorphs (rodentia) from the serra do mar atlantic forest (brazil)</w:t>
        </w:r>
      </w:hyperlink>
      <w:r>
        <w:t xml:space="preserve">. Journal of Mammalogy 101:386–402.</w:t>
      </w:r>
    </w:p>
    <w:bookmarkEnd w:id="236"/>
    <w:bookmarkStart w:id="238" w:name="ref-salas-gismondi2015"/>
    <w:p>
      <w:pPr>
        <w:pStyle w:val="Bibliography"/>
      </w:pPr>
      <w:r>
        <w:t xml:space="preserve">Salas-Gismondi, R., J. J. Flynn, P. Baby, J. V. Tejada-Lara, F. P. Wesselingh, and P.-O. Antoine. 2015.</w:t>
      </w:r>
      <w:r>
        <w:t xml:space="preserve"> </w:t>
      </w:r>
      <w:hyperlink r:id="rId237">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8"/>
    <w:bookmarkStart w:id="240" w:name="ref-sánchez-villagra2003"/>
    <w:p>
      <w:pPr>
        <w:pStyle w:val="Bibliography"/>
      </w:pPr>
      <w:r>
        <w:t xml:space="preserve">Sánchez-Villagra, M. R., O. Aguilera, and I. Horovitz. 2003.</w:t>
      </w:r>
      <w:r>
        <w:t xml:space="preserve"> </w:t>
      </w:r>
      <w:hyperlink r:id="rId239">
        <w:r>
          <w:rPr>
            <w:rStyle w:val="Hyperlink"/>
          </w:rPr>
          <w:t xml:space="preserve">The anatomy of the world’s largest extinct rodent</w:t>
        </w:r>
      </w:hyperlink>
      <w:r>
        <w:t xml:space="preserve">. Science 301:1708–1710.</w:t>
      </w:r>
    </w:p>
    <w:bookmarkEnd w:id="240"/>
    <w:bookmarkStart w:id="242"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1">
        <w:r>
          <w:rPr>
            <w:rStyle w:val="Hyperlink"/>
          </w:rPr>
          <w:t xml:space="preserve">Biology of the sauropod dinosaurs: the evolution of gigantism</w:t>
        </w:r>
      </w:hyperlink>
      <w:r>
        <w:t xml:space="preserve">. Biological Reviews 86:117–155.</w:t>
      </w:r>
    </w:p>
    <w:bookmarkEnd w:id="242"/>
    <w:bookmarkStart w:id="244" w:name="ref-silvestro2019"/>
    <w:p>
      <w:pPr>
        <w:pStyle w:val="Bibliography"/>
      </w:pPr>
      <w:r>
        <w:t xml:space="preserve">Silvestro, D., N. Salamin, A. Antonelli, and X. Meyer. 2019.</w:t>
      </w:r>
      <w:r>
        <w:t xml:space="preserve"> </w:t>
      </w:r>
      <w:hyperlink r:id="rId243">
        <w:r>
          <w:rPr>
            <w:rStyle w:val="Hyperlink"/>
          </w:rPr>
          <w:t xml:space="preserve">Improved estimation of macroevolutionary rates from fossil data using a Bayesian framework</w:t>
        </w:r>
      </w:hyperlink>
      <w:r>
        <w:t xml:space="preserve">. Paleobiology 45:546–570.</w:t>
      </w:r>
    </w:p>
    <w:bookmarkEnd w:id="244"/>
    <w:bookmarkStart w:id="246" w:name="ref-silvestro2014"/>
    <w:p>
      <w:pPr>
        <w:pStyle w:val="Bibliography"/>
      </w:pPr>
      <w:r>
        <w:t xml:space="preserve">Silvestro, D., N. Salamin, and J. Schnitzler. 2014.</w:t>
      </w:r>
      <w:r>
        <w:t xml:space="preserve"> </w:t>
      </w:r>
      <w:hyperlink r:id="rId245">
        <w:r>
          <w:rPr>
            <w:rStyle w:val="Hyperlink"/>
          </w:rPr>
          <w:t xml:space="preserve">PyRate: a new program to estimate speciation and extinction rates from incomplete fossil data</w:t>
        </w:r>
      </w:hyperlink>
      <w:r>
        <w:t xml:space="preserve">. Methods in Ecology and Evolution 5:1126–1131.</w:t>
      </w:r>
    </w:p>
    <w:bookmarkEnd w:id="246"/>
    <w:bookmarkStart w:id="247" w:name="ref-simpson1980"/>
    <w:p>
      <w:pPr>
        <w:pStyle w:val="Bibliography"/>
      </w:pPr>
      <w:r>
        <w:t xml:space="preserve">Simpson, G. G. 1980. Splendid isolation : The curious history of south american mammals. Yale University Press, New Haven.</w:t>
      </w:r>
    </w:p>
    <w:bookmarkEnd w:id="247"/>
    <w:bookmarkStart w:id="249" w:name="ref-solórzano2024"/>
    <w:p>
      <w:pPr>
        <w:pStyle w:val="Bibliography"/>
      </w:pPr>
      <w:r>
        <w:t xml:space="preserve">Solórzano, A., M. Núñez-Flores, and E. Rodríguez-Serrano. 2024.</w:t>
      </w:r>
      <w:r>
        <w:t xml:space="preserve"> </w:t>
      </w:r>
      <w:hyperlink r:id="rId248">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49"/>
    <w:bookmarkStart w:id="250"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w:t>
      </w:r>
      <w:r>
        <w:t xml:space="preserve">Flowering plants: Evolution above the species level. Cambridge, Mass.</w:t>
      </w:r>
    </w:p>
    <w:bookmarkEnd w:id="250"/>
    <w:bookmarkStart w:id="252" w:name="ref-strömberg2013"/>
    <w:p>
      <w:pPr>
        <w:pStyle w:val="Bibliography"/>
      </w:pPr>
      <w:r>
        <w:t xml:space="preserve">Strömberg, C. A. E., R. E. Dunn, R. H. Madden, M. J. Kohn, and A. A. Carlini. 2013.</w:t>
      </w:r>
      <w:r>
        <w:t xml:space="preserve"> </w:t>
      </w:r>
      <w:hyperlink r:id="rId251">
        <w:r>
          <w:rPr>
            <w:rStyle w:val="Hyperlink"/>
          </w:rPr>
          <w:t xml:space="preserve">Decoupling the spread of grasslands from the evolution of grazer-type herbivores in South America</w:t>
        </w:r>
      </w:hyperlink>
      <w:r>
        <w:t xml:space="preserve">. Nature Communications 4:1478.</w:t>
      </w:r>
    </w:p>
    <w:bookmarkEnd w:id="252"/>
    <w:bookmarkStart w:id="254" w:name="ref-tardif2025"/>
    <w:p>
      <w:pPr>
        <w:pStyle w:val="Bibliography"/>
      </w:pPr>
      <w:r>
        <w:t xml:space="preserve">Tardif, D., F. L. Condamine, S. J. R. Streiff, P. Sepulchre, and T. L. P. Couvreur. 2025.</w:t>
      </w:r>
      <w:r>
        <w:t xml:space="preserve"> </w:t>
      </w:r>
      <w:hyperlink r:id="rId253">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4"/>
    <w:bookmarkStart w:id="256" w:name="ref-tarquini2022"/>
    <w:p>
      <w:pPr>
        <w:pStyle w:val="Bibliography"/>
      </w:pPr>
      <w:r>
        <w:t xml:space="preserve">Tarquini, S. D., S. Ladevèze, and F. J. Prevosti. 2022.</w:t>
      </w:r>
      <w:r>
        <w:t xml:space="preserve"> </w:t>
      </w:r>
      <w:hyperlink r:id="rId255">
        <w:r>
          <w:rPr>
            <w:rStyle w:val="Hyperlink"/>
          </w:rPr>
          <w:t xml:space="preserve">The multicausal twilight of South American native mammalian predators (Metatheria, Sparassodonta)</w:t>
        </w:r>
      </w:hyperlink>
      <w:r>
        <w:t xml:space="preserve">. Scientific Reports 12:1224.</w:t>
      </w:r>
    </w:p>
    <w:bookmarkEnd w:id="256"/>
    <w:bookmarkStart w:id="258" w:name="ref-upham2019"/>
    <w:p>
      <w:pPr>
        <w:pStyle w:val="Bibliography"/>
      </w:pPr>
      <w:r>
        <w:t xml:space="preserve">Upham, N. S., J. A. Esselstyn, and W. Jetz. 2019.</w:t>
      </w:r>
      <w:r>
        <w:t xml:space="preserve"> </w:t>
      </w:r>
      <w:hyperlink r:id="rId257">
        <w:r>
          <w:rPr>
            <w:rStyle w:val="Hyperlink"/>
          </w:rPr>
          <w:t xml:space="preserve">Inferring the mammal tree: Species-level sets of phylogenies for questions in ecology, evolution, and conservation</w:t>
        </w:r>
      </w:hyperlink>
      <w:r>
        <w:t xml:space="preserve">. PLOS Biology 17:e3000494.</w:t>
      </w:r>
    </w:p>
    <w:bookmarkEnd w:id="258"/>
    <w:bookmarkStart w:id="260" w:name="ref-upham2026"/>
    <w:p>
      <w:pPr>
        <w:pStyle w:val="Bibliography"/>
      </w:pPr>
      <w:r>
        <w:t xml:space="preserve">Upham, N., C. Burgin, J. Widness, S. Liphardt, C. Parker, M. Becker, I. Rochon, D. Huckaby, and J. Zijlstra. 2026.</w:t>
      </w:r>
      <w:r>
        <w:t xml:space="preserve"> </w:t>
      </w:r>
      <w:hyperlink r:id="rId259">
        <w:r>
          <w:rPr>
            <w:rStyle w:val="Hyperlink"/>
          </w:rPr>
          <w:t xml:space="preserve">Mammal Diversity Database v2.4</w:t>
        </w:r>
      </w:hyperlink>
      <w:r>
        <w:t xml:space="preserve">.</w:t>
      </w:r>
    </w:p>
    <w:bookmarkEnd w:id="260"/>
    <w:bookmarkStart w:id="262"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1">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2"/>
    <w:bookmarkStart w:id="264" w:name="ref-vanvalen1960"/>
    <w:p>
      <w:pPr>
        <w:pStyle w:val="Bibliography"/>
      </w:pPr>
      <w:r>
        <w:t xml:space="preserve">Van Valen, L. 1960.</w:t>
      </w:r>
      <w:r>
        <w:t xml:space="preserve"> </w:t>
      </w:r>
      <w:hyperlink r:id="rId263">
        <w:r>
          <w:rPr>
            <w:rStyle w:val="Hyperlink"/>
          </w:rPr>
          <w:t xml:space="preserve">A functional index of hypsodonty</w:t>
        </w:r>
      </w:hyperlink>
      <w:r>
        <w:t xml:space="preserve">. Evolution 14:531–532.</w:t>
      </w:r>
    </w:p>
    <w:bookmarkEnd w:id="264"/>
    <w:bookmarkStart w:id="265" w:name="ref-vanvalen1973"/>
    <w:p>
      <w:pPr>
        <w:pStyle w:val="Bibliography"/>
      </w:pPr>
      <w:r>
        <w:t xml:space="preserve">Van Valen, L. 1973a. A new evolutionary law. Evolutionary Theory 1–30.</w:t>
      </w:r>
    </w:p>
    <w:bookmarkEnd w:id="265"/>
    <w:bookmarkStart w:id="266" w:name="ref-van_valen_pattern_1973"/>
    <w:p>
      <w:pPr>
        <w:pStyle w:val="Bibliography"/>
      </w:pPr>
      <w:r>
        <w:t xml:space="preserve">Van Valen, L. 1973b. Pattern and the balance of nature. Evol. Theory 1:31–49.</w:t>
      </w:r>
    </w:p>
    <w:bookmarkEnd w:id="266"/>
    <w:bookmarkStart w:id="267"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67"/>
    <w:bookmarkStart w:id="268"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68"/>
    <w:bookmarkStart w:id="270" w:name="ref-weppe2023"/>
    <w:p>
      <w:pPr>
        <w:pStyle w:val="Bibliography"/>
      </w:pPr>
      <w:r>
        <w:t xml:space="preserve">Weppe, R., F. L. Condamine, G. Guinot, J. Maugoust, and M. J. Orliac. 2023.</w:t>
      </w:r>
      <w:r>
        <w:t xml:space="preserve"> </w:t>
      </w:r>
      <w:hyperlink r:id="rId269">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0"/>
    <w:bookmarkStart w:id="272"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1">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2"/>
    <w:bookmarkStart w:id="274" w:name="ref-woods2021"/>
    <w:p>
      <w:pPr>
        <w:pStyle w:val="Bibliography"/>
      </w:pPr>
      <w:r>
        <w:t xml:space="preserve">Woods, R., I. Barnes, S. Brace, and S. T. Turvey. 2021.</w:t>
      </w:r>
      <w:r>
        <w:t xml:space="preserve"> </w:t>
      </w:r>
      <w:hyperlink r:id="rId273">
        <w:r>
          <w:rPr>
            <w:rStyle w:val="Hyperlink"/>
          </w:rPr>
          <w:t xml:space="preserve">Ancient DNA suggests single colonization and within-archipelago diversification of caribbean caviomorph rodents</w:t>
        </w:r>
      </w:hyperlink>
      <w:r>
        <w:t xml:space="preserve">. Molecular Biology and Evolution 38:84–95.</w:t>
      </w:r>
    </w:p>
    <w:bookmarkEnd w:id="274"/>
    <w:bookmarkEnd w:id="275"/>
    <w:p>
      <w:r>
        <w:br w:type="page"/>
      </w:r>
    </w:p>
    <w:bookmarkEnd w:id="276"/>
    <w:bookmarkStart w:id="30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0" w:name="fig-context"/>
          <w:p>
            <w:pPr>
              <w:pStyle w:val="Compact"/>
              <w:jc w:val="center"/>
            </w:pPr>
            <w:r>
              <w:drawing>
                <wp:inline>
                  <wp:extent cx="4679999" cy="5399999"/>
                  <wp:effectExtent b="0" l="0" r="0" t="0"/>
                  <wp:docPr descr="" title="" id="278" name="Picture"/>
                  <a:graphic>
                    <a:graphicData uri="http://schemas.openxmlformats.org/drawingml/2006/picture">
                      <pic:pic>
                        <pic:nvPicPr>
                          <pic:cNvPr descr="../Figures/Main/Figure_set_the_scene/Figure_context.png" id="279" name="Picture"/>
                          <pic:cNvPicPr>
                            <a:picLocks noChangeArrowheads="1" noChangeAspect="1"/>
                          </pic:cNvPicPr>
                        </pic:nvPicPr>
                        <pic:blipFill>
                          <a:blip r:embed="rId277"/>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80"/>
        </w:tc>
      </w:tr>
    </w:tbl>
    <w:tbl>
      <w:tblPr>
        <w:tblStyle w:val="Table"/>
        <w:tblW w:type="pct" w:w="5000"/>
        <w:tblLayout w:type="fixed"/>
        <w:tblLook w:firstRow="0" w:lastRow="0" w:firstColumn="0" w:lastColumn="0" w:noHBand="0" w:noVBand="0" w:val="0000"/>
      </w:tblPr>
      <w:tblGrid>
        <w:gridCol w:w="7920"/>
      </w:tblGrid>
      <w:tr>
        <w:tc>
          <w:tcPr/>
          <w:bookmarkStart w:id="285" w:name="fig-ExtSampl"/>
          <w:p>
            <w:pPr>
              <w:pStyle w:val="Compact"/>
              <w:jc w:val="center"/>
            </w:pPr>
            <w:r>
              <w:drawing>
                <wp:inline>
                  <wp:extent cx="5399999" cy="1486246"/>
                  <wp:effectExtent b="0" l="0" r="0" t="0"/>
                  <wp:docPr descr="" title="" id="282" name="Picture"/>
                  <a:graphic>
                    <a:graphicData uri="http://schemas.openxmlformats.org/drawingml/2006/picture">
                      <pic:pic>
                        <pic:nvPicPr>
                          <pic:cNvPr descr="../Figures/Main/extant_sampling/extant_sampling.png" id="283" name="Picture"/>
                          <pic:cNvPicPr>
                            <a:picLocks noChangeArrowheads="1" noChangeAspect="1"/>
                          </pic:cNvPicPr>
                        </pic:nvPicPr>
                        <pic:blipFill>
                          <a:blip r:embed="rId281"/>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4">
              <w:r>
                <w:rPr>
                  <w:rStyle w:val="Hyperlink"/>
                </w:rPr>
                <w:t xml:space="preserve">Phylopic</w:t>
              </w:r>
            </w:hyperlink>
            <w:r>
              <w:t xml:space="preserve">, see Tab. S3 for additional information.</w:t>
            </w:r>
          </w:p>
          <w:bookmarkEnd w:id="285"/>
        </w:tc>
      </w:tr>
    </w:tbl>
    <w:tbl>
      <w:tblPr>
        <w:tblStyle w:val="Table"/>
        <w:tblW w:type="pct" w:w="5000"/>
        <w:tblLayout w:type="fixed"/>
        <w:tblLook w:firstRow="0" w:lastRow="0" w:firstColumn="0" w:lastColumn="0" w:noHBand="0" w:noVBand="0" w:val="0000"/>
      </w:tblPr>
      <w:tblGrid>
        <w:gridCol w:w="7920"/>
      </w:tblGrid>
      <w:tr>
        <w:tc>
          <w:tcPr/>
          <w:bookmarkStart w:id="289" w:name="fig-diversityBM"/>
          <w:p>
            <w:pPr>
              <w:pStyle w:val="Compact"/>
              <w:jc w:val="center"/>
            </w:pPr>
            <w:r>
              <w:drawing>
                <wp:inline>
                  <wp:extent cx="1889999" cy="5399999"/>
                  <wp:effectExtent b="0" l="0" r="0" t="0"/>
                  <wp:docPr descr="" title="" id="287" name="Picture"/>
                  <a:graphic>
                    <a:graphicData uri="http://schemas.openxmlformats.org/drawingml/2006/picture">
                      <pic:pic>
                        <pic:nvPicPr>
                          <pic:cNvPr descr="../Figures/Main/Diversity_and_BM_through_time.png" id="288" name="Picture"/>
                          <pic:cNvPicPr>
                            <a:picLocks noChangeArrowheads="1" noChangeAspect="1"/>
                          </pic:cNvPicPr>
                        </pic:nvPicPr>
                        <pic:blipFill>
                          <a:blip r:embed="rId286"/>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89"/>
        </w:tc>
      </w:tr>
    </w:tbl>
    <w:tbl>
      <w:tblPr>
        <w:tblStyle w:val="Table"/>
        <w:tblW w:type="pct" w:w="5000"/>
        <w:tblLayout w:type="fixed"/>
        <w:tblLook w:firstRow="0" w:lastRow="0" w:firstColumn="0" w:lastColumn="0" w:noHBand="0" w:noVBand="0" w:val="0000"/>
      </w:tblPr>
      <w:tblGrid>
        <w:gridCol w:w="7920"/>
      </w:tblGrid>
      <w:tr>
        <w:tc>
          <w:tcPr/>
          <w:bookmarkStart w:id="293" w:name="fig-lifespans"/>
          <w:p>
            <w:pPr>
              <w:pStyle w:val="Compact"/>
              <w:jc w:val="center"/>
            </w:pPr>
            <w:r>
              <w:drawing>
                <wp:inline>
                  <wp:extent cx="5399999" cy="6839999"/>
                  <wp:effectExtent b="0" l="0" r="0" t="0"/>
                  <wp:docPr descr="" title="" id="291" name="Picture"/>
                  <a:graphic>
                    <a:graphicData uri="http://schemas.openxmlformats.org/drawingml/2006/picture">
                      <pic:pic>
                        <pic:nvPicPr>
                          <pic:cNvPr descr="../Figures/Main/Lifespans/lifespans_distribs.png" id="292" name="Picture"/>
                          <pic:cNvPicPr>
                            <a:picLocks noChangeArrowheads="1" noChangeAspect="1"/>
                          </pic:cNvPicPr>
                        </pic:nvPicPr>
                        <pic:blipFill>
                          <a:blip r:embed="rId290"/>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3"/>
        </w:tc>
      </w:tr>
    </w:tbl>
    <w:tbl>
      <w:tblPr>
        <w:tblStyle w:val="Table"/>
        <w:tblW w:type="pct" w:w="5000"/>
        <w:tblLayout w:type="fixed"/>
        <w:tblLook w:firstRow="0" w:lastRow="0" w:firstColumn="0" w:lastColumn="0" w:noHBand="0" w:noVBand="0" w:val="0000"/>
      </w:tblPr>
      <w:tblGrid>
        <w:gridCol w:w="7920"/>
      </w:tblGrid>
      <w:tr>
        <w:tc>
          <w:tcPr/>
          <w:bookmarkStart w:id="297" w:name="fig-diversification"/>
          <w:p>
            <w:pPr>
              <w:pStyle w:val="Compact"/>
              <w:jc w:val="center"/>
            </w:pPr>
            <w:r>
              <w:drawing>
                <wp:inline>
                  <wp:extent cx="5399999" cy="3959999"/>
                  <wp:effectExtent b="0" l="0" r="0" t="0"/>
                  <wp:docPr descr="" title="" id="295" name="Picture"/>
                  <a:graphic>
                    <a:graphicData uri="http://schemas.openxmlformats.org/drawingml/2006/picture">
                      <pic:pic>
                        <pic:nvPicPr>
                          <pic:cNvPr descr="../Figures/Main/Diversification_rates.png" id="296" name="Picture"/>
                          <pic:cNvPicPr>
                            <a:picLocks noChangeArrowheads="1" noChangeAspect="1"/>
                          </pic:cNvPicPr>
                        </pic:nvPicPr>
                        <pic:blipFill>
                          <a:blip r:embed="rId294"/>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three Bayesian fossil-based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S10-11). The right column</w:t>
            </w:r>
            <w:r>
              <w:t xml:space="preserve"> </w:t>
            </w:r>
            <w:r>
              <w:rPr>
                <w:b/>
                <w:bCs/>
              </w:rPr>
              <w:t xml:space="preserve">(E-F)</w:t>
            </w:r>
            <w:r>
              <w:t xml:space="preserve"> </w:t>
            </w:r>
            <w:r>
              <w:t xml:space="preserve">shows the rates through time estimated by the MBD model.</w:t>
            </w:r>
          </w:p>
          <w:bookmarkEnd w:id="297"/>
        </w:tc>
      </w:tr>
    </w:tbl>
    <w:tbl>
      <w:tblPr>
        <w:tblStyle w:val="Table"/>
        <w:tblW w:type="pct" w:w="5000"/>
        <w:tblLayout w:type="fixed"/>
        <w:tblLook w:firstRow="0" w:lastRow="0" w:firstColumn="0" w:lastColumn="0" w:noHBand="0" w:noVBand="0" w:val="0000"/>
      </w:tblPr>
      <w:tblGrid>
        <w:gridCol w:w="7920"/>
      </w:tblGrid>
      <w:tr>
        <w:tc>
          <w:tcPr/>
          <w:bookmarkStart w:id="301" w:name="fig-extinctionBDNN"/>
          <w:p>
            <w:pPr>
              <w:pStyle w:val="Compact"/>
              <w:jc w:val="center"/>
            </w:pPr>
            <w:r>
              <w:drawing>
                <wp:inline>
                  <wp:extent cx="2089502" cy="5759999"/>
                  <wp:effectExtent b="0" l="0" r="0" t="0"/>
                  <wp:docPr descr="" title="" id="299" name="Picture"/>
                  <a:graphic>
                    <a:graphicData uri="http://schemas.openxmlformats.org/drawingml/2006/picture">
                      <pic:pic>
                        <pic:nvPicPr>
                          <pic:cNvPr descr="../Figures/Main/Drivers/BDNN_extinction_correlates.pdf" id="300" name="Picture"/>
                          <pic:cNvPicPr>
                            <a:picLocks noChangeArrowheads="1" noChangeAspect="1"/>
                          </pic:cNvPicPr>
                        </pic:nvPicPr>
                        <pic:blipFill>
                          <a:blip r:embed="rId298"/>
                          <a:stretch>
                            <a:fillRect/>
                          </a:stretch>
                        </pic:blipFill>
                        <pic:spPr bwMode="auto">
                          <a:xfrm>
                            <a:off x="0" y="0"/>
                            <a:ext cx="2089502" cy="57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The main drivers of chinchilloid extinction rate variations as estimated by BDNN. Predictor ranking was made using a consensus of explainable AI metrics. Extinction rates differed 2.37-fold (Table S7) across body mass categories</w:t>
            </w:r>
            <w:r>
              <w:t xml:space="preserve"> </w:t>
            </w:r>
            <w:r>
              <w:rPr>
                <w:b/>
                <w:bCs/>
              </w:rPr>
              <w:t xml:space="preserve">(A)</w:t>
            </w:r>
            <w:r>
              <w:t xml:space="preserve">, and 1.6-fold (Table S7) between tropical and extratropical lineages</w:t>
            </w:r>
            <w:r>
              <w:t xml:space="preserve"> </w:t>
            </w:r>
            <w:r>
              <w:rPr>
                <w:b/>
                <w:bCs/>
              </w:rPr>
              <w:t xml:space="preserve">(B)</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A positive non-linear dependency was found between extinction rate and the Andean elevation</w:t>
            </w:r>
            <w:r>
              <w:t xml:space="preserve"> </w:t>
            </w:r>
            <w:r>
              <w:rPr>
                <w:b/>
                <w:bCs/>
              </w:rPr>
              <w:t xml:space="preserve">(C)</w:t>
            </w:r>
            <w:r>
              <w:t xml:space="preserve">, whereas we retrieved a trend towards decreasing extinction rates with increasing self-diversity</w:t>
            </w:r>
            <w:r>
              <w:t xml:space="preserve"> </w:t>
            </w:r>
            <w:r>
              <w:rPr>
                <w:b/>
                <w:bCs/>
              </w:rPr>
              <w:t xml:space="preserve">(D)</w:t>
            </w:r>
            <w:r>
              <w:t xml:space="preserve">.</w:t>
            </w:r>
          </w:p>
          <w:bookmarkEnd w:id="301"/>
        </w:tc>
      </w:tr>
    </w:tbl>
    <w:bookmarkEnd w:id="30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98" Target="media/rId298.pdf" /><Relationship Type="http://schemas.openxmlformats.org/officeDocument/2006/relationships/image" Id="rId277" Target="media/rId277.png" /><Relationship Type="http://schemas.openxmlformats.org/officeDocument/2006/relationships/image" Id="rId290" Target="media/rId290.png" /><Relationship Type="http://schemas.openxmlformats.org/officeDocument/2006/relationships/image" Id="rId281" Target="media/rId281.png" /><Relationship Type="http://schemas.openxmlformats.org/officeDocument/2006/relationships/hyperlink" Id="rId211" Target="https://discovery.ucl.ac.uk/id/eprint/10220325/" TargetMode="External" /><Relationship Type="http://schemas.openxmlformats.org/officeDocument/2006/relationships/hyperlink" Id="rId194"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0" Target="https://doi.org/10.1007/BF02988789" TargetMode="External" /><Relationship Type="http://schemas.openxmlformats.org/officeDocument/2006/relationships/hyperlink" Id="rId188" Target="https://doi.org/10.1007/s10914-022-09631-7" TargetMode="External" /><Relationship Type="http://schemas.openxmlformats.org/officeDocument/2006/relationships/hyperlink" Id="rId120"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65" Target="https://doi.org/10.1007/s11692-017-9434-7" TargetMode="External" /><Relationship Type="http://schemas.openxmlformats.org/officeDocument/2006/relationships/hyperlink" Id="rId98" Target="https://doi.org/10.1007/s12542-015-0267-3" TargetMode="External" /><Relationship Type="http://schemas.openxmlformats.org/officeDocument/2006/relationships/hyperlink" Id="rId89" Target="https://doi.org/10.1007/s12542-016-0306-8" TargetMode="External" /><Relationship Type="http://schemas.openxmlformats.org/officeDocument/2006/relationships/hyperlink" Id="rId209"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8" Target="https://doi.org/10.1016/j.gr.2024.08.002" TargetMode="External" /><Relationship Type="http://schemas.openxmlformats.org/officeDocument/2006/relationships/hyperlink" Id="rId152"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0" Target="https://doi.org/10.1016/j.palaeo.2012.09.001" TargetMode="External" /><Relationship Type="http://schemas.openxmlformats.org/officeDocument/2006/relationships/hyperlink" Id="rId163"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0"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7" Target="https://doi.org/10.1017/pab.2025.10086" TargetMode="External" /><Relationship Type="http://schemas.openxmlformats.org/officeDocument/2006/relationships/hyperlink" Id="rId122" Target="https://doi.org/10.1038/365748a0" TargetMode="External" /><Relationship Type="http://schemas.openxmlformats.org/officeDocument/2006/relationships/hyperlink" Id="rId213" Target="https://doi.org/10.1038/ncomms2299" TargetMode="External" /><Relationship Type="http://schemas.openxmlformats.org/officeDocument/2006/relationships/hyperlink" Id="rId251" Target="https://doi.org/10.1038/ncomms2508" TargetMode="External" /><Relationship Type="http://schemas.openxmlformats.org/officeDocument/2006/relationships/hyperlink" Id="rId138" Target="https://doi.org/10.1038/s41467-022-30507-0" TargetMode="External" /><Relationship Type="http://schemas.openxmlformats.org/officeDocument/2006/relationships/hyperlink" Id="rId116"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4" Target="https://doi.org/10.1038/s41598-017-05263-7" TargetMode="External" /><Relationship Type="http://schemas.openxmlformats.org/officeDocument/2006/relationships/hyperlink" Id="rId255"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261" Target="https://doi.org/10.1038/s41598-023-28497-0" TargetMode="External" /><Relationship Type="http://schemas.openxmlformats.org/officeDocument/2006/relationships/hyperlink" Id="rId79" Target="https://doi.org/10.1073/pnas.0409518102" TargetMode="External" /><Relationship Type="http://schemas.openxmlformats.org/officeDocument/2006/relationships/hyperlink" Id="rId176"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110" Target="https://doi.org/10.1073/pnas.1902693116" TargetMode="External" /><Relationship Type="http://schemas.openxmlformats.org/officeDocument/2006/relationships/hyperlink" Id="rId112"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269" Target="https://doi.org/10.1073/pnas.2309945120" TargetMode="External" /><Relationship Type="http://schemas.openxmlformats.org/officeDocument/2006/relationships/hyperlink" Id="rId218"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7"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3" Target="https://doi.org/10.1093/molbev/msaa189" TargetMode="External" /><Relationship Type="http://schemas.openxmlformats.org/officeDocument/2006/relationships/hyperlink" Id="rId178" Target="https://doi.org/10.1093/sysbio/syq052" TargetMode="External" /><Relationship Type="http://schemas.openxmlformats.org/officeDocument/2006/relationships/hyperlink" Id="rId126" Target="https://doi.org/10.1093/sysbio/syw020" TargetMode="External" /><Relationship Type="http://schemas.openxmlformats.org/officeDocument/2006/relationships/hyperlink" Id="rId148" Target="https://doi.org/10.1093/sysbio/syx082" TargetMode="External" /><Relationship Type="http://schemas.openxmlformats.org/officeDocument/2006/relationships/hyperlink" Id="rId106"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6"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2"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0" Target="https://doi.org/10.1098/rspb.2019.2806" TargetMode="External" /><Relationship Type="http://schemas.openxmlformats.org/officeDocument/2006/relationships/hyperlink" Id="rId186"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0"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73" Target="https://doi.org/10.1098/rspb.2025.2594" TargetMode="External" /><Relationship Type="http://schemas.openxmlformats.org/officeDocument/2006/relationships/hyperlink" Id="rId245" Target="https://doi.org/10.1111/2041-210X.12263" TargetMode="External" /><Relationship Type="http://schemas.openxmlformats.org/officeDocument/2006/relationships/hyperlink" Id="rId114" Target="https://doi.org/10.1111/2041-210X.70070" TargetMode="External" /><Relationship Type="http://schemas.openxmlformats.org/officeDocument/2006/relationships/hyperlink" Id="rId108" Target="https://doi.org/10.1111/ele.13382" TargetMode="External" /><Relationship Type="http://schemas.openxmlformats.org/officeDocument/2006/relationships/hyperlink" Id="rId220" Target="https://doi.org/10.1111/evo.13680" TargetMode="External" /><Relationship Type="http://schemas.openxmlformats.org/officeDocument/2006/relationships/hyperlink" Id="rId253" Target="https://doi.org/10.1111/geb.70024" TargetMode="External" /><Relationship Type="http://schemas.openxmlformats.org/officeDocument/2006/relationships/hyperlink" Id="rId77" Target="https://doi.org/10.1111/j.1096-3642.2004.00138.x" TargetMode="External" /><Relationship Type="http://schemas.openxmlformats.org/officeDocument/2006/relationships/hyperlink" Id="rId180"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4" Target="https://doi.org/10.1111/j.1469-185X.2011.00176.x" TargetMode="External" /><Relationship Type="http://schemas.openxmlformats.org/officeDocument/2006/relationships/hyperlink" Id="rId263" Target="https://doi.org/10.1111/j.1558-5646.1960.tb03121.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8" Target="https://doi.org/10.1126/sciadv.1601693" TargetMode="External" /><Relationship Type="http://schemas.openxmlformats.org/officeDocument/2006/relationships/hyperlink" Id="rId198" Target="https://doi.org/10.1126/sciadv.aaz1346" TargetMode="External" /><Relationship Type="http://schemas.openxmlformats.org/officeDocument/2006/relationships/hyperlink" Id="rId150"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231" Target="https://doi.org/10.1126/science.11542058" TargetMode="External" /><Relationship Type="http://schemas.openxmlformats.org/officeDocument/2006/relationships/hyperlink" Id="rId64" Target="https://doi.org/10.1126/science.1157719" TargetMode="External" /><Relationship Type="http://schemas.openxmlformats.org/officeDocument/2006/relationships/hyperlink" Id="rId161" Target="https://doi.org/10.1126/science.1194585" TargetMode="External" /><Relationship Type="http://schemas.openxmlformats.org/officeDocument/2006/relationships/hyperlink" Id="rId271"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59" Target="https://doi.org/10.1130/0091-7613(1995)023&lt;0237:ATAACF&gt;2.3.CO;2" TargetMode="External" /><Relationship Type="http://schemas.openxmlformats.org/officeDocument/2006/relationships/hyperlink" Id="rId128" Target="https://doi.org/10.1130/B30660.1" TargetMode="External" /><Relationship Type="http://schemas.openxmlformats.org/officeDocument/2006/relationships/hyperlink" Id="rId118" Target="https://doi.org/10.1144/jgs2020-188" TargetMode="External" /><Relationship Type="http://schemas.openxmlformats.org/officeDocument/2006/relationships/hyperlink" Id="rId202" Target="https://doi.org/10.1146/annurev-ecolsys-102722-020508" TargetMode="External" /><Relationship Type="http://schemas.openxmlformats.org/officeDocument/2006/relationships/hyperlink" Id="rId144" Target="https://doi.org/10.1146/annurev.ecolsys.28.1.129" TargetMode="External" /><Relationship Type="http://schemas.openxmlformats.org/officeDocument/2006/relationships/hyperlink" Id="rId182" Target="https://doi.org/10.1146/annurev.ecolsys.31.1.33" TargetMode="External" /><Relationship Type="http://schemas.openxmlformats.org/officeDocument/2006/relationships/hyperlink" Id="rId184" Target="https://doi.org/10.1206/0003-0090-363.1.1" TargetMode="External" /><Relationship Type="http://schemas.openxmlformats.org/officeDocument/2006/relationships/hyperlink" Id="rId257" Target="https://doi.org/10.1371/journal.pbio.3000494" TargetMode="External" /><Relationship Type="http://schemas.openxmlformats.org/officeDocument/2006/relationships/hyperlink" Id="rId146" Target="https://doi.org/10.1590/1809-4392202103601" TargetMode="External" /><Relationship Type="http://schemas.openxmlformats.org/officeDocument/2006/relationships/hyperlink" Id="rId142"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4" Target="https://doi.org/10.18814/epiiugs/2025/025001" TargetMode="External" /><Relationship Type="http://schemas.openxmlformats.org/officeDocument/2006/relationships/hyperlink" Id="rId172" Target="https://doi.org/10.2307/2291091" TargetMode="External" /><Relationship Type="http://schemas.openxmlformats.org/officeDocument/2006/relationships/hyperlink" Id="rId83" Target="https://doi.org/10.5252/geodiversitas2019v41a4" TargetMode="External" /><Relationship Type="http://schemas.openxmlformats.org/officeDocument/2006/relationships/hyperlink" Id="rId259" Target="https://doi.org/10.5281/zenodo.18135819" TargetMode="External" /><Relationship Type="http://schemas.openxmlformats.org/officeDocument/2006/relationships/hyperlink" Id="rId204" Target="https://doi.org/10.5710/AMGH.07.07.2023.3551" TargetMode="External" /><Relationship Type="http://schemas.openxmlformats.org/officeDocument/2006/relationships/hyperlink" Id="rId136" Target="https://doi.org/10.5710/PEAPA.01.11.2019.309" TargetMode="External" /><Relationship Type="http://schemas.openxmlformats.org/officeDocument/2006/relationships/hyperlink" Id="rId75" Target="https://doi.org/10.7717/peerj.6088" TargetMode="External" /><Relationship Type="http://schemas.openxmlformats.org/officeDocument/2006/relationships/hyperlink" Id="rId154" Target="https://doi.org/10.7717/peerj.8011" TargetMode="External" /><Relationship Type="http://schemas.openxmlformats.org/officeDocument/2006/relationships/hyperlink" Id="rId216" Target="https://press.uchicago.edu/ucp/books/book/chicago/M/bo18553844.html" TargetMode="External" /><Relationship Type="http://schemas.openxmlformats.org/officeDocument/2006/relationships/hyperlink" Id="rId192" Target="https://www.jstor.org/stable/1688046" TargetMode="External" /><Relationship Type="http://schemas.openxmlformats.org/officeDocument/2006/relationships/hyperlink" Id="rId134" Target="https://www.jstor.org/stable/26519218" TargetMode="External" /><Relationship Type="http://schemas.openxmlformats.org/officeDocument/2006/relationships/hyperlink" Id="rId284"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1" Target="https://discovery.ucl.ac.uk/id/eprint/10220325/" TargetMode="External" /><Relationship Type="http://schemas.openxmlformats.org/officeDocument/2006/relationships/hyperlink" Id="rId194"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0" Target="https://doi.org/10.1007/BF02988789" TargetMode="External" /><Relationship Type="http://schemas.openxmlformats.org/officeDocument/2006/relationships/hyperlink" Id="rId188" Target="https://doi.org/10.1007/s10914-022-09631-7" TargetMode="External" /><Relationship Type="http://schemas.openxmlformats.org/officeDocument/2006/relationships/hyperlink" Id="rId120"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65" Target="https://doi.org/10.1007/s11692-017-9434-7" TargetMode="External" /><Relationship Type="http://schemas.openxmlformats.org/officeDocument/2006/relationships/hyperlink" Id="rId98" Target="https://doi.org/10.1007/s12542-015-0267-3" TargetMode="External" /><Relationship Type="http://schemas.openxmlformats.org/officeDocument/2006/relationships/hyperlink" Id="rId89" Target="https://doi.org/10.1007/s12542-016-0306-8" TargetMode="External" /><Relationship Type="http://schemas.openxmlformats.org/officeDocument/2006/relationships/hyperlink" Id="rId209"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8" Target="https://doi.org/10.1016/j.gr.2024.08.002" TargetMode="External" /><Relationship Type="http://schemas.openxmlformats.org/officeDocument/2006/relationships/hyperlink" Id="rId152"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0" Target="https://doi.org/10.1016/j.palaeo.2012.09.001" TargetMode="External" /><Relationship Type="http://schemas.openxmlformats.org/officeDocument/2006/relationships/hyperlink" Id="rId163"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0"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7" Target="https://doi.org/10.1017/pab.2025.10086" TargetMode="External" /><Relationship Type="http://schemas.openxmlformats.org/officeDocument/2006/relationships/hyperlink" Id="rId122" Target="https://doi.org/10.1038/365748a0" TargetMode="External" /><Relationship Type="http://schemas.openxmlformats.org/officeDocument/2006/relationships/hyperlink" Id="rId213" Target="https://doi.org/10.1038/ncomms2299" TargetMode="External" /><Relationship Type="http://schemas.openxmlformats.org/officeDocument/2006/relationships/hyperlink" Id="rId251" Target="https://doi.org/10.1038/ncomms2508" TargetMode="External" /><Relationship Type="http://schemas.openxmlformats.org/officeDocument/2006/relationships/hyperlink" Id="rId138" Target="https://doi.org/10.1038/s41467-022-30507-0" TargetMode="External" /><Relationship Type="http://schemas.openxmlformats.org/officeDocument/2006/relationships/hyperlink" Id="rId116"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4" Target="https://doi.org/10.1038/s41598-017-05263-7" TargetMode="External" /><Relationship Type="http://schemas.openxmlformats.org/officeDocument/2006/relationships/hyperlink" Id="rId255"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261" Target="https://doi.org/10.1038/s41598-023-28497-0" TargetMode="External" /><Relationship Type="http://schemas.openxmlformats.org/officeDocument/2006/relationships/hyperlink" Id="rId79" Target="https://doi.org/10.1073/pnas.0409518102" TargetMode="External" /><Relationship Type="http://schemas.openxmlformats.org/officeDocument/2006/relationships/hyperlink" Id="rId176"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110" Target="https://doi.org/10.1073/pnas.1902693116" TargetMode="External" /><Relationship Type="http://schemas.openxmlformats.org/officeDocument/2006/relationships/hyperlink" Id="rId112"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269" Target="https://doi.org/10.1073/pnas.2309945120" TargetMode="External" /><Relationship Type="http://schemas.openxmlformats.org/officeDocument/2006/relationships/hyperlink" Id="rId218"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7"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3" Target="https://doi.org/10.1093/molbev/msaa189" TargetMode="External" /><Relationship Type="http://schemas.openxmlformats.org/officeDocument/2006/relationships/hyperlink" Id="rId178" Target="https://doi.org/10.1093/sysbio/syq052" TargetMode="External" /><Relationship Type="http://schemas.openxmlformats.org/officeDocument/2006/relationships/hyperlink" Id="rId126" Target="https://doi.org/10.1093/sysbio/syw020" TargetMode="External" /><Relationship Type="http://schemas.openxmlformats.org/officeDocument/2006/relationships/hyperlink" Id="rId148" Target="https://doi.org/10.1093/sysbio/syx082" TargetMode="External" /><Relationship Type="http://schemas.openxmlformats.org/officeDocument/2006/relationships/hyperlink" Id="rId106"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6"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2"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0" Target="https://doi.org/10.1098/rspb.2019.2806" TargetMode="External" /><Relationship Type="http://schemas.openxmlformats.org/officeDocument/2006/relationships/hyperlink" Id="rId186"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0"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73" Target="https://doi.org/10.1098/rspb.2025.2594" TargetMode="External" /><Relationship Type="http://schemas.openxmlformats.org/officeDocument/2006/relationships/hyperlink" Id="rId245" Target="https://doi.org/10.1111/2041-210X.12263" TargetMode="External" /><Relationship Type="http://schemas.openxmlformats.org/officeDocument/2006/relationships/hyperlink" Id="rId114" Target="https://doi.org/10.1111/2041-210X.70070" TargetMode="External" /><Relationship Type="http://schemas.openxmlformats.org/officeDocument/2006/relationships/hyperlink" Id="rId108" Target="https://doi.org/10.1111/ele.13382" TargetMode="External" /><Relationship Type="http://schemas.openxmlformats.org/officeDocument/2006/relationships/hyperlink" Id="rId220" Target="https://doi.org/10.1111/evo.13680" TargetMode="External" /><Relationship Type="http://schemas.openxmlformats.org/officeDocument/2006/relationships/hyperlink" Id="rId253" Target="https://doi.org/10.1111/geb.70024" TargetMode="External" /><Relationship Type="http://schemas.openxmlformats.org/officeDocument/2006/relationships/hyperlink" Id="rId77" Target="https://doi.org/10.1111/j.1096-3642.2004.00138.x" TargetMode="External" /><Relationship Type="http://schemas.openxmlformats.org/officeDocument/2006/relationships/hyperlink" Id="rId180"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4" Target="https://doi.org/10.1111/j.1469-185X.2011.00176.x" TargetMode="External" /><Relationship Type="http://schemas.openxmlformats.org/officeDocument/2006/relationships/hyperlink" Id="rId263" Target="https://doi.org/10.1111/j.1558-5646.1960.tb03121.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8" Target="https://doi.org/10.1126/sciadv.1601693" TargetMode="External" /><Relationship Type="http://schemas.openxmlformats.org/officeDocument/2006/relationships/hyperlink" Id="rId198" Target="https://doi.org/10.1126/sciadv.aaz1346" TargetMode="External" /><Relationship Type="http://schemas.openxmlformats.org/officeDocument/2006/relationships/hyperlink" Id="rId150"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231" Target="https://doi.org/10.1126/science.11542058" TargetMode="External" /><Relationship Type="http://schemas.openxmlformats.org/officeDocument/2006/relationships/hyperlink" Id="rId64" Target="https://doi.org/10.1126/science.1157719" TargetMode="External" /><Relationship Type="http://schemas.openxmlformats.org/officeDocument/2006/relationships/hyperlink" Id="rId161" Target="https://doi.org/10.1126/science.1194585" TargetMode="External" /><Relationship Type="http://schemas.openxmlformats.org/officeDocument/2006/relationships/hyperlink" Id="rId271"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59" Target="https://doi.org/10.1130/0091-7613(1995)023&lt;0237:ATAACF&gt;2.3.CO;2" TargetMode="External" /><Relationship Type="http://schemas.openxmlformats.org/officeDocument/2006/relationships/hyperlink" Id="rId128" Target="https://doi.org/10.1130/B30660.1" TargetMode="External" /><Relationship Type="http://schemas.openxmlformats.org/officeDocument/2006/relationships/hyperlink" Id="rId118" Target="https://doi.org/10.1144/jgs2020-188" TargetMode="External" /><Relationship Type="http://schemas.openxmlformats.org/officeDocument/2006/relationships/hyperlink" Id="rId202" Target="https://doi.org/10.1146/annurev-ecolsys-102722-020508" TargetMode="External" /><Relationship Type="http://schemas.openxmlformats.org/officeDocument/2006/relationships/hyperlink" Id="rId144" Target="https://doi.org/10.1146/annurev.ecolsys.28.1.129" TargetMode="External" /><Relationship Type="http://schemas.openxmlformats.org/officeDocument/2006/relationships/hyperlink" Id="rId182" Target="https://doi.org/10.1146/annurev.ecolsys.31.1.33" TargetMode="External" /><Relationship Type="http://schemas.openxmlformats.org/officeDocument/2006/relationships/hyperlink" Id="rId184" Target="https://doi.org/10.1206/0003-0090-363.1.1" TargetMode="External" /><Relationship Type="http://schemas.openxmlformats.org/officeDocument/2006/relationships/hyperlink" Id="rId257" Target="https://doi.org/10.1371/journal.pbio.3000494" TargetMode="External" /><Relationship Type="http://schemas.openxmlformats.org/officeDocument/2006/relationships/hyperlink" Id="rId146" Target="https://doi.org/10.1590/1809-4392202103601" TargetMode="External" /><Relationship Type="http://schemas.openxmlformats.org/officeDocument/2006/relationships/hyperlink" Id="rId142"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4" Target="https://doi.org/10.18814/epiiugs/2025/025001" TargetMode="External" /><Relationship Type="http://schemas.openxmlformats.org/officeDocument/2006/relationships/hyperlink" Id="rId172" Target="https://doi.org/10.2307/2291091" TargetMode="External" /><Relationship Type="http://schemas.openxmlformats.org/officeDocument/2006/relationships/hyperlink" Id="rId83" Target="https://doi.org/10.5252/geodiversitas2019v41a4" TargetMode="External" /><Relationship Type="http://schemas.openxmlformats.org/officeDocument/2006/relationships/hyperlink" Id="rId259" Target="https://doi.org/10.5281/zenodo.18135819" TargetMode="External" /><Relationship Type="http://schemas.openxmlformats.org/officeDocument/2006/relationships/hyperlink" Id="rId204" Target="https://doi.org/10.5710/AMGH.07.07.2023.3551" TargetMode="External" /><Relationship Type="http://schemas.openxmlformats.org/officeDocument/2006/relationships/hyperlink" Id="rId136" Target="https://doi.org/10.5710/PEAPA.01.11.2019.309" TargetMode="External" /><Relationship Type="http://schemas.openxmlformats.org/officeDocument/2006/relationships/hyperlink" Id="rId75" Target="https://doi.org/10.7717/peerj.6088" TargetMode="External" /><Relationship Type="http://schemas.openxmlformats.org/officeDocument/2006/relationships/hyperlink" Id="rId154" Target="https://doi.org/10.7717/peerj.8011" TargetMode="External" /><Relationship Type="http://schemas.openxmlformats.org/officeDocument/2006/relationships/hyperlink" Id="rId216" Target="https://press.uchicago.edu/ucp/books/book/chicago/M/bo18553844.html" TargetMode="External" /><Relationship Type="http://schemas.openxmlformats.org/officeDocument/2006/relationships/hyperlink" Id="rId192" Target="https://www.jstor.org/stable/1688046" TargetMode="External" /><Relationship Type="http://schemas.openxmlformats.org/officeDocument/2006/relationships/hyperlink" Id="rId134" Target="https://www.jstor.org/stable/26519218" TargetMode="External" /><Relationship Type="http://schemas.openxmlformats.org/officeDocument/2006/relationships/hyperlink" Id="rId284"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Álvarez², Fabien L. Condamine¹, Laurent Marivaux¹</dc:creator>
  <cp:keywords/>
  <dcterms:created xsi:type="dcterms:W3CDTF">2026-05-23T16:28:31Z</dcterms:created>
  <dcterms:modified xsi:type="dcterms:W3CDTF">2026-05-23T16:28:31Z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