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0.png" ContentType="image/png"/>
  <Override PartName="/word/media/rId276.png" ContentType="image/png"/>
  <Override PartName="/word/media/rId272.png" ContentType="image/png"/>
  <Override PartName="/word/media/rId2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Boivin²*,</w:t>
      </w:r>
      <w:r>
        <w:t xml:space="preserve"> </w:t>
      </w:r>
      <w:r>
        <w:t xml:space="preserve">Alicia</w:t>
      </w:r>
      <w:r>
        <w:t xml:space="preserve"> </w:t>
      </w:r>
      <w:r>
        <w:t xml:space="preserve">Álvarez²,</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l’Evolution de Montpellier, Université de Montpellier, CNRS, IRD, Place Eugène Bataillon, 34095 Montpellier cedex 5, France.</w:t>
      </w:r>
    </w:p>
    <w:p>
      <w:pPr>
        <w:pStyle w:val="BodyText"/>
      </w:pPr>
      <w:r>
        <w:t xml:space="preserve">² Instituto de Ecorregiones Andinas (INECOA), Universidad Nacional de Jujuy, CONICET, IdGyM,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Fossil Record; Gigantism; Macroevolution; South America; Trait-dependent Diversification</w:t>
      </w:r>
    </w:p>
    <w:bookmarkStart w:id="20" w:name="abstract"/>
    <w:p>
      <w:pPr>
        <w:pStyle w:val="Heading1"/>
      </w:pPr>
      <w:r>
        <w:t xml:space="preserve">Abstract</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evolutionary biologists</w:t>
      </w:r>
      <w:r>
        <w:t xml:space="preserve"> </w:t>
      </w:r>
      <w:r>
        <w:t xml:space="preserve">(Simpson 1944)</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(Pimiento et al. 2019; Boessenecker et al. 2019; Chiarenza et al. 2020; Boscaini et al. 2025)</w:t>
      </w:r>
      <w:r>
        <w:t xml:space="preserve">. Two classes of factors are usually invoked to explain the long-term dynamics of biological diversity. On one side, the classical</w:t>
      </w:r>
      <w:r>
        <w:t xml:space="preserve"> </w:t>
      </w:r>
      <w:r>
        <w:t xml:space="preserve">‘</w:t>
      </w:r>
      <w:r>
        <w:t xml:space="preserve">Red Queen</w:t>
      </w:r>
      <w:r>
        <w:t xml:space="preserve">’</w:t>
      </w:r>
      <w:r>
        <w:t xml:space="preserve"> </w:t>
      </w:r>
      <w:r>
        <w:t xml:space="preserve">hypothesis</w:t>
      </w:r>
      <w:r>
        <w:t xml:space="preserve"> </w:t>
      </w:r>
      <w:r>
        <w:t xml:space="preserve">(Van Valen 1973a)</w:t>
      </w:r>
      <w:r>
        <w:t xml:space="preserve"> </w:t>
      </w:r>
      <w:r>
        <w:t xml:space="preserve">posits that evolutionary changes primarily result from biotic interactions, such as inter-clade competition</w:t>
      </w:r>
      <w:r>
        <w:t xml:space="preserve"> </w:t>
      </w:r>
      <w:r>
        <w:t xml:space="preserve">(</w:t>
      </w:r>
      <w:r>
        <w:rPr>
          <w:i/>
          <w:iCs/>
        </w:rPr>
        <w:t xml:space="preserve">e</w:t>
      </w:r>
      <w:r>
        <w:t xml:space="preserve">.</w:t>
      </w:r>
      <w:r>
        <w:rPr>
          <w:i/>
          <w:iCs/>
        </w:rPr>
        <w:t xml:space="preserve">g</w:t>
      </w:r>
      <w:r>
        <w:t xml:space="preserve">., Silvestro et al. 2015; Drury et al. 2016)</w:t>
      </w:r>
      <w:r>
        <w:t xml:space="preserve">. On the other hand, a wealth of hypotheses summarised under the</w:t>
      </w:r>
      <w:r>
        <w:t xml:space="preserve"> </w:t>
      </w:r>
      <w:r>
        <w:t xml:space="preserve">‘</w:t>
      </w:r>
      <w:r>
        <w:t xml:space="preserve">Court Jester</w:t>
      </w:r>
      <w:r>
        <w:t xml:space="preserve">’</w:t>
      </w:r>
      <w:r>
        <w:t xml:space="preserve"> </w:t>
      </w:r>
      <w:r>
        <w:t xml:space="preserve">model</w:t>
      </w:r>
      <w:r>
        <w:t xml:space="preserve"> </w:t>
      </w:r>
      <w:r>
        <w:t xml:space="preserve">(Barnosky 2001)</w:t>
      </w:r>
      <w:r>
        <w:t xml:space="preserve"> </w:t>
      </w:r>
      <w:r>
        <w:t xml:space="preserve">rather places the emphasis on abiotic factors as a primary driver of evolutionary changes</w:t>
      </w:r>
      <w:r>
        <w:t xml:space="preserve"> </w:t>
      </w:r>
      <w:r>
        <w:t xml:space="preserve">(</w:t>
      </w:r>
      <w:r>
        <w:rPr>
          <w:i/>
          <w:iCs/>
        </w:rPr>
        <w:t xml:space="preserve">e</w:t>
      </w:r>
      <w:r>
        <w:t xml:space="preserve">.</w:t>
      </w:r>
      <w:r>
        <w:rPr>
          <w:i/>
          <w:iCs/>
        </w:rPr>
        <w:t xml:space="preserve">g</w:t>
      </w:r>
      <w:r>
        <w:t xml:space="preserve">., Stenseth and Smith 1984; Vrba 1993, 1995)</w:t>
      </w:r>
      <w:r>
        <w:t xml:space="preserve">. Deciphering how these factors shape speciation and extinction dynamics as well as the evolution of phenotypes is a central aim of macroevolutionary research</w:t>
      </w:r>
      <w:r>
        <w:t xml:space="preserve"> </w:t>
      </w:r>
      <w:r>
        <w:t xml:space="preserve">(</w:t>
      </w:r>
      <w:r>
        <w:rPr>
          <w:i/>
          <w:iCs/>
        </w:rPr>
        <w:t xml:space="preserve">e</w:t>
      </w:r>
      <w:r>
        <w:t xml:space="preserve">.</w:t>
      </w:r>
      <w:r>
        <w:rPr>
          <w:i/>
          <w:iCs/>
        </w:rPr>
        <w:t xml:space="preserve">g</w:t>
      </w:r>
      <w:r>
        <w:t xml:space="preserve">., Benton 2009; Quental and Marshall 2013; Condamine et al. 2018)</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w:t>
      </w:r>
      <w:r>
        <w:rPr>
          <w:i/>
          <w:iCs/>
        </w:rPr>
        <w:t xml:space="preserve">e</w:t>
      </w:r>
      <w:r>
        <w:t xml:space="preserve">.</w:t>
      </w:r>
      <w:r>
        <w:rPr>
          <w:i/>
          <w:iCs/>
        </w:rPr>
        <w:t xml:space="preserve">g</w:t>
      </w:r>
      <w:r>
        <w:t xml:space="preserve">., Simpson 1980)</w:t>
      </w:r>
      <w:r>
        <w:t xml:space="preserve">. Among the most emblematic are the impressively disparate New World hystricognath rodents (Hystricognathi: Caviomorpha), accounting for</w:t>
      </w:r>
      <w:r>
        <w:t xml:space="preserve"> </w:t>
      </w:r>
      <w:r>
        <w:rPr>
          <w:i/>
          <w:iCs/>
        </w:rPr>
        <w:t xml:space="preserve">c.</w:t>
      </w:r>
      <w:r>
        <w:t xml:space="preserve"> </w:t>
      </w:r>
      <w:r>
        <w:t xml:space="preserve">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50–80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Moreover,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medium-to-large-sized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 [</w:t>
      </w:r>
      <w:r>
        <w:rPr>
          <w:i/>
          <w:iCs/>
        </w:rPr>
        <w:t xml:space="preserve">i</w:t>
      </w:r>
      <w:r>
        <w:t xml:space="preserve">.</w:t>
      </w:r>
      <w:r>
        <w:rPr>
          <w:i/>
          <w:iCs/>
        </w:rPr>
        <w:t xml:space="preserve">e</w:t>
      </w:r>
      <w:r>
        <w:t xml:space="preserve">., hypsodonty;</w:t>
      </w:r>
      <w:r>
        <w:t xml:space="preserve"> </w:t>
      </w:r>
      <w:r>
        <w:rPr>
          <w:i/>
          <w:iCs/>
        </w:rPr>
        <w:t xml:space="preserve">e</w:t>
      </w:r>
      <w:r>
        <w:t xml:space="preserve">.</w:t>
      </w:r>
      <w:r>
        <w:rPr>
          <w:i/>
          <w:iCs/>
        </w:rPr>
        <w:t xml:space="preserve">g</w:t>
      </w:r>
      <w:r>
        <w:t xml:space="preserve">.,</w:t>
      </w:r>
      <w:r>
        <w:t xml:space="preserve"> </w:t>
      </w:r>
      <w:r>
        <w:t xml:space="preserve">Candela (2005)</w:t>
      </w:r>
      <w:r>
        <w:t xml:space="preserve">],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 Marivaux et al. 2020; Rasia et al. 2021)</w:t>
      </w:r>
      <w:r>
        <w:t xml:space="preserve">. In addition, systematics based on morphological characters (primarily dental traits)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 Therefore, over their evolutionary history, chinchilloids have experienced a simultaneous increase and further decline in both disparity and diversity</w:t>
      </w:r>
      <w:r>
        <w:t xml:space="preserve"> </w:t>
      </w:r>
      <w:r>
        <w:t xml:space="preserve">(Carrillo et al. n.d.)</w:t>
      </w:r>
      <w:r>
        <w:t xml:space="preserve">.</w:t>
      </w:r>
    </w:p>
    <w:p>
      <w:pPr>
        <w:pStyle w:val="BodyText"/>
      </w:pPr>
      <w:r>
        <w:t xml:space="preserve">Several hypotheses have been advocated to explain chinchilloid’s diversity dynamics and exceptional phenotypical evolution.</w:t>
      </w:r>
      <w:r>
        <w:t xml:space="preserve"> </w:t>
      </w:r>
      <w:r>
        <w:t xml:space="preserve">Vucetich et al. (2015)</w:t>
      </w:r>
      <w:r>
        <w:t xml:space="preserve"> </w:t>
      </w:r>
      <w:r>
        <w:t xml:space="preserve">proposed gigantism among caviomorphs to have been promoted by the late Neogene climate cooling and aridification</w:t>
      </w:r>
      <w:r>
        <w:t xml:space="preserve"> </w:t>
      </w:r>
      <w:r>
        <w:t xml:space="preserve">(Westerhold et al. 2020)</w:t>
      </w:r>
      <w:r>
        <w:t xml:space="preserve">, thought to have expanded open habitats in continental South America</w:t>
      </w:r>
      <w:r>
        <w:t xml:space="preserve"> </w:t>
      </w:r>
      <w:r>
        <w:t xml:space="preserve">(Palazzesi and Barreda 2012)</w:t>
      </w:r>
      <w:r>
        <w:t xml:space="preserve">. Such climate-induced landscape opening has also traditionally been invoked to explain caviomorphs’ – together with native ungulates’ – increase in hypsodonty</w:t>
      </w:r>
      <w:r>
        <w:t xml:space="preserve"> </w:t>
      </w:r>
      <w:r>
        <w:t xml:space="preserve">(MacFadden 2000)</w:t>
      </w:r>
      <w:r>
        <w:t xml:space="preserve">. Nevertheless, it should be mentioned that several evidence challenged the relationship between grass consumption and hypsodonty</w:t>
      </w:r>
      <w:r>
        <w:t xml:space="preserve"> </w:t>
      </w:r>
      <w:r>
        <w:t xml:space="preserve">(</w:t>
      </w:r>
      <w:r>
        <w:rPr>
          <w:i/>
          <w:iCs/>
        </w:rPr>
        <w:t xml:space="preserve">e</w:t>
      </w:r>
      <w:r>
        <w:t xml:space="preserve">.</w:t>
      </w:r>
      <w:r>
        <w:rPr>
          <w:i/>
          <w:iCs/>
        </w:rPr>
        <w:t xml:space="preserve">g</w:t>
      </w:r>
      <w:r>
        <w:t xml:space="preserve">., Billet et al. 2009; Damuth and Janis 2011; Strömberg et al. 2013; Armella and Croft 2026)</w:t>
      </w:r>
      <w:r>
        <w:t xml:space="preserve">. Other authors proposed that the river network remodelling that followed the demise of the north Argentinian Miocene marine transgression</w:t>
      </w:r>
      <w:r>
        <w:t xml:space="preserve"> </w:t>
      </w:r>
      <w:r>
        <w:t xml:space="preserve">(</w:t>
      </w:r>
      <w:r>
        <w:t xml:space="preserve">‘</w:t>
      </w:r>
      <w:r>
        <w:t xml:space="preserve">Paranense Sea,</w:t>
      </w:r>
      <w:r>
        <w:t xml:space="preserve">’</w:t>
      </w:r>
      <w:r>
        <w:t xml:space="preserve"> </w:t>
      </w:r>
      <w:r>
        <w:rPr>
          <w:i/>
          <w:iCs/>
        </w:rPr>
        <w:t xml:space="preserve">see</w:t>
      </w:r>
      <w:r>
        <w:t xml:space="preserve"> </w:t>
      </w:r>
      <w:r>
        <w:t xml:space="preserve">Pascual et al. 1996)</w:t>
      </w:r>
      <w:r>
        <w:t xml:space="preserve">, locally generating environmental heterogeneity, favoured the ecological diversification of dinomyid rodents</w:t>
      </w:r>
      <w:r>
        <w:t xml:space="preserve"> </w:t>
      </w:r>
      <w:r>
        <w:t xml:space="preserve">(Candela et al. 2013)</w:t>
      </w:r>
      <w:r>
        <w:t xml:space="preserve">. In the same time frame, a marine incursion analogous to the</w:t>
      </w:r>
      <w:r>
        <w:t xml:space="preserve"> </w:t>
      </w:r>
      <w:r>
        <w:t xml:space="preserve">‘</w:t>
      </w:r>
      <w:r>
        <w:t xml:space="preserve">Paranense Sea</w:t>
      </w:r>
      <w:r>
        <w:t xml:space="preserve">’</w:t>
      </w:r>
      <w:r>
        <w:t xml:space="preserve">, the</w:t>
      </w:r>
      <w:r>
        <w:t xml:space="preserve"> </w:t>
      </w:r>
      <w:r>
        <w:t xml:space="preserve">‘</w:t>
      </w:r>
      <w:r>
        <w:t xml:space="preserve">Pebas megawetland system</w:t>
      </w:r>
      <w:r>
        <w:t xml:space="preserve">’</w:t>
      </w:r>
      <w:r>
        <w:t xml:space="preserve"> </w:t>
      </w:r>
      <w:r>
        <w:t xml:space="preserve">(PMWS), covered Western Amazonia. Its Late Miocene vanishing triggered massive hydrographic changes, among which the establishment of the Amazon drainage system, in turn massively impacting low-latitude ecosystems in South America</w:t>
      </w:r>
      <w:r>
        <w:t xml:space="preserve"> </w:t>
      </w:r>
      <w:r>
        <w:t xml:space="preserve">(</w:t>
      </w:r>
      <w:r>
        <w:rPr>
          <w:i/>
          <w:iCs/>
        </w:rPr>
        <w:t xml:space="preserve">e</w:t>
      </w:r>
      <w:r>
        <w:t xml:space="preserve">.</w:t>
      </w:r>
      <w:r>
        <w:rPr>
          <w:i/>
          <w:iCs/>
        </w:rPr>
        <w:t xml:space="preserve">g</w:t>
      </w:r>
      <w:r>
        <w:t xml:space="preserve">., Jaramillo et al. 2017; Hoorn et al. 2022)</w:t>
      </w:r>
      <w:r>
        <w:t xml:space="preserve">. Thus, one can expect the legacy of the PMWS to have also impacted the radiation of Chinchilloidea, the latter peaking as these hydrographic changes occurred. These two marine transgressions were shown to be tectonically- and eustatically-controlled</w:t>
      </w:r>
      <w:r>
        <w:t xml:space="preserve"> </w:t>
      </w:r>
      <w:r>
        <w:t xml:space="preserve">(Hernández et al. 2005)</w:t>
      </w:r>
      <w:r>
        <w:t xml:space="preserve">. Thus, one can also expect to retrieve a signal of the Andean uplift, as well as from sea-level changes, in the dynamics of chinchilloid diversification. In addition, on the basis of results established on modern species showing similar phenotypic pathways, patterns of size increase among caviomorphs were also proposed to be related to biotic factors, such as intra- or interspecific competition, predator avoidance or physiological constraints (</w:t>
      </w:r>
      <w:r>
        <w:rPr>
          <w:i/>
          <w:iCs/>
        </w:rPr>
        <w:t xml:space="preserve">e</w:t>
      </w:r>
      <w:r>
        <w:t xml:space="preserve">.</w:t>
      </w:r>
      <w:r>
        <w:rPr>
          <w:i/>
          <w:iCs/>
        </w:rPr>
        <w:t xml:space="preserve">g</w:t>
      </w:r>
      <w:r>
        <w:t xml:space="preserve">., metabolic rate)</w:t>
      </w:r>
      <w:r>
        <w:t xml:space="preserve"> </w:t>
      </w:r>
      <w:r>
        <w:t xml:space="preserve">(Vucetich et al. 2015)</w:t>
      </w:r>
      <w:r>
        <w:t xml:space="preserve">.</w:t>
      </w:r>
      <w:r>
        <w:t xml:space="preserve"> </w:t>
      </w:r>
      <w:r>
        <w:t xml:space="preserve">Álvarez et al. (2017)</w:t>
      </w:r>
      <w:r>
        <w:t xml:space="preserve"> </w:t>
      </w:r>
      <w:r>
        <w:t xml:space="preserve">added that the environmentally-driven emergence of new niches and their further colonisation by caviomorphs must have promoted size increase in this rodent clade. Regarding the West Indian</w:t>
      </w:r>
      <w:r>
        <w:t xml:space="preserve"> </w:t>
      </w:r>
      <w:r>
        <w:t xml:space="preserve">‘</w:t>
      </w:r>
      <w:r>
        <w:t xml:space="preserve">giant hutias</w:t>
      </w:r>
      <w:r>
        <w:t xml:space="preserve">’</w:t>
      </w:r>
      <w:r>
        <w:t xml:space="preserve">, instead of environmental drivers, the</w:t>
      </w:r>
      <w:r>
        <w:t xml:space="preserve"> </w:t>
      </w:r>
      <w:r>
        <w:t xml:space="preserve">‘</w:t>
      </w:r>
      <w:r>
        <w:t xml:space="preserve">island rule</w:t>
      </w:r>
      <w:r>
        <w:t xml:space="preserve">’</w:t>
      </w:r>
      <w:r>
        <w:t xml:space="preserve"> </w:t>
      </w:r>
      <w:r>
        <w:t xml:space="preserve">(Van Valen 1973b; Damuth 1993; Lomolino 2005; Faurby and Svenning 2016;</w:t>
      </w:r>
      <w:r>
        <w:t xml:space="preserve"> </w:t>
      </w:r>
      <w:r>
        <w:rPr>
          <w:i/>
          <w:iCs/>
        </w:rPr>
        <w:t xml:space="preserve">but see</w:t>
      </w:r>
      <w:r>
        <w:t xml:space="preserve"> </w:t>
      </w:r>
      <w:r>
        <w:t xml:space="preserve">Meiri et al. 2007)</w:t>
      </w:r>
      <w:r>
        <w:t xml:space="preserve"> </w:t>
      </w:r>
      <w:r>
        <w:t xml:space="preserve">has been proposed to explain their spectacular increase in size – particularly in the case of</w:t>
      </w:r>
      <w:r>
        <w:t xml:space="preserve"> </w:t>
      </w:r>
      <m:oMath>
        <m:r>
          <m:rPr>
            <m:sty m:val="p"/>
          </m:rPr>
          <m:t>†</m:t>
        </m:r>
      </m:oMath>
      <w:r>
        <w:rPr>
          <w:i/>
          <w:iCs/>
        </w:rPr>
        <w:t xml:space="preserve">Amblyrhiza</w:t>
      </w:r>
      <w:r>
        <w:t xml:space="preserve"> </w:t>
      </w:r>
      <w:r>
        <w:t xml:space="preserve">(</w:t>
      </w:r>
      <w:r>
        <w:rPr>
          <w:i/>
          <w:iCs/>
        </w:rPr>
        <w:t xml:space="preserve">e</w:t>
      </w:r>
      <w:r>
        <w:t xml:space="preserve">.</w:t>
      </w:r>
      <w:r>
        <w:rPr>
          <w:i/>
          <w:iCs/>
        </w:rPr>
        <w:t xml:space="preserve">g</w:t>
      </w:r>
      <w:r>
        <w:t xml:space="preserve">., Biknevicius et al. 1993; McFarlane et al. 1998)</w:t>
      </w:r>
      <w:r>
        <w:t xml:space="preserve">.</w:t>
      </w:r>
    </w:p>
    <w:p>
      <w:pPr>
        <w:pStyle w:val="BodyText"/>
      </w:pPr>
      <w:r>
        <w:t xml:space="preserve">Besides, questions are also raised by chinchilloid taxonomic and morphological diversity decline. Indeed, the group was diverse in the Late Miocene (Chasicoan–Huayquerian South American Land Mammal Ages [SALMAs]), with at least 20 co-occurring species on the continent</w:t>
      </w:r>
      <w:r>
        <w:t xml:space="preserve"> </w:t>
      </w:r>
      <w:r>
        <w:t xml:space="preserve">(Candela 2005)</w:t>
      </w:r>
      <w:r>
        <w:t xml:space="preserve">, including most of its largest representatives</w:t>
      </w:r>
      <w:r>
        <w:t xml:space="preserve"> </w:t>
      </w:r>
      <w:r>
        <w:t xml:space="preserve">(</w:t>
      </w:r>
      <w:r>
        <w:rPr>
          <w:i/>
          <w:iCs/>
        </w:rPr>
        <w:t xml:space="preserve">e</w:t>
      </w:r>
      <w:r>
        <w:t xml:space="preserve">.</w:t>
      </w:r>
      <w:r>
        <w:rPr>
          <w:i/>
          <w:iCs/>
        </w:rPr>
        <w:t xml:space="preserve">g</w:t>
      </w:r>
      <w:r>
        <w:t xml:space="preserve">., Carrillo and Sánchez-Villagra 2015; Rasia and Candela 2018; Rasia et al. 2024)</w:t>
      </w:r>
      <w:r>
        <w:t xml:space="preserve">. Then, the group experienced a massive decline, wiping out the entire</w:t>
      </w:r>
      <w:r>
        <w:t xml:space="preserve"> </w:t>
      </w:r>
      <m:oMath>
        <m:r>
          <m:rPr>
            <m:sty m:val="p"/>
          </m:rPr>
          <m:t>†</m:t>
        </m:r>
      </m:oMath>
      <w:r>
        <w:t xml:space="preserve">Neoepiblemidae and virtually all representatives of the Dinomyidae. Notably, all large-to-giant forms were concomitantly erased. Nevertheless, despite the apparent size selectivity of the aforementioned decline, the latter does not apply to other traits like hypsodonty. Pliocene cooling and desertification was proposed as a driver underlying the demise of the clade in Southern South America</w:t>
      </w:r>
      <w:r>
        <w:t xml:space="preserve"> </w:t>
      </w:r>
      <w:r>
        <w:t xml:space="preserve">(Vucetich et al. 2015)</w:t>
      </w:r>
      <w:r>
        <w:t xml:space="preserve">. Moreover, 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p>
      <w:pPr>
        <w:pStyle w:val="BodyText"/>
      </w:pPr>
      <w:r>
        <w:t xml:space="preserve">Despite all this, major gaps remain in our understanding of the evolutionary dynamics of Chinchilloidea. In particular, many of the hypotheses raised above have poorly considered the interplay between phenotypic and biological diversification. Previous works relying on a phylogenetic framework illustrated that the dynamics of chinchilloid diversity and body mass evolution were decoupled</w:t>
      </w:r>
      <w:r>
        <w:t xml:space="preserve"> </w:t>
      </w:r>
      <w:r>
        <w:t xml:space="preserve">(Álvarez et al. 2017; Carrillo et al. n.d.)</w:t>
      </w:r>
      <w:r>
        <w:t xml:space="preserve">. However, many extinct taxa lack DNA or sufficient morphological material to be accurately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the factors that underpinned the clade diversification remain elusive despite the major palaeoenvironmental upheavals that took place in South America since the late Eocene (e.g., Andean orogeny, marine introgressions, river network changes, onset of the dry diagonal).</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the literature and used divergence times leading to extant species absent from the fossil record extracted from a dated phylogeny to build the most exhaustive temporal occurrence database ever produced for this group, encompassing 62 genera and 129 species. In parallel, we collected dental traits and measurements in order to carry out body mass reconstructions based on recently-published sets of predictive equations, and reconstructed hyposodonty indices based on crown heights of cheek teeth.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hypsodonty categories.</w:t>
      </w:r>
    </w:p>
    <w:bookmarkEnd w:id="22"/>
    <w:bookmarkStart w:id="34"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which enabled the removal of duplicates and the incorporation of missing published data. We excluded occurrences with open nomenclature names (cf., aff., ?) from upstream analyses.</w:t>
      </w:r>
    </w:p>
    <w:p>
      <w:pPr>
        <w:pStyle w:val="BodyText"/>
      </w:pPr>
      <w:r>
        <w:t xml:space="preserve">We developed a simple approach relying on an exhaustive dated phylogeny extracted from VertLife (</w:t>
      </w:r>
      <w:r>
        <w:rPr>
          <w:i/>
          <w:iCs/>
        </w:rPr>
        <w:t xml:space="preserve">add more info</w:t>
      </w:r>
      <w:r>
        <w:t xml:space="preserve">)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1</w:t>
        </w:r>
      </w:hyperlink>
      <w:r>
        <w:t xml:space="preserve">). Such an incorporation avoided the artificial speciation rate inflation towards the present that we obtained when constraining ourselves to assign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each of these taxa. Combining information from the fossil record and molecular phylogenies for macroevolutionary inference was already done for groups where a large proportion of the extant diversity is absent from the fossil record, like the elasmobranchs</w:t>
      </w:r>
      <w:r>
        <w:t xml:space="preserve"> </w:t>
      </w:r>
      <w:r>
        <w:t xml:space="preserve">(Brée et al. 2022;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times of origination (</w:t>
      </w:r>
      <m:oMath>
        <m:sSub>
          <m:e>
            <m:r>
              <m:t>T</m:t>
            </m:r>
          </m:e>
          <m:sub>
            <m:r>
              <m:t>s</m:t>
            </m:r>
            <m:r>
              <m:rPr>
                <m:sty m:val="p"/>
              </m:rPr>
              <m:t>,</m:t>
            </m:r>
            <m:r>
              <m:t>i</m:t>
            </m:r>
          </m:sub>
        </m:sSub>
      </m:oMath>
      <w:r>
        <w:t xml:space="preserve">), and carried out their macroevolutionary inference out of a single combined origination and extinction times dataset − acknowledging that extant species’ times of extinction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1</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practise,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(HPD 95%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(540 occurrences, 129 species, including 65 singletons) and one genus-level database (771 occurrences, 62 genera, including 19 singletons), spanning the entire lifespan of the clade (from the latest Eocene to present).</w:t>
      </w:r>
    </w:p>
    <w:p>
      <w:pPr>
        <w:pStyle w:val="BodyText"/>
      </w:pPr>
      <w:r>
        <w:t xml:space="preserve">On the basis of their sampling location, occurrences were binned into three spatial domains: Tropical, Extratropical and Caribbean. This spatial binning was conducted to guide the simulation step of DeepDive – see next sections.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occurrence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w:t>
      </w:r>
      <m:oMath>
        <m:r>
          <m:rPr>
            <m:sty m:val="p"/>
          </m:rPr>
          <m:t>&lt;</m:t>
        </m:r>
      </m:oMath>
      <w:r>
        <w:t xml:space="preserve"> </w:t>
      </w:r>
      <w:r>
        <w:t xml:space="preserve">0.5kg), S (0.5–1kg), M (1–10kg), L (10–100kg), XL (100–200kg) and XXL (</w:t>
      </w:r>
      <m:oMath>
        <m:r>
          <m:rPr>
            <m:sty m:val="p"/>
          </m:rPr>
          <m:t>&gt;</m:t>
        </m:r>
      </m:oMath>
      <w:r>
        <w:t xml:space="preserve"> </w:t>
      </w:r>
      <w:r>
        <w:t xml:space="preserve">200kg).</w:t>
      </w:r>
    </w:p>
    <w:p>
      <w:pPr>
        <w:pStyle w:val="BodyText"/>
      </w:pPr>
      <w:r>
        <w:t xml:space="preserve">We scored the tooth growth types of the upper molars mainly based on the hypsodonty index (HI), which corresponds to the crown height of a maximum unworn tooth / its anteroposterior length or labiolingual width [</w:t>
      </w:r>
      <w:r>
        <w:t xml:space="preserve">Van Valen (1960)</w:t>
      </w:r>
      <w:r>
        <w:t xml:space="preserve">;</w:t>
      </w:r>
      <w:r>
        <w:t xml:space="preserve"> </w:t>
      </w:r>
      <w:r>
        <w:t xml:space="preserve">Janis (1988)</w:t>
      </w:r>
      <w:r>
        <w:t xml:space="preserve">; Supp. XXX]. We recognized four categories: brachydont (HI</w:t>
      </w:r>
      <w:r>
        <w:t xml:space="preserve"> </w:t>
      </w:r>
      <m:oMath>
        <m:r>
          <m:rPr>
            <m:sty m:val="p"/>
          </m:rPr>
          <m:t>&lt;</m:t>
        </m:r>
      </m:oMath>
      <w:r>
        <w:t xml:space="preserve"> </w:t>
      </w:r>
      <w:r>
        <w:t xml:space="preserve">0.9, rooted), mesodont (0.9</w:t>
      </w:r>
      <w:r>
        <w:t xml:space="preserve"> </w:t>
      </w:r>
      <m:oMath>
        <m:r>
          <m:rPr>
            <m:sty m:val="p"/>
          </m:rPr>
          <m:t>&lt;</m:t>
        </m:r>
      </m:oMath>
      <w:r>
        <w:t xml:space="preserve"> </w:t>
      </w:r>
      <w:r>
        <w:t xml:space="preserve">HI</w:t>
      </w:r>
      <w:r>
        <w:t xml:space="preserve"> </w:t>
      </w:r>
      <m:oMath>
        <m:r>
          <m:rPr>
            <m:sty m:val="p"/>
          </m:rPr>
          <m:t>&lt;</m:t>
        </m:r>
      </m:oMath>
      <w:r>
        <w:t xml:space="preserve"> </w:t>
      </w:r>
      <w:r>
        <w:t xml:space="preserve">1.1, rooted), protohypsodont (HI</w:t>
      </w:r>
      <w:r>
        <w:t xml:space="preserve"> </w:t>
      </w:r>
      <m:oMath>
        <m:r>
          <m:rPr>
            <m:sty m:val="p"/>
          </m:rPr>
          <m:t>&gt;</m:t>
        </m:r>
      </m:oMath>
      <w:r>
        <w:t xml:space="preserve"> </w:t>
      </w:r>
      <w:r>
        <w:t xml:space="preserve">1.1, rooted), and euhypsodont [HI</w:t>
      </w:r>
      <w:r>
        <w:t xml:space="preserve"> </w:t>
      </w:r>
      <m:oMath>
        <m:r>
          <m:rPr>
            <m:sty m:val="p"/>
          </m:rPr>
          <m:t>&gt;</m:t>
        </m:r>
      </m:oMath>
      <w:r>
        <w:t xml:space="preserve"> </w:t>
      </w:r>
      <w:r>
        <w:t xml:space="preserve">1.1, unrooted;</w:t>
      </w:r>
      <w:r>
        <w:t xml:space="preserve"> </w:t>
      </w:r>
      <w:r>
        <w:t xml:space="preserve">Mones (1982)</w:t>
      </w:r>
      <w:r>
        <w:t xml:space="preserve">;</w:t>
      </w:r>
      <w:r>
        <w:t xml:space="preserve"> </w:t>
      </w:r>
      <w:r>
        <w:t xml:space="preserve">Pérez (2010)</w:t>
      </w:r>
      <w:r>
        <w:t xml:space="preserve">]. The category scoring is derived from literature sources, observations and unpublished measurements made by the authors.</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Genus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S2). We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S3) were further combined. To evaluate the robustness of our analyses, we conducted sensitivity analyses by either removing singletons from the input occurrence database or subsampling to unique locality-lineage combinations, as done in</w:t>
      </w:r>
      <w:r>
        <w:t xml:space="preserve"> </w:t>
      </w:r>
      <w:r>
        <w:t xml:space="preserve">Buffan et al. (2025)</w:t>
      </w:r>
      <w:r>
        <w:t xml:space="preserve"> </w:t>
      </w:r>
      <w:r>
        <w:t xml:space="preserve">(</w:t>
      </w:r>
      <w:r>
        <w:rPr>
          <w:b/>
          <w:bCs/>
        </w:rPr>
        <w:t xml:space="preserve">Supp. Fig. XX</w:t>
      </w:r>
      <w:r>
        <w:t xml:space="preserve"> </w:t>
      </w:r>
      <w:r>
        <w:t xml:space="preserve">and</w:t>
      </w:r>
      <w:r>
        <w:t xml:space="preserve"> </w:t>
      </w:r>
      <w:r>
        <w:rPr>
          <w:b/>
          <w:bCs/>
        </w:rPr>
        <w:t xml:space="preserve">YY</w:t>
      </w:r>
      <w:r>
        <w:t xml:space="preserve">).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SAM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palaoediversity reconstruction framework implemented in DeepDive v1.0.28</w:t>
      </w:r>
      <w:r>
        <w:t xml:space="preserve"> </w:t>
      </w:r>
      <w:r>
        <w:t xml:space="preserve">(Cooper et al. 2024)</w:t>
      </w:r>
      <w:r>
        <w:t xml:space="preserve">. DeepDive uses a spatially-explicit biodiversity simulator coupled with a fossilisation process to simulate fossil occurrences under a wide range of scenarios. Simulation parameters (</w:t>
      </w:r>
      <w:r>
        <w:rPr>
          <w:i/>
          <w:iCs/>
        </w:rPr>
        <w:t xml:space="preserve">e</w:t>
      </w:r>
      <w:r>
        <w:t xml:space="preserve">.</w:t>
      </w:r>
      <w:r>
        <w:rPr>
          <w:i/>
          <w:iCs/>
        </w:rPr>
        <w:t xml:space="preserve">g</w:t>
      </w:r>
      <w:r>
        <w:t xml:space="preserve">., sample size, number of regions, …) can be user-tuned so simulated scenarios reflect more any empirical case study. Then, a deep-learning model relying on recursive neural networks is trained to predict palaeodiversity from a set of features directly extracted from the simulated occurrence datasets (</w:t>
      </w:r>
      <w:r>
        <w:rPr>
          <w:i/>
          <w:iCs/>
        </w:rPr>
        <w:t xml:space="preserve">e</w:t>
      </w:r>
      <w:r>
        <w:t xml:space="preserve">.</w:t>
      </w:r>
      <w:r>
        <w:rPr>
          <w:i/>
          <w:iCs/>
        </w:rPr>
        <w:t xml:space="preserve">g</w:t>
      </w:r>
      <w:r>
        <w:t xml:space="preserve">., number of singletons, range-through diversity, …), within a user-defined set of time bins. We are therefore in a case of supervised learning. Once the model achieves a satisfying training level (quantified with a loss function, see Table S1), the same features are extracted from the empirical set of fossil occurrences and fed into the trained neural network to get an estimate of palaeodiversity through time.</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two, reflecting our empirical dichotomy between tropical and extratropical biomes. We set the number of extant taxa in the simulations – as well as in the predictions – to 340, reflecting the order of magnitude of the number of South American mammal genera</w:t>
      </w:r>
      <w:r>
        <w:t xml:space="preserve"> </w:t>
      </w:r>
      <w:r>
        <w:t xml:space="preserve">(Burgin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Our retained network architecture comprised two LSTM layers (64 and 32 nodes) coupled with one dense layer (32 nodes) (Figure SX-Y and Table S1).</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3" w:name="Xe57631aa6071154f2080e5d1af65f26f612edcb"/>
    <w:p>
      <w:pPr>
        <w:pStyle w:val="Heading2"/>
      </w:pPr>
      <w:r>
        <w:t xml:space="preserve">Drivers behind macroevolutionary patterns</w:t>
      </w:r>
    </w:p>
    <w:bookmarkStart w:id="28"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or more spatially refined.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Condamine et al.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(Etienne et al. 2011; Condamine et al. 2019a, 2020)</w:t>
      </w:r>
      <w:r>
        <w:t xml:space="preserve"> </w:t>
      </w:r>
      <w:r>
        <w:t xml:space="preserve">in a wide range of clades. Therefore, we allowed for diversity-dependence in our environment-dependent diversification (EDD) analyses.</w:t>
      </w:r>
    </w:p>
    <w:bookmarkEnd w:id="28"/>
    <w:bookmarkStart w:id="29"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Each</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w:t>
      </w:r>
      <w:r>
        <w:t xml:space="preserve">is assigned a shrinkage weight (resp.</w:t>
      </w:r>
      <w:r>
        <w:t xml:space="preserve"> </w:t>
      </w:r>
      <m:oMath>
        <m:sSub>
          <m:e>
            <m:r>
              <m:t>w</m:t>
            </m:r>
          </m:e>
          <m:sub>
            <m:r>
              <m:t>λ</m:t>
            </m:r>
            <m:r>
              <m:rPr>
                <m:sty m:val="p"/>
              </m:rPr>
              <m:t>,</m:t>
            </m:r>
            <m:r>
              <m:t>i</m:t>
            </m:r>
          </m:sub>
        </m:sSub>
      </m:oMath>
      <w:r>
        <w:t xml:space="preserve"> </w:t>
      </w:r>
      <w:r>
        <w:t xml:space="preserve">and</w:t>
      </w:r>
      <w:r>
        <w:t xml:space="preserve"> </w:t>
      </w:r>
      <m:oMath>
        <m:sSub>
          <m:e>
            <m:r>
              <m:t>w</m:t>
            </m:r>
          </m:e>
          <m:sub>
            <m:r>
              <m:t>μ</m:t>
            </m:r>
            <m:r>
              <m:rPr>
                <m:sty m:val="p"/>
              </m:rPr>
              <m:t>,</m:t>
            </m:r>
            <m:r>
              <m:t>i</m:t>
            </m:r>
          </m:sub>
        </m:sSub>
      </m:oMath>
      <w:r>
        <w:t xml:space="preserve">), ranging from 0 to 1, testing for the strength of the relationship between the newly-estimated rate and each environmental variable individually. A correlation coefficient</w:t>
      </w:r>
      <w:r>
        <w:t xml:space="preserve"> </w:t>
      </w:r>
      <m:oMath>
        <m:sSub>
          <m:e>
            <m:r>
              <m:t>G</m:t>
            </m:r>
          </m:e>
          <m:sub>
            <m:r>
              <m:rPr>
                <m:sty m:val="p"/>
              </m:rPr>
              <m:t>.</m:t>
            </m:r>
            <m:r>
              <m:rPr>
                <m:sty m:val="p"/>
              </m:rPr>
              <m:t>,</m:t>
            </m:r>
            <m:r>
              <m:t>i</m:t>
            </m:r>
          </m:sub>
        </m:sSub>
      </m:oMath>
      <w:r>
        <w:t xml:space="preserve"> </w:t>
      </w:r>
      <w:r>
        <w:t xml:space="preserve">is considered significant if</w:t>
      </w:r>
      <w:r>
        <w:t xml:space="preserve"> </w:t>
      </w:r>
      <m:oMath>
        <m:r>
          <m:t>m</m:t>
        </m:r>
        <m:r>
          <m:t>e</m:t>
        </m:r>
        <m:r>
          <m:t>d</m:t>
        </m:r>
        <m:r>
          <m:t>i</m:t>
        </m:r>
        <m:r>
          <m:t>a</m:t>
        </m:r>
        <m:r>
          <m:t>n</m:t>
        </m:r>
        <m:d>
          <m:dPr>
            <m:begChr m:val="("/>
            <m:endChr m:val=")"/>
            <m:sepChr m:val=""/>
            <m:grow/>
          </m:dPr>
          <m:e>
            <m:sSub>
              <m:e>
                <m:r>
                  <m:t>w</m:t>
                </m:r>
              </m:e>
              <m:sub>
                <m:r>
                  <m:rPr>
                    <m:sty m:val="p"/>
                  </m:rPr>
                  <m:t>.</m:t>
                </m:r>
                <m:r>
                  <m:rPr>
                    <m:sty m:val="p"/>
                  </m:rPr>
                  <m:t>,</m:t>
                </m:r>
                <m:r>
                  <m:t>i</m:t>
                </m:r>
              </m:sub>
            </m:sSub>
          </m:e>
        </m:d>
        <m:r>
          <m:rPr>
            <m:sty m:val="p"/>
          </m:rPr>
          <m:t>&gt;</m:t>
        </m:r>
        <m:r>
          <m:t>0.5</m:t>
        </m:r>
      </m:oMath>
      <w:r>
        <w:t xml:space="preserve"> </w:t>
      </w:r>
      <w:r>
        <w:t xml:space="preserve">and if its 95% Highest Posterior Density interval (HPD) does not overlap with 0. An MCMC algorithm jointly approximates the posterior distribution of each</w:t>
      </w:r>
      <w:r>
        <w:t xml:space="preserve"> </w:t>
      </w:r>
      <m:oMath>
        <m:sSub>
          <m:e>
            <m:r>
              <m:t>G</m:t>
            </m:r>
          </m:e>
          <m:sub>
            <m:r>
              <m:rPr>
                <m:sty m:val="p"/>
              </m:rPr>
              <m:t>.</m:t>
            </m:r>
            <m:r>
              <m:rPr>
                <m:sty m:val="p"/>
              </m:rPr>
              <m:t>,</m:t>
            </m:r>
            <m:r>
              <m:t>i</m:t>
            </m:r>
          </m:sub>
        </m:sSub>
      </m:oMath>
      <w:r>
        <w:t xml:space="preserve"> </w:t>
      </w:r>
      <w:r>
        <w:t xml:space="preserve">and their associated</w:t>
      </w:r>
      <w:r>
        <w:t xml:space="preserve"> </w:t>
      </w:r>
      <m:oMath>
        <m:sSub>
          <m:e>
            <m:r>
              <m:t>w</m:t>
            </m:r>
          </m:e>
          <m:sub>
            <m:r>
              <m:rPr>
                <m:sty m:val="p"/>
              </m:rPr>
              <m:t>.</m:t>
            </m:r>
            <m:r>
              <m:rPr>
                <m:sty m:val="p"/>
              </m:rPr>
              <m:t>,</m:t>
            </m:r>
            <m:r>
              <m:t>i</m:t>
            </m:r>
          </m:sub>
        </m:sSub>
      </m:oMath>
      <w:r>
        <w:t xml:space="preserve"> </w:t>
      </w:r>
      <w:r>
        <w:t xml:space="preserve">while controlling for over-parameterisation. We scaled environmental predictors prior their incorporation to the model, and ran each set of MBD analyses across 10 million iterations, with a sampling frequency of 10,000.</w:t>
      </w:r>
    </w:p>
    <w:bookmarkEnd w:id="29"/>
    <w:bookmarkStart w:id="31" w:name="X4354b30efd5e7c4fb4ef9647c79b96606b13c61"/>
    <w:p>
      <w:pPr>
        <w:pStyle w:val="Heading3"/>
      </w:pPr>
      <w:r>
        <w:t xml:space="preserve">Birth-Death Neural Networks (BDNN) analyses</w:t>
      </w:r>
    </w:p>
    <w:p>
      <w:pPr>
        <w:pStyle w:val="FirstParagraph"/>
      </w:pPr>
      <w:r>
        <w:t xml:space="preserve">We consolidated our EDD analyses by using the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 vs. exponential dichotomy usually offered by model-based EDD. Consequently, these dependencies can be complex, going beyond linearity, and can change through time.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common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Predictors (</w:t>
      </w:r>
      <w:r>
        <w:rPr>
          <w:i/>
          <w:iCs/>
        </w:rPr>
        <w:t xml:space="preserve">i</w:t>
      </w:r>
      <w:r>
        <w:t xml:space="preserve">.</w:t>
      </w:r>
      <w:r>
        <w:rPr>
          <w:i/>
          <w:iCs/>
        </w:rPr>
        <w:t xml:space="preserve">e</w:t>
      </w:r>
      <w:r>
        <w:t xml:space="preserve">., environmental covariates and categorical traits) were scaled prior to their incorporation in the model. As recommended by</w:t>
      </w:r>
      <w:r>
        <w:t xml:space="preserve"> </w:t>
      </w:r>
      <w:r>
        <w:t xml:space="preserve">Hauffe et al. (2024)</w:t>
      </w:r>
      <w:r>
        <w:t xml:space="preserve">, we tested several network architectures (2 layers with 16 and 8 nodes; 3 layers with 32, 16, 8 nodes). These two alternative architectures did not differ in their outcome (</w:t>
      </w:r>
      <w:r>
        <w:rPr>
          <w:b/>
          <w:bCs/>
        </w:rPr>
        <w:t xml:space="preserve">Fig. SX</w:t>
      </w:r>
      <w:r>
        <w:t xml:space="preserve">,</w:t>
      </w:r>
      <w:r>
        <w:t xml:space="preserve"> </w:t>
      </w:r>
      <w:r>
        <w:rPr>
          <w:b/>
          <w:bCs/>
        </w:rPr>
        <w:t xml:space="preserve">Tab. SX</w:t>
      </w:r>
      <w:r>
        <w:t xml:space="preserve">); all the BDNN results presented thereafter were obtained with the default network architecture (2 layers with 16 and 8 nodes). As BDNN cannot handle missing data, we excluded species for which we could either not reconstruct body mass or hypsodonty index from this set of analysis, altogether representing 11 species</w:t>
      </w:r>
      <w:r>
        <w:rPr>
          <w:rStyle w:val="FootnoteReference"/>
        </w:rPr>
        <w:footnoteReference w:id="30"/>
      </w:r>
      <w:r>
        <w:t xml:space="preserve"> </w:t>
      </w:r>
      <w:r>
        <w:t xml:space="preserve">and 79 occurrences.</w:t>
      </w:r>
    </w:p>
    <w:bookmarkEnd w:id="31"/>
    <w:bookmarkStart w:id="32"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the pymc library v5.9.2 , and we considered parameters achieved convergence if their ESS was above 200.</w:t>
      </w:r>
    </w:p>
    <w:bookmarkEnd w:id="32"/>
    <w:bookmarkEnd w:id="33"/>
    <w:bookmarkEnd w:id="34"/>
    <w:bookmarkStart w:id="38" w:name="results"/>
    <w:p>
      <w:pPr>
        <w:pStyle w:val="Heading1"/>
      </w:pPr>
      <w:r>
        <w:t xml:space="preserve">Results</w:t>
      </w:r>
    </w:p>
    <w:bookmarkStart w:id="35" w:name="Xd55459d85854e517f8c864a962cf735d90667b1"/>
    <w:p>
      <w:pPr>
        <w:pStyle w:val="Heading2"/>
      </w:pPr>
      <w:r>
        <w:t xml:space="preserve">The waxing-and-waning diversity of chinchilloid rodents</w:t>
      </w:r>
    </w:p>
    <w:p>
      <w:pPr>
        <w:pStyle w:val="FirstParagraph"/>
      </w:pPr>
      <w:r>
        <w:t xml:space="preserve">Positive net diversification rate until</w:t>
      </w:r>
      <w:r>
        <w:t xml:space="preserve"> </w:t>
      </w:r>
      <w:r>
        <w:rPr>
          <w:i/>
          <w:iCs/>
        </w:rPr>
        <w:t xml:space="preserve">ca</w:t>
      </w:r>
      <w:r>
        <w:t xml:space="preserve">. 6 Ma, decline and increase in extinction rate (cite figures accordingly).</w:t>
      </w:r>
    </w:p>
    <w:p>
      <w:pPr>
        <w:pStyle w:val="BodyText"/>
      </w:pPr>
      <w:r>
        <w:t xml:space="preserve">All DD architectures performed similarly, as long as they comprised at least one dense layer connecting the output of the LSTM layers to the output layer (</w:t>
      </w:r>
      <w:r>
        <w:rPr>
          <w:b/>
          <w:bCs/>
        </w:rPr>
        <w:t xml:space="preserve">Supp. Tab. 8</w:t>
      </w:r>
      <w:r>
        <w:t xml:space="preserve">).</w:t>
      </w:r>
    </w:p>
    <w:p>
      <w:pPr>
        <w:pStyle w:val="BodyText"/>
      </w:pPr>
      <w:r>
        <w:t xml:space="preserve">The coefficients of rate variations obtained for BDNN (resp. XX and XX) exceeded the thresholds inferred from analyses of 100 simulated datasets generated under a constant-rate birth-death model, matching our empirical data in terms of trait number, age of the clade and (approximately) number of species (resp. XX and XX). This therefore provides evidence for significant rate variations throughout the evolutionary history of Chinchilloidea.</w:t>
      </w:r>
    </w:p>
    <w:bookmarkEnd w:id="35"/>
    <w:bookmarkStart w:id="36" w:name="Xeff14126d71e9a6fc25ff8995a8259fc4cdba78"/>
    <w:p>
      <w:pPr>
        <w:pStyle w:val="Heading2"/>
      </w:pPr>
      <w:r>
        <w:t xml:space="preserve">A body-mass selective XXX XXX evolutionary decline</w:t>
      </w:r>
    </w:p>
    <w:p>
      <w:pPr>
        <w:pStyle w:val="FirstParagraph"/>
      </w:pPr>
      <w:r>
        <w:t xml:space="preserve">Evidence for Cope’s rule</w:t>
      </w:r>
    </w:p>
    <w:p>
      <w:pPr>
        <w:pStyle w:val="BodyText"/>
      </w:pPr>
      <w:r>
        <w:t xml:space="preserve">Speciation rate significantly differs across body size classes, with larger taxa achieving higher values (Fig. X and S5). According to the BDNN model, body size stands out as the first predictor explaining variations in speciation rate within Chinchilloidea, with a</w:t>
      </w:r>
      <w:r>
        <w:t xml:space="preserve"> </w:t>
      </w:r>
      <w:r>
        <w:rPr>
          <w:i/>
          <w:iCs/>
        </w:rPr>
        <w:t xml:space="preserve">ca</w:t>
      </w:r>
      <w:r>
        <w:t xml:space="preserve">. 2.5-fold change obtained between our two extrema (</w:t>
      </w:r>
      <w:r>
        <w:rPr>
          <w:i/>
          <w:iCs/>
        </w:rPr>
        <w:t xml:space="preserve">i</w:t>
      </w:r>
      <w:r>
        <w:t xml:space="preserve">.</w:t>
      </w:r>
      <w:r>
        <w:rPr>
          <w:i/>
          <w:iCs/>
        </w:rPr>
        <w:t xml:space="preserve">e</w:t>
      </w:r>
      <w:r>
        <w:t xml:space="preserve">., XS and XXL =&gt;</w:t>
      </w:r>
      <w:r>
        <w:t xml:space="preserve"> </w:t>
      </w:r>
      <w:r>
        <w:rPr>
          <w:b/>
          <w:bCs/>
        </w:rPr>
        <w:t xml:space="preserve">indicate on the violin plot</w:t>
      </w:r>
      <w:r>
        <w:t xml:space="preserve">).</w:t>
      </w:r>
    </w:p>
    <w:p>
      <w:pPr>
        <w:pStyle w:val="BodyText"/>
      </w:pPr>
      <w:r>
        <w:t xml:space="preserve">In our BDNN analyses, time is always ranked as the least important predictor, suggesting our environmental and trait variable effectively capture signal of rate variation.</w:t>
      </w:r>
    </w:p>
    <w:bookmarkEnd w:id="36"/>
    <w:bookmarkStart w:id="37" w:name="side-notes"/>
    <w:p>
      <w:pPr>
        <w:pStyle w:val="Heading2"/>
      </w:pPr>
      <w:r>
        <w:t xml:space="preserve">Side notes</w:t>
      </w:r>
    </w:p>
    <w:p>
      <w:pPr>
        <w:pStyle w:val="FirstParagraph"/>
      </w:pPr>
      <w:r>
        <w:t xml:space="preserve">Our deep learning-based analysis of diversification provided evidence for significant origination and extinction rates variation as compared to a constant-rate birth-death model with the same amount of lineages and root ages as our empirical data (coefficients of rate variation table).</w:t>
      </w:r>
    </w:p>
    <w:p>
      <w:pPr>
        <w:pStyle w:val="BodyText"/>
      </w:pPr>
      <w:r>
        <w:t xml:space="preserve">Heterogeneity in lineage-specific diversification rates (example of lineages/groups of taxa).</w:t>
      </w:r>
    </w:p>
    <w:p>
      <w:pPr>
        <w:pStyle w:val="BodyText"/>
      </w:pPr>
      <w:r>
        <w:t xml:space="preserve">Also, tropical lineages appear to have overall lower origination and extinction rates, suggesting enhanced biotic turnover outside the tropics.</w:t>
      </w:r>
    </w:p>
    <w:p>
      <w:pPr>
        <w:pStyle w:val="BodyText"/>
      </w:pPr>
      <w:r>
        <w:t xml:space="preserve">Diversity-dependent effects were found to be the most important factor influencing origination rate variations, with decreasing rate values with increasing diversity. Andean uplift and palaeotemperature were respectively ranked at the second and third positions on the predictor importance scale.</w:t>
      </w:r>
    </w:p>
    <w:p>
      <w:pPr>
        <w:pStyle w:val="BodyText"/>
      </w:pPr>
      <w:r>
        <w:t xml:space="preserve">Palaeotemperature was retrieved as most significantly influencing extinction rate variations, via a negative relationship – extinction rate decreases when palaeotemperature increases. Sea level and Andean uplift respectively arrived second and third. At a given palaeotemperature, extinction rate was higher when sea level was higher.</w:t>
      </w:r>
    </w:p>
    <w:p>
      <w:pPr>
        <w:pStyle w:val="BodyText"/>
      </w:pPr>
      <w:r>
        <w:t xml:space="preserve">Results robust to different network architectures.</w:t>
      </w:r>
    </w:p>
    <w:bookmarkEnd w:id="37"/>
    <w:bookmarkEnd w:id="38"/>
    <w:bookmarkStart w:id="47" w:name="discussion"/>
    <w:p>
      <w:pPr>
        <w:pStyle w:val="Heading1"/>
      </w:pPr>
      <w:r>
        <w:t xml:space="preserve">Discussion</w:t>
      </w:r>
    </w:p>
    <w:p>
      <w:pPr>
        <w:pStyle w:val="FirstParagraph"/>
      </w:pPr>
      <w:r>
        <w:t xml:space="preserve">Unlike the evidenced decoupled diversity and disparity patterns evidenced between caviomorph superfamilies</w:t>
      </w:r>
      <w:r>
        <w:t xml:space="preserve"> </w:t>
      </w:r>
      <w:r>
        <w:t xml:space="preserve">(</w:t>
      </w:r>
      <w:r>
        <w:rPr>
          <w:i/>
          <w:iCs/>
        </w:rPr>
        <w:t xml:space="preserve">e</w:t>
      </w:r>
      <w:r>
        <w:t xml:space="preserve">.</w:t>
      </w:r>
      <w:r>
        <w:rPr>
          <w:i/>
          <w:iCs/>
        </w:rPr>
        <w:t xml:space="preserve">g</w:t>
      </w:r>
      <w:r>
        <w:t xml:space="preserve">., Álvarez et al. 2017; Carrillo et al. n.d.)</w:t>
      </w:r>
      <w:r>
        <w:t xml:space="preserve">, our results suggest a coordinated behaviour of chinchilloid diversity and disparity, both peaking in the late Miocene and further declining towards the present.</w:t>
      </w:r>
    </w:p>
    <w:p>
      <w:pPr>
        <w:pStyle w:val="BodyText"/>
      </w:pPr>
      <w:r>
        <w:t xml:space="preserve">Turning point in Dinomyid diversification at high latitudes in the Chasicoan (e.g., Arroyo Chasicó locality, La Pampa, Argentina), with the record of a great number of Euhypsodont taxa, meanwhile protohypsodont taxa became scarcer (though still recovered at lower latitudes)</w:t>
      </w:r>
      <w:r>
        <w:t xml:space="preserve"> </w:t>
      </w:r>
      <w:r>
        <w:t xml:space="preserve">Rasia et al. (2024)</w:t>
      </w:r>
    </w:p>
    <w:p>
      <w:pPr>
        <w:pStyle w:val="BodyText"/>
      </w:pPr>
      <w:r>
        <w:t xml:space="preserve">Our results suggest a</w:t>
      </w:r>
      <w:r>
        <w:t xml:space="preserve"> </w:t>
      </w:r>
      <w:r>
        <w:t xml:space="preserve">“</w:t>
      </w:r>
      <w:r>
        <w:t xml:space="preserve">waxing-and-waning</w:t>
      </w:r>
      <w:r>
        <w:t xml:space="preserve">”</w:t>
      </w:r>
      <w:r>
        <w:t xml:space="preserve"> </w:t>
      </w:r>
      <w:r>
        <w:t xml:space="preserve">diversity pattern for chinchilloid rodents, peaking in the late Miocene (Chasicoan SALMA), with XX reconstructed taxa (fig pyrate) (YY corrected diversity, fig deepdive), and declining thereafter until the 7 extant species. This pattern goes in contradiction with the</w:t>
      </w:r>
      <w:r>
        <w:t xml:space="preserve"> </w:t>
      </w:r>
      <w:r>
        <w:t xml:space="preserve">“</w:t>
      </w:r>
      <w:r>
        <w:t xml:space="preserve">stagnating</w:t>
      </w:r>
      <w:r>
        <w:t xml:space="preserve">”</w:t>
      </w:r>
      <w:r>
        <w:t xml:space="preserve"> </w:t>
      </w:r>
      <w:r>
        <w:t xml:space="preserve">diversity since the Early Oligocene reconstructed by</w:t>
      </w:r>
      <w:r>
        <w:t xml:space="preserve"> </w:t>
      </w:r>
      <w:r>
        <w:t xml:space="preserve">Carrillo et al. (n.d.)</w:t>
      </w:r>
      <w:r>
        <w:t xml:space="preserve">, based on a total-evidence phylogeny. Such a mismatch between phylogeny and occurrence-derived patterns probably comes from the poor representativity of extinct chinchilloid lineages in the phylogenetic reconstruction (31 species) when compared to our occurrence database (13X species).</w:t>
      </w:r>
    </w:p>
    <w:p>
      <w:pPr>
        <w:pStyle w:val="BodyText"/>
      </w:pPr>
      <w:r>
        <w:t xml:space="preserve">Caribbean lineages of Quaternary age (</w:t>
      </w:r>
      <w:r>
        <w:rPr>
          <w:i/>
          <w:iCs/>
        </w:rPr>
        <w:t xml:space="preserve">Elasmodontomys</w:t>
      </w:r>
      <w:r>
        <w:t xml:space="preserve">,</w:t>
      </w:r>
      <w:r>
        <w:t xml:space="preserve"> </w:t>
      </w:r>
      <w:r>
        <w:rPr>
          <w:i/>
          <w:iCs/>
        </w:rPr>
        <w:t xml:space="preserve">Amblyrhiza</w:t>
      </w:r>
      <w:r>
        <w:t xml:space="preserve">,</w:t>
      </w:r>
      <w:r>
        <w:t xml:space="preserve"> </w:t>
      </w:r>
      <w:r>
        <w:rPr>
          <w:i/>
          <w:iCs/>
        </w:rPr>
        <w:t xml:space="preserve">Quemisia</w:t>
      </w:r>
      <w:r>
        <w:t xml:space="preserve"> </w:t>
      </w:r>
      <w:r>
        <w:t xml:space="preserve">and</w:t>
      </w:r>
      <w:r>
        <w:t xml:space="preserve"> </w:t>
      </w:r>
      <w:r>
        <w:rPr>
          <w:i/>
          <w:iCs/>
        </w:rPr>
        <w:t xml:space="preserve">Clidomys</w:t>
      </w:r>
      <w:r>
        <w:t xml:space="preserve">) descend from at least one (but most likely several, see</w:t>
      </w:r>
      <w:r>
        <w:t xml:space="preserve"> </w:t>
      </w:r>
      <w:r>
        <w:t xml:space="preserve">(MacPhee 2011; Marivaux et al. 2020)</w:t>
      </w:r>
      <w:r>
        <w:t xml:space="preserve">) earlier colonisation events of the West Indies by ancestral lineages that could not be preserved in the fossil record</w:t>
      </w:r>
      <w:r>
        <w:t xml:space="preserve"> </w:t>
      </w:r>
      <w:r>
        <w:t xml:space="preserve">(Marivaux et al. 2022)</w:t>
      </w:r>
      <w:r>
        <w:t xml:space="preserve">.</w:t>
      </w:r>
    </w:p>
    <w:p>
      <w:pPr>
        <w:pStyle w:val="BodyText"/>
      </w:pPr>
      <w:r>
        <w:t xml:space="preserve">How about an implication of the GABI in the Pliocene extinction rate increase?</w:t>
      </w:r>
    </w:p>
    <w:bookmarkStart w:id="39" w:name="X1c85fa43b735b363d5a6571363e311d56701ff8"/>
    <w:p>
      <w:pPr>
        <w:pStyle w:val="Heading2"/>
      </w:pPr>
      <w:r>
        <w:t xml:space="preserve">A coupled diversity-disparity dynamic in the Chinchilloidea</w:t>
      </w:r>
    </w:p>
    <w:p>
      <w:pPr>
        <w:pStyle w:val="FirstParagraph"/>
      </w:pPr>
      <w:r>
        <w:t xml:space="preserve">Whether this unique trajectory stems from intrinsic developmental capability, ecological opportunity or a combination of both remains an open question</w:t>
      </w:r>
      <w:r>
        <w:t xml:space="preserve"> </w:t>
      </w:r>
      <w:r>
        <w:t xml:space="preserve">(Vucetich et al. 2015)</w:t>
      </w:r>
    </w:p>
    <w:p>
      <w:pPr>
        <w:pStyle w:val="BodyText"/>
      </w:pPr>
      <w:r>
        <w:t xml:space="preserve">Seminal works highlighted that clades could experience coordinated or decoupled diversity and disparity trajectories linked to biological diversification –</w:t>
      </w:r>
      <w:r>
        <w:t xml:space="preserve"> </w:t>
      </w:r>
      <w:r>
        <w:rPr>
          <w:i/>
          <w:iCs/>
        </w:rPr>
        <w:t xml:space="preserve">i</w:t>
      </w:r>
      <w:r>
        <w:t xml:space="preserve">.</w:t>
      </w:r>
      <w:r>
        <w:rPr>
          <w:i/>
          <w:iCs/>
        </w:rPr>
        <w:t xml:space="preserve">e</w:t>
      </w:r>
      <w:r>
        <w:t xml:space="preserve">., speciation and extinction, the processes generating diversity</w:t>
      </w:r>
      <w:r>
        <w:t xml:space="preserve"> </w:t>
      </w:r>
      <w:r>
        <w:t xml:space="preserve">(Foote 1993, 1997)</w:t>
      </w:r>
      <w:r>
        <w:t xml:space="preserve">. Far from a one-fits-them-all rule, the diversity-disparity interplay was rather shown to be complex and case-dependent, with speciation and extinction either acting as opposing forces or reinforcing one another in the contraction/expansion of the morphospace through evolutionary times</w:t>
      </w:r>
      <w:r>
        <w:t xml:space="preserve"> </w:t>
      </w:r>
      <w:r>
        <w:t xml:space="preserve">(Foote 1993, 1997; Balseiro et al. 2025; Esteve 2025)</w:t>
      </w:r>
      <w:r>
        <w:t xml:space="preserve">. Here, our clade offers an example of coupled dynamics of disparity and diversity</w:t>
      </w:r>
      <w:r>
        <w:t xml:space="preserve"> </w:t>
      </w:r>
      <w:hyperlink w:anchor="fig-diversityBM">
        <w:r>
          <w:rPr>
            <w:rStyle w:val="Hyperlink"/>
          </w:rPr>
          <w:t xml:space="preserve">Figure 3</w:t>
        </w:r>
      </w:hyperlink>
      <w:r>
        <w:t xml:space="preserve">.</w:t>
      </w:r>
    </w:p>
    <w:p>
      <w:pPr>
        <w:pStyle w:val="BodyText"/>
      </w:pPr>
      <w:r>
        <w:t xml:space="preserve">Are we detecting mid-late Miocene pulses of diversification that lead to the differenciation of extant lineages postulated from the fossil record ?</w:t>
      </w:r>
      <w:r>
        <w:t xml:space="preserve"> </w:t>
      </w:r>
      <w:r>
        <w:t xml:space="preserve">Vucetich et al. (2015)</w:t>
      </w:r>
    </w:p>
    <w:p>
      <w:pPr>
        <w:pStyle w:val="BodyText"/>
      </w:pPr>
      <w:r>
        <w:t xml:space="preserve">Clade with a rich fossil record that underwent a taxonomic and possibly ecological decline: parallel with proboscids</w:t>
      </w:r>
      <w:r>
        <w:t xml:space="preserve"> </w:t>
      </w:r>
      <w:r>
        <w:t xml:space="preserve">(Cantalapiedra et al. 2021)</w:t>
      </w:r>
      <w:r>
        <w:t xml:space="preserve">, hippopotamids</w:t>
      </w:r>
      <w:r>
        <w:t xml:space="preserve"> </w:t>
      </w:r>
      <w:r>
        <w:t xml:space="preserve">(Boisserie et al. 2005; Boisserie 2005-)</w:t>
      </w:r>
      <w:r>
        <w:t xml:space="preserve">, rhinocerotids</w:t>
      </w:r>
      <w:r>
        <w:t xml:space="preserve"> </w:t>
      </w:r>
      <w:r>
        <w:t xml:space="preserve">(Antoine et al. 2025)</w:t>
      </w:r>
      <w:r>
        <w:t xml:space="preserve"> </w:t>
      </w:r>
      <w:r>
        <w:t xml:space="preserve">or lamniform sharks</w:t>
      </w:r>
      <w:r>
        <w:t xml:space="preserve"> </w:t>
      </w:r>
      <w:r>
        <w:t xml:space="preserve">(Condamine et al. 2019b)</w:t>
      </w:r>
      <w:r>
        <w:t xml:space="preserve">.</w:t>
      </w:r>
    </w:p>
    <w:bookmarkEnd w:id="39"/>
    <w:bookmarkStart w:id="42" w:name="drivers"/>
    <w:p>
      <w:pPr>
        <w:pStyle w:val="Heading2"/>
      </w:pPr>
      <w:r>
        <w:t xml:space="preserve">Drivers</w:t>
      </w:r>
    </w:p>
    <w:p>
      <w:pPr>
        <w:pStyle w:val="FirstParagraph"/>
      </w:pPr>
      <w:r>
        <w:t xml:space="preserve">Diet !! Evolution towards large to very large body sizes must have implied adaptations in terms of nutrient supply. Did they achieve this by consuming new forms of food? Could landscape opening play a role?</w:t>
      </w:r>
    </w:p>
    <w:p>
      <w:pPr>
        <w:pStyle w:val="BodyText"/>
      </w:pPr>
      <w:r>
        <w:t xml:space="preserve">Come back to</w:t>
      </w:r>
      <w:r>
        <w:t xml:space="preserve"> </w:t>
      </w:r>
      <w:r>
        <w:t xml:space="preserve">Vucetich et al. (2015)</w:t>
      </w:r>
      <w:r>
        <w:t xml:space="preserve"> </w:t>
      </w:r>
      <w:r>
        <w:t xml:space="preserve">hypotheses regarding large size evolution</w:t>
      </w:r>
    </w:p>
    <w:p>
      <w:pPr>
        <w:pStyle w:val="BodyText"/>
      </w:pPr>
      <w:r>
        <w:t xml:space="preserve">Demise of large sizes could also be viewed under the lens of hyperspecialisation, in turn restricting adaptabilities over evolutionary timescales</w:t>
      </w:r>
      <w:r>
        <w:t xml:space="preserve"> </w:t>
      </w:r>
      <w:r>
        <w:t xml:space="preserve">(see Neige and Tiel 2026)</w:t>
      </w:r>
    </w:p>
    <w:p>
      <w:pPr>
        <w:pStyle w:val="BodyText"/>
      </w:pPr>
      <w:r>
        <w:t xml:space="preserve">Our results did not provide any support for hypsodonty-dependent diversification. Contrary to the paradigm</w:t>
      </w:r>
      <w:r>
        <w:t xml:space="preserve"> </w:t>
      </w:r>
      <w:r>
        <w:t xml:space="preserve">(Stebbins 1974)</w:t>
      </w:r>
      <w:r>
        <w:t xml:space="preserve">, previous findings illustrated that evolution of hypsodonty was not necessarily linked to grassland spreading in the Americas</w:t>
      </w:r>
      <w:r>
        <w:t xml:space="preserve"> </w:t>
      </w:r>
      <w:r>
        <w:t xml:space="preserve">(Jardine et al. 2012; Strömberg et al. 2013)</w:t>
      </w:r>
    </w:p>
    <w:p>
      <w:pPr>
        <w:pStyle w:val="BodyText"/>
      </w:pPr>
      <w:r>
        <w:rPr>
          <w:b/>
          <w:bCs/>
        </w:rPr>
        <w:t xml:space="preserve">Cope’s rule: what drives patters of size increase throughout the history of the clades?</w:t>
      </w:r>
    </w:p>
    <w:bookmarkStart w:id="40" w:name="andes"/>
    <w:p>
      <w:pPr>
        <w:pStyle w:val="Heading3"/>
      </w:pPr>
      <w:r>
        <w:t xml:space="preserve">Andes</w:t>
      </w:r>
    </w:p>
    <w:p>
      <w:pPr>
        <w:pStyle w:val="FirstParagraph"/>
      </w:pPr>
      <w:r>
        <w:t xml:space="preserve">Refugia, limiting extinction (MBD). Effect of increasing magnitude as the mountain chain gets higher. On the other hand, negative effect on origination (BDNN), first driver.</w:t>
      </w:r>
      <w:r>
        <w:t xml:space="preserve"> </w:t>
      </w:r>
      <w:r>
        <w:t xml:space="preserve">“</w:t>
      </w:r>
      <w:r>
        <w:t xml:space="preserve">Museum</w:t>
      </w:r>
      <w:r>
        <w:t xml:space="preserve">”</w:t>
      </w:r>
      <w:r>
        <w:t xml:space="preserve">? Bear in mind that our fossil record is biased westwards, likely exacerbating the prominence of the role of the Andes for Neogene SAM diversification.</w:t>
      </w:r>
    </w:p>
    <w:p>
      <w:pPr>
        <w:pStyle w:val="BodyText"/>
      </w:pPr>
      <w:r>
        <w:t xml:space="preserve">Also, late phases of Andean uplift resulted in major changes in hydrographic patterns in Tropical South America (Pebas -&gt; Acre -&gt; Amazon), which were shown to have been a significant trigger for extinctions (or wax-and-waning) among endemic lacustrine faunal assemblages</w:t>
      </w:r>
      <w:r>
        <w:t xml:space="preserve"> </w:t>
      </w:r>
      <w:r>
        <w:t xml:space="preserve">(</w:t>
      </w:r>
      <w:r>
        <w:rPr>
          <w:i/>
          <w:iCs/>
        </w:rPr>
        <w:t xml:space="preserve">e</w:t>
      </w:r>
      <w:r>
        <w:t xml:space="preserve">.</w:t>
      </w:r>
      <w:r>
        <w:rPr>
          <w:i/>
          <w:iCs/>
        </w:rPr>
        <w:t xml:space="preserve">g</w:t>
      </w:r>
      <w:r>
        <w:t xml:space="preserve">., Salas-Gismondi et al. 2015 + mollusks)</w:t>
      </w:r>
      <w:r>
        <w:t xml:space="preserve">. Subsequent effects on terrestrial communities?</w:t>
      </w:r>
    </w:p>
    <w:bookmarkEnd w:id="40"/>
    <w:bookmarkStart w:id="41" w:name="sea-level"/>
    <w:p>
      <w:pPr>
        <w:pStyle w:val="Heading3"/>
      </w:pPr>
      <w:r>
        <w:t xml:space="preserve">Sea level</w:t>
      </w:r>
    </w:p>
    <w:p>
      <w:pPr>
        <w:pStyle w:val="FirstParagraph"/>
      </w:pPr>
      <w:r>
        <w:t xml:space="preserve">Pebas</w:t>
      </w:r>
      <w:r>
        <w:t xml:space="preserve"> </w:t>
      </w:r>
      <w:r>
        <w:t xml:space="preserve">Hoorn et al. (2022)</w:t>
      </w:r>
      <w:r>
        <w:t xml:space="preserve"> </w:t>
      </w:r>
      <w:r>
        <w:t xml:space="preserve">+ Paranaense sea</w:t>
      </w:r>
      <w:r>
        <w:t xml:space="preserve"> </w:t>
      </w:r>
      <w:r>
        <w:t xml:space="preserve">Homero Camacho (1967)</w:t>
      </w:r>
      <w:r>
        <w:t xml:space="preserve">. Retrieved as second most important predictor for extinction rate variations by our BDNN analyses, likely having to do with hydrographic pattern changes.</w:t>
      </w:r>
    </w:p>
    <w:bookmarkEnd w:id="41"/>
    <w:bookmarkEnd w:id="42"/>
    <w:bookmarkStart w:id="43" w:name="body-mass"/>
    <w:p>
      <w:pPr>
        <w:pStyle w:val="Heading2"/>
      </w:pPr>
      <w:r>
        <w:t xml:space="preserve">Body mass</w:t>
      </w:r>
    </w:p>
    <w:p>
      <w:pPr>
        <w:pStyle w:val="FirstParagraph"/>
      </w:pPr>
      <w:r>
        <w:t xml:space="preserve">We found that larger species tend to have higher speciation rates than smaller ones. This apparently counter-intuitive finding could reflect the fact that, at least among mammals, larger species usually have lower effective population sizes and in turn accumulate more deleterious mutations, in turn likely to generate diversity</w:t>
      </w:r>
    </w:p>
    <w:p>
      <w:pPr>
        <w:pStyle w:val="BodyText"/>
      </w:pPr>
      <w:r>
        <w:t xml:space="preserve">Became larger as time went forward (DTT plot), by-product of the Cope’s rule?</w:t>
      </w:r>
    </w:p>
    <w:p>
      <w:pPr>
        <w:pStyle w:val="BodyText"/>
      </w:pPr>
      <w:r>
        <w:t xml:space="preserve">Broad trend to be large in the Miocene, parallel with sloths</w:t>
      </w:r>
      <w:r>
        <w:t xml:space="preserve"> </w:t>
      </w:r>
      <w:r>
        <w:t xml:space="preserve">Boscaini et al. (2025)</w:t>
      </w:r>
    </w:p>
    <w:p>
      <w:pPr>
        <w:pStyle w:val="BodyText"/>
      </w:pPr>
      <w:r>
        <w:t xml:space="preserve">Do large species diversify at a different pace?</w:t>
      </w:r>
      <w:r>
        <w:t xml:space="preserve"> </w:t>
      </w:r>
      <w:r>
        <w:t xml:space="preserve">Liow et al. (2008)</w:t>
      </w:r>
    </w:p>
    <w:p>
      <w:pPr>
        <w:pStyle w:val="BodyText"/>
      </w:pPr>
      <w:r>
        <w:t xml:space="preserve">Why did chinchilloid follow Cope’s rule whereas octodontoids did not?</w:t>
      </w:r>
    </w:p>
    <w:bookmarkEnd w:id="43"/>
    <w:bookmarkStart w:id="46" w:name="limitations-and-perspectives"/>
    <w:p>
      <w:pPr>
        <w:pStyle w:val="Heading2"/>
      </w:pPr>
      <w:r>
        <w:t xml:space="preserve">Limitations and perspectives</w:t>
      </w:r>
    </w:p>
    <w:bookmarkStart w:id="44" w:name="taxonomic-uncertainties"/>
    <w:p>
      <w:pPr>
        <w:pStyle w:val="Heading3"/>
      </w:pPr>
      <w:r>
        <w:t xml:space="preserve">Taxonomic uncertainties</w:t>
      </w:r>
    </w:p>
    <w:p>
      <w:pPr>
        <w:pStyle w:val="FirstParagraph"/>
      </w:pPr>
      <w:r>
        <w:t xml:space="preserve">In the framework of Chinchilloidea, taxonomic uncertainties regarding key taxa (or faunas) surely hampers our appreciation of their evolutionary history.</w:t>
      </w:r>
    </w:p>
    <w:p>
      <w:pPr>
        <w:pStyle w:val="BodyText"/>
      </w:pPr>
      <w:r>
        <w:t xml:space="preserve">‘</w:t>
      </w:r>
      <w:r>
        <w:t xml:space="preserve">Mesopotamiense</w:t>
      </w:r>
      <w:r>
        <w:t xml:space="preserve">’</w:t>
      </w:r>
      <w:r>
        <w:t xml:space="preserve"> </w:t>
      </w:r>
      <w:r>
        <w:t xml:space="preserve">fauna</w:t>
      </w:r>
      <w:r>
        <w:t xml:space="preserve"> </w:t>
      </w:r>
      <w:r>
        <w:t xml:space="preserve">(Candela 2005; Candela et al. 2013-)</w:t>
      </w:r>
      <w:r>
        <w:t xml:space="preserve"> </w:t>
      </w:r>
      <w:r>
        <w:t xml:space="preserve">is mostly made of singletons. Large endemism, as discussed by</w:t>
      </w:r>
      <w:r>
        <w:t xml:space="preserve"> </w:t>
      </w:r>
      <w:r>
        <w:t xml:space="preserve">Candela et al. (2013)</w:t>
      </w:r>
      <w:r>
        <w:t xml:space="preserve">, but our extinction rate inflation pattern greatly relies on it (</w:t>
      </w:r>
      <w:r>
        <w:rPr>
          <w:b/>
          <w:bCs/>
        </w:rPr>
        <w:t xml:space="preserve">Fig. SX</w:t>
      </w:r>
      <w:r>
        <w:t xml:space="preserve">)</w:t>
      </w:r>
    </w:p>
    <w:p>
      <w:pPr>
        <w:pStyle w:val="BodyText"/>
      </w:pPr>
      <w:r>
        <w:t xml:space="preserve">Lack of phylogenetic framework, hence ignoring phylogenetic relatedness, though proven relevant in previous analyses as we cannot exclude that the relationship that we find between traits (here body size) and diversification rates to be an artefact of phylogenetic inertia</w:t>
      </w:r>
      <w:r>
        <w:t xml:space="preserve"> </w:t>
      </w:r>
      <w:r>
        <w:t xml:space="preserve">(</w:t>
      </w:r>
      <w:r>
        <w:rPr>
          <w:i/>
          <w:iCs/>
        </w:rPr>
        <w:t xml:space="preserve">e</w:t>
      </w:r>
      <w:r>
        <w:t xml:space="preserve">.</w:t>
      </w:r>
      <w:r>
        <w:rPr>
          <w:i/>
          <w:iCs/>
        </w:rPr>
        <w:t xml:space="preserve">g</w:t>
      </w:r>
      <w:r>
        <w:t xml:space="preserve">., Hauffe et al. 2024)</w:t>
      </w:r>
      <w:r>
        <w:t xml:space="preserve">. Phylogeny unresolved for key nodes though</w:t>
      </w:r>
      <w:r>
        <w:t xml:space="preserve"> </w:t>
      </w:r>
      <w:r>
        <w:t xml:space="preserve">(</w:t>
      </w:r>
      <w:r>
        <w:rPr>
          <w:i/>
          <w:iCs/>
        </w:rPr>
        <w:t xml:space="preserve">e</w:t>
      </w:r>
      <w:r>
        <w:t xml:space="preserve">.</w:t>
      </w:r>
      <w:r>
        <w:rPr>
          <w:i/>
          <w:iCs/>
        </w:rPr>
        <w:t xml:space="preserve">g</w:t>
      </w:r>
      <w:r>
        <w:t xml:space="preserve">., Boivin et al. 2019; Marivaux et al. 2020; Rasia et al. 2021,</w:t>
      </w:r>
      <w:r>
        <w:t xml:space="preserve"> </w:t>
      </w:r>
      <w:r>
        <w:rPr>
          <w:b/>
          <w:bCs/>
        </w:rPr>
        <w:t xml:space="preserve">work in progress</w:t>
      </w:r>
      <w:r>
        <w:t xml:space="preserve">)</w:t>
      </w:r>
      <w:r>
        <w:t xml:space="preserve">.</w:t>
      </w:r>
    </w:p>
    <w:p>
      <w:pPr>
        <w:pStyle w:val="BodyText"/>
      </w:pPr>
      <w:r>
        <w:t xml:space="preserve">Phylogenetic framework:</w:t>
      </w:r>
    </w:p>
    <w:p>
      <w:pPr>
        <w:pStyle w:val="Compact"/>
        <w:numPr>
          <w:ilvl w:val="0"/>
          <w:numId w:val="1001"/>
        </w:numPr>
      </w:pPr>
      <w:r>
        <w:t xml:space="preserve">Test for the direct effet of intraspecific interaction in the rate of body mass evolution [</w:t>
      </w:r>
      <w:r>
        <w:t xml:space="preserve">Drury et al. (2016)</w:t>
      </w:r>
      <w:r>
        <w:t xml:space="preserve">; chabrol inch’bouddah]</w:t>
      </w:r>
    </w:p>
    <w:p>
      <w:pPr>
        <w:pStyle w:val="Compact"/>
        <w:numPr>
          <w:ilvl w:val="0"/>
          <w:numId w:val="1001"/>
        </w:numPr>
      </w:pPr>
      <w:r>
        <w:t xml:space="preserve">Assess whether larger (or larger-crowned) species have different pace of diversification (SSE model)</w:t>
      </w:r>
    </w:p>
    <w:bookmarkEnd w:id="44"/>
    <w:bookmarkStart w:id="45" w:name="size-increase-pattern"/>
    <w:p>
      <w:pPr>
        <w:pStyle w:val="Heading3"/>
      </w:pPr>
      <w:r>
        <w:t xml:space="preserve">Size-increase pattern</w:t>
      </w:r>
    </w:p>
    <w:p>
      <w:pPr>
        <w:pStyle w:val="FirstParagraph"/>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Torsten Hauffe for his advice regarding the use of BDNN. Rebecca B. Cooper and Bethany J. Allen for their willingness to help with the use of DeepDive and DeepDiveR. L.B. was funded by a grant offered by the École Normale Supérieure de Lyon.</w:t>
      </w:r>
    </w:p>
    <w:p>
      <w:r>
        <w:br w:type="page"/>
      </w:r>
    </w:p>
    <w:bookmarkEnd w:id="49"/>
    <w:bookmarkStart w:id="266" w:name="references"/>
    <w:p>
      <w:pPr>
        <w:pStyle w:val="Heading1"/>
      </w:pPr>
      <w:r>
        <w:t xml:space="preserve">References</w:t>
      </w:r>
    </w:p>
    <w:bookmarkStart w:id="265" w:name="refs"/>
    <w:bookmarkStart w:id="51" w:name="ref-álvarez2017"/>
    <w:p>
      <w:pPr>
        <w:pStyle w:val="Bibliography"/>
      </w:pPr>
      <w:r>
        <w:t xml:space="preserve">Álvarez, A., R. L. M. Arévalo, and D. H. Verzi. 2017.</w:t>
      </w:r>
      <w:r>
        <w:t xml:space="preserve"> </w:t>
      </w:r>
      <w:hyperlink r:id="rId50">
        <w:r>
          <w:rPr>
            <w:rStyle w:val="Hyperlink"/>
          </w:rPr>
          <w:t xml:space="preserve">Diversification patterns and size evolution in caviomorph rodents</w:t>
        </w:r>
      </w:hyperlink>
      <w:r>
        <w:t xml:space="preserve">. Biological Journal of the Linnean Society 121:907–922.</w:t>
      </w:r>
    </w:p>
    <w:bookmarkEnd w:id="51"/>
    <w:bookmarkStart w:id="53" w:name="ref-antoine2025"/>
    <w:p>
      <w:pPr>
        <w:pStyle w:val="Bibliography"/>
      </w:pPr>
      <w:r>
        <w:t xml:space="preserve">Antoine, P.-O., D. Becker, L. Pandolfi, and D. Geraads. 2025.</w:t>
      </w:r>
      <w:r>
        <w:t xml:space="preserve"> </w:t>
      </w:r>
      <w:hyperlink r:id="rId52">
        <w:r>
          <w:rPr>
            <w:rStyle w:val="Hyperlink"/>
          </w:rPr>
          <w:t xml:space="preserve">Evolution and Fossil Record of Old World Rhinocerotidae</w:t>
        </w:r>
      </w:hyperlink>
      <w:r>
        <w:t xml:space="preserve">. Pp. 31–48</w:t>
      </w:r>
      <w:r>
        <w:t xml:space="preserve"> </w:t>
      </w:r>
      <w:r>
        <w:rPr>
          <w:i/>
          <w:iCs/>
        </w:rPr>
        <w:t xml:space="preserve">in</w:t>
      </w:r>
      <w:r>
        <w:t xml:space="preserve"> </w:t>
      </w:r>
      <w:r>
        <w:t xml:space="preserve">M. Melletti, B. Talukdar, and D. Balfour, eds. Springer Nature Switzerland, Cham.</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5"/>
    <w:bookmarkStart w:id="57" w:name="ref-antonelli2009"/>
    <w:p>
      <w:pPr>
        <w:pStyle w:val="Bibliography"/>
      </w:pPr>
      <w:r>
        <w:t xml:space="preserve">Antonelli, A., J. A. A. Nylander, C. Persson, and I. Sanmartín. 2009.</w:t>
      </w:r>
      <w:r>
        <w:t xml:space="preserve"> </w:t>
      </w:r>
      <w:hyperlink r:id="rId56">
        <w:r>
          <w:rPr>
            <w:rStyle w:val="Hyperlink"/>
          </w:rPr>
          <w:t xml:space="preserve">Tracing the impact of the andean uplift on neotropical plant evolution</w:t>
        </w:r>
      </w:hyperlink>
      <w:r>
        <w:t xml:space="preserve">. Proceedings of the National Academy of Sciences 106:9749–9754.</w:t>
      </w:r>
    </w:p>
    <w:bookmarkEnd w:id="57"/>
    <w:bookmarkStart w:id="59" w:name="ref-armella2026"/>
    <w:p>
      <w:pPr>
        <w:pStyle w:val="Bibliography"/>
      </w:pPr>
      <w:r>
        <w:t xml:space="preserve">Armella, M. A., and D. A. Croft. 2026.</w:t>
      </w:r>
      <w:r>
        <w:t xml:space="preserve"> </w:t>
      </w:r>
      <w:hyperlink r:id="rId58">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59"/>
    <w:bookmarkStart w:id="61" w:name="ref-balseiro2025"/>
    <w:p>
      <w:pPr>
        <w:pStyle w:val="Bibliography"/>
      </w:pPr>
      <w:r>
        <w:t xml:space="preserve">Balseiro, D., F. Serra, and A. Bignon. 2025. Extinction drives both expansion and contraction of morphological disparity in trilobites. Proceedings B, doi:</w:t>
      </w:r>
      <w:r>
        <w:t xml:space="preserve"> </w:t>
      </w:r>
      <w:hyperlink r:id="rId60">
        <w:r>
          <w:rPr>
            <w:rStyle w:val="Hyperlink"/>
          </w:rPr>
          <w:t xml:space="preserve">10.1098/rspb.2025.1418</w:t>
        </w:r>
      </w:hyperlink>
      <w:r>
        <w:t xml:space="preserve">.</w:t>
      </w:r>
    </w:p>
    <w:bookmarkEnd w:id="61"/>
    <w:bookmarkStart w:id="63" w:name="ref-barnosky2001"/>
    <w:p>
      <w:pPr>
        <w:pStyle w:val="Bibliography"/>
      </w:pPr>
      <w:r>
        <w:t xml:space="preserve">Barnosky, A. D. 2001.</w:t>
      </w:r>
      <w:r>
        <w:t xml:space="preserve"> </w:t>
      </w:r>
      <w:hyperlink r:id="rId62">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3"/>
    <w:bookmarkStart w:id="65" w:name="ref-benton2009"/>
    <w:p>
      <w:pPr>
        <w:pStyle w:val="Bibliography"/>
      </w:pPr>
      <w:r>
        <w:t xml:space="preserve">Benton, M. J. 2009.</w:t>
      </w:r>
      <w:r>
        <w:t xml:space="preserve"> </w:t>
      </w:r>
      <w:hyperlink r:id="rId64">
        <w:r>
          <w:rPr>
            <w:rStyle w:val="Hyperlink"/>
          </w:rPr>
          <w:t xml:space="preserve">The red queen and the court jester: Species diversity and the role of biotic and abiotic factors through time</w:t>
        </w:r>
      </w:hyperlink>
      <w:r>
        <w:t xml:space="preserve">. Science 323:728–732.</w:t>
      </w:r>
    </w:p>
    <w:bookmarkEnd w:id="65"/>
    <w:bookmarkStart w:id="67"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66">
        <w:r>
          <w:rPr>
            <w:rStyle w:val="Hyperlink"/>
          </w:rPr>
          <w:t xml:space="preserve">A heavyweight early whale pushes the boundaries of vertebrate morphology</w:t>
        </w:r>
      </w:hyperlink>
      <w:r>
        <w:t xml:space="preserve">. Nature 620:824–829.</w:t>
      </w:r>
    </w:p>
    <w:bookmarkEnd w:id="67"/>
    <w:bookmarkStart w:id="68"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68"/>
    <w:bookmarkStart w:id="70" w:name="ref-billet2009"/>
    <w:p>
      <w:pPr>
        <w:pStyle w:val="Bibliography"/>
      </w:pPr>
      <w:r>
        <w:t xml:space="preserve">Billet, G., C. Blondel, and C. de Muizon. 2009.</w:t>
      </w:r>
      <w:r>
        <w:t xml:space="preserve"> </w:t>
      </w:r>
      <w:hyperlink r:id="rId69">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0"/>
    <w:bookmarkStart w:id="72" w:name="ref-boessenecker2019"/>
    <w:p>
      <w:pPr>
        <w:pStyle w:val="Bibliography"/>
      </w:pPr>
      <w:r>
        <w:t xml:space="preserve">Boessenecker, R. W., D. J. Ehret, D. J. Long, M. Churchill, E. Martin, and S. J. Boessenecker. 2019.</w:t>
      </w:r>
      <w:r>
        <w:t xml:space="preserve"> </w:t>
      </w:r>
      <w:hyperlink r:id="rId71">
        <w:r>
          <w:rPr>
            <w:rStyle w:val="Hyperlink"/>
          </w:rPr>
          <w:t xml:space="preserve">The Early Pliocene extinction of the mega-toothed shark Otodus megalodon: a view from the eastern North Pacific</w:t>
        </w:r>
      </w:hyperlink>
      <w:r>
        <w:t xml:space="preserve">. PeerJ 7:e6088.</w:t>
      </w:r>
    </w:p>
    <w:bookmarkEnd w:id="72"/>
    <w:bookmarkStart w:id="74" w:name="ref-boisserie_phylogeny_2005"/>
    <w:p>
      <w:pPr>
        <w:pStyle w:val="Bibliography"/>
      </w:pPr>
      <w:r>
        <w:t xml:space="preserve">Boisserie, J.-R. 2005.</w:t>
      </w:r>
      <w:r>
        <w:t xml:space="preserve"> </w:t>
      </w:r>
      <w:hyperlink r:id="rId73">
        <w:r>
          <w:rPr>
            <w:rStyle w:val="Hyperlink"/>
          </w:rPr>
          <w:t xml:space="preserve">The phylogeny and taxonomy of hippopotamidae (mammalia: Artiodactyla): A review based on morphology and cladistic analysis</w:t>
        </w:r>
      </w:hyperlink>
      <w:r>
        <w:t xml:space="preserve">. Zool J Linn Soc 143:1–26.</w:t>
      </w:r>
    </w:p>
    <w:bookmarkEnd w:id="74"/>
    <w:bookmarkStart w:id="76" w:name="ref-boisserie2005"/>
    <w:p>
      <w:pPr>
        <w:pStyle w:val="Bibliography"/>
      </w:pPr>
      <w:r>
        <w:t xml:space="preserve">Boisserie, J.-R., F. Lihoreau, and M. Brunet. 2005.</w:t>
      </w:r>
      <w:r>
        <w:t xml:space="preserve"> </w:t>
      </w:r>
      <w:hyperlink r:id="rId75">
        <w:r>
          <w:rPr>
            <w:rStyle w:val="Hyperlink"/>
          </w:rPr>
          <w:t xml:space="preserve">The position of hippopotamidae within cetartiodactyla</w:t>
        </w:r>
      </w:hyperlink>
      <w:r>
        <w:t xml:space="preserve">. Proceedings of the National Academy of Sciences 102:1537–1541.</w:t>
      </w:r>
    </w:p>
    <w:bookmarkEnd w:id="76"/>
    <w:bookmarkStart w:id="78" w:name="ref-boivin2024"/>
    <w:p>
      <w:pPr>
        <w:pStyle w:val="Bibliography"/>
      </w:pPr>
      <w:r>
        <w:t xml:space="preserve">Boivin, M., A. Álvarez, M. D. Ercoli, S. R. Moyano, J. S. Salgado-Ahumada, A. M. O. Tejerina, and G. H. Cassini. 2024.</w:t>
      </w:r>
      <w:r>
        <w:t xml:space="preserve"> </w:t>
      </w:r>
      <w:hyperlink r:id="rId77">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78"/>
    <w:bookmarkStart w:id="80" w:name="ref-boivin2019"/>
    <w:p>
      <w:pPr>
        <w:pStyle w:val="Bibliography"/>
      </w:pPr>
      <w:r>
        <w:t xml:space="preserve">Boivin, M., L. Marivaux, and P.-O. Antoine. 2019.</w:t>
      </w:r>
      <w:r>
        <w:t xml:space="preserve"> </w:t>
      </w:r>
      <w:hyperlink r:id="rId79">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0"/>
    <w:bookmarkStart w:id="82"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1">
        <w:r>
          <w:rPr>
            <w:rStyle w:val="Hyperlink"/>
          </w:rPr>
          <w:t xml:space="preserve">The emergence and demise of giant sloths</w:t>
        </w:r>
      </w:hyperlink>
      <w:r>
        <w:t xml:space="preserve">. Science 388:864–868.</w:t>
      </w:r>
    </w:p>
    <w:bookmarkEnd w:id="82"/>
    <w:bookmarkStart w:id="84" w:name="ref-boschman2021"/>
    <w:p>
      <w:pPr>
        <w:pStyle w:val="Bibliography"/>
      </w:pPr>
      <w:r>
        <w:t xml:space="preserve">Boschman, L. M. 2021.</w:t>
      </w:r>
      <w:r>
        <w:t xml:space="preserve"> </w:t>
      </w:r>
      <w:hyperlink r:id="rId83">
        <w:r>
          <w:rPr>
            <w:rStyle w:val="Hyperlink"/>
          </w:rPr>
          <w:t xml:space="preserve">Andean mountain building since the late cretaceous: A paleoelevation reconstruction</w:t>
        </w:r>
      </w:hyperlink>
      <w:r>
        <w:t xml:space="preserve">. Earth-Science Reviews 220:103640.</w:t>
      </w:r>
    </w:p>
    <w:bookmarkEnd w:id="84"/>
    <w:bookmarkStart w:id="86" w:name="ref-brandoni2016"/>
    <w:p>
      <w:pPr>
        <w:pStyle w:val="Bibliography"/>
      </w:pPr>
      <w:r>
        <w:t xml:space="preserve">Brandoni, D., L. G. Ruiz, M. F. Tejedor, G. Martin, and J. G. Fleagle. 2016.</w:t>
      </w:r>
      <w:r>
        <w:t xml:space="preserve"> </w:t>
      </w:r>
      <w:hyperlink r:id="rId85">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86"/>
    <w:bookmarkStart w:id="88" w:name="ref-brée2022"/>
    <w:p>
      <w:pPr>
        <w:pStyle w:val="Bibliography"/>
      </w:pPr>
      <w:r>
        <w:t xml:space="preserve">Brée, B., F. L. Condamine, and G. Guinot. 2022.</w:t>
      </w:r>
      <w:r>
        <w:t xml:space="preserve"> </w:t>
      </w:r>
      <w:hyperlink r:id="rId87">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88"/>
    <w:bookmarkStart w:id="90" w:name="ref-buffan2025"/>
    <w:p>
      <w:pPr>
        <w:pStyle w:val="Bibliography"/>
      </w:pPr>
      <w:r>
        <w:t xml:space="preserve">Buffan, L., F. L. Condamine, N. S. Stutz, F. Pujos, P.-O. Antoine, and L. Marivaux. 2025.</w:t>
      </w:r>
      <w:r>
        <w:t xml:space="preserve"> </w:t>
      </w:r>
      <w:hyperlink r:id="rId89">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90"/>
    <w:bookmarkStart w:id="92" w:name="ref-burgin2025"/>
    <w:p>
      <w:pPr>
        <w:pStyle w:val="Bibliography"/>
      </w:pPr>
      <w:r>
        <w:t xml:space="preserve">Burgin, C. J., J. S. Zijlstra, M. A. Becker, H. Handika, J. M. Alston, J. Widness, S. Liphardt, D. G. Huckaby, and N. S. Upham. 2025. How many mammal species are there now? Updates and trends in taxonomic, nomenclatural, and geographic knowledge, doi:</w:t>
      </w:r>
      <w:r>
        <w:t xml:space="preserve"> </w:t>
      </w:r>
      <w:hyperlink r:id="rId91">
        <w:r>
          <w:rPr>
            <w:rStyle w:val="Hyperlink"/>
          </w:rPr>
          <w:t xml:space="preserve">10.1101/2025.02.27.640393</w:t>
        </w:r>
      </w:hyperlink>
      <w:r>
        <w:t xml:space="preserve">. bioRxiv.</w:t>
      </w:r>
    </w:p>
    <w:bookmarkEnd w:id="92"/>
    <w:bookmarkStart w:id="93"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3"/>
    <w:bookmarkStart w:id="95" w:name="ref-candela2013"/>
    <w:p>
      <w:pPr>
        <w:pStyle w:val="Bibliography"/>
      </w:pPr>
      <w:r>
        <w:t xml:space="preserve">Candela, A. M., G. H. Cassini, and N. L. Nasif. 2013.</w:t>
      </w:r>
      <w:r>
        <w:t xml:space="preserve"> </w:t>
      </w:r>
      <w:hyperlink r:id="rId94">
        <w:r>
          <w:rPr>
            <w:rStyle w:val="Hyperlink"/>
          </w:rPr>
          <w:t xml:space="preserve">Fractal dimension and cheek teeth crown complexity in the giant rodent eumegamys paranensis</w:t>
        </w:r>
      </w:hyperlink>
      <w:r>
        <w:t xml:space="preserve">. Lethaia 46:369–377.</w:t>
      </w:r>
    </w:p>
    <w:bookmarkEnd w:id="95"/>
    <w:bookmarkStart w:id="97" w:name="ref-cantalapiedra2021"/>
    <w:p>
      <w:pPr>
        <w:pStyle w:val="Bibliography"/>
      </w:pPr>
      <w:r>
        <w:t xml:space="preserve">Cantalapiedra, J. L., Ó. Sanisidro, H. Zhang, M. T. Alberdi, J. L. Prado, F. Blanco, and J. Saarinen. 2021.</w:t>
      </w:r>
      <w:r>
        <w:t xml:space="preserve"> </w:t>
      </w:r>
      <w:hyperlink r:id="rId96">
        <w:r>
          <w:rPr>
            <w:rStyle w:val="Hyperlink"/>
          </w:rPr>
          <w:t xml:space="preserve">The rise and fall of proboscidean ecological diversity</w:t>
        </w:r>
      </w:hyperlink>
      <w:r>
        <w:t xml:space="preserve">. Nature Ecology &amp; Evolution 5:1266–1272.</w:t>
      </w:r>
    </w:p>
    <w:bookmarkEnd w:id="97"/>
    <w:bookmarkStart w:id="99" w:name="ref-carrillo_giant_2015"/>
    <w:p>
      <w:pPr>
        <w:pStyle w:val="Bibliography"/>
      </w:pPr>
      <w:r>
        <w:t xml:space="preserve">Carrillo, J. D., and M. R. Sánchez-Villagra. 2015.</w:t>
      </w:r>
      <w:r>
        <w:t xml:space="preserve"> </w:t>
      </w:r>
      <w:hyperlink r:id="rId98">
        <w:r>
          <w:rPr>
            <w:rStyle w:val="Hyperlink"/>
          </w:rPr>
          <w:t xml:space="preserve">Giant rodents from the neotropics: Diversity and dental variation of late miocene neoepiblemid remains from urumaco, venezuela</w:t>
        </w:r>
      </w:hyperlink>
      <w:r>
        <w:t xml:space="preserve">. Paläontol Z 89:1057–1071.</w:t>
      </w:r>
    </w:p>
    <w:bookmarkEnd w:id="99"/>
    <w:bookmarkStart w:id="100" w:name="ref-carrillo"/>
    <w:p>
      <w:pPr>
        <w:pStyle w:val="Bibliography"/>
      </w:pPr>
      <w:r>
        <w:t xml:space="preserve">Carrillo, J. D., M. F. Torres Jiménez, F. J. Urrea-Barreto, A. Antonelli, C. Bacon, S. Faurby, and D. Silvestro. n.d. Decoupled diversity and disparity after faunistic turnover in caviomorph rodents.</w:t>
      </w:r>
    </w:p>
    <w:bookmarkEnd w:id="100"/>
    <w:bookmarkStart w:id="102" w:name="ref-chiarenza2020"/>
    <w:p>
      <w:pPr>
        <w:pStyle w:val="Bibliography"/>
      </w:pPr>
      <w:r>
        <w:t xml:space="preserve">Chiarenza, A. A., A. Farnsworth, P. D. Mannion, D. J. Lunt, P. J. Valdes, J. V. Morgan, and P. A. Allison. 2020.</w:t>
      </w:r>
      <w:r>
        <w:t xml:space="preserve"> </w:t>
      </w:r>
      <w:hyperlink r:id="rId101">
        <w:r>
          <w:rPr>
            <w:rStyle w:val="Hyperlink"/>
          </w:rPr>
          <w:t xml:space="preserve">Asteroid impact, not volcanism, caused the end-cretaceous dinosaur extinction</w:t>
        </w:r>
      </w:hyperlink>
      <w:r>
        <w:t xml:space="preserve">. Proceedings of the National Academy of Sciences 117:17084–17093.</w:t>
      </w:r>
    </w:p>
    <w:bookmarkEnd w:id="102"/>
    <w:bookmarkStart w:id="104" w:name="ref-cohen2025"/>
    <w:p>
      <w:pPr>
        <w:pStyle w:val="Bibliography"/>
      </w:pPr>
      <w:r>
        <w:t xml:space="preserve">Cohen, K., D. Harper, P. Gibbard, and N. Car. 2025.</w:t>
      </w:r>
      <w:r>
        <w:t xml:space="preserve"> </w:t>
      </w:r>
      <w:hyperlink r:id="rId103">
        <w:r>
          <w:rPr>
            <w:rStyle w:val="Hyperlink"/>
          </w:rPr>
          <w:t xml:space="preserve">The ICS international chronostratigraphic chart this decade</w:t>
        </w:r>
      </w:hyperlink>
      <w:r>
        <w:t xml:space="preserve">. Episodes Journal of International Geoscience 48:105–115.</w:t>
      </w:r>
    </w:p>
    <w:bookmarkEnd w:id="104"/>
    <w:bookmarkStart w:id="106" w:name="ref-condamine2018"/>
    <w:p>
      <w:pPr>
        <w:pStyle w:val="Bibliography"/>
      </w:pPr>
      <w:r>
        <w:t xml:space="preserve">Condamine, F. L., J. Rolland, S. Höhna, F. A. H. Sperling, and I. Sanmartín. 2018.</w:t>
      </w:r>
      <w:r>
        <w:t xml:space="preserve"> </w:t>
      </w:r>
      <w:hyperlink r:id="rId105">
        <w:r>
          <w:rPr>
            <w:rStyle w:val="Hyperlink"/>
          </w:rPr>
          <w:t xml:space="preserve">Testing the role of the red queen and court jester as drivers of the macroevolution of apollo butterflies</w:t>
        </w:r>
      </w:hyperlink>
      <w:r>
        <w:t xml:space="preserve">. Systematic Biology 67:940–964.</w:t>
      </w:r>
    </w:p>
    <w:bookmarkEnd w:id="106"/>
    <w:bookmarkStart w:id="108" w:name="ref-condamine2019"/>
    <w:p>
      <w:pPr>
        <w:pStyle w:val="Bibliography"/>
      </w:pPr>
      <w:r>
        <w:t xml:space="preserve">Condamine, F. L., J. Rolland, and H. Morlon. 2019a.</w:t>
      </w:r>
      <w:r>
        <w:t xml:space="preserve"> </w:t>
      </w:r>
      <w:hyperlink r:id="rId107">
        <w:r>
          <w:rPr>
            <w:rStyle w:val="Hyperlink"/>
          </w:rPr>
          <w:t xml:space="preserve">Assessing the causes of diversification slowdowns: temperature-dependent and diversity-dependent models receive equivalent support</w:t>
        </w:r>
      </w:hyperlink>
      <w:r>
        <w:t xml:space="preserve">. Ecology Letters 22:1900–1912.</w:t>
      </w:r>
    </w:p>
    <w:bookmarkEnd w:id="108"/>
    <w:bookmarkStart w:id="110" w:name="ref-condamine_climate_2019"/>
    <w:p>
      <w:pPr>
        <w:pStyle w:val="Bibliography"/>
      </w:pPr>
      <w:r>
        <w:t xml:space="preserve">Condamine, F. L., J. Romieu, and G. Guinot. 2019b.</w:t>
      </w:r>
      <w:r>
        <w:t xml:space="preserve"> </w:t>
      </w:r>
      <w:hyperlink r:id="rId109">
        <w:r>
          <w:rPr>
            <w:rStyle w:val="Hyperlink"/>
          </w:rPr>
          <w:t xml:space="preserve">Climate cooling and clade competition likely drove the decline of lamniform sharks</w:t>
        </w:r>
      </w:hyperlink>
      <w:r>
        <w:t xml:space="preserve">. Proc. Nat. Acad. Sc. U.S.A 116. Proceedings of the National Academy of Sciences.</w:t>
      </w:r>
    </w:p>
    <w:bookmarkEnd w:id="110"/>
    <w:bookmarkStart w:id="112" w:name="ref-condamine2020"/>
    <w:p>
      <w:pPr>
        <w:pStyle w:val="Bibliography"/>
      </w:pPr>
      <w:r>
        <w:t xml:space="preserve">Condamine, F. L., D. Silvestro, E. B. Koppelhus, and A. Antonelli. 2020.</w:t>
      </w:r>
      <w:r>
        <w:t xml:space="preserve"> </w:t>
      </w:r>
      <w:hyperlink r:id="rId111">
        <w:r>
          <w:rPr>
            <w:rStyle w:val="Hyperlink"/>
          </w:rPr>
          <w:t xml:space="preserve">The rise of angiosperms pushed conifers to decline during global cooling</w:t>
        </w:r>
      </w:hyperlink>
      <w:r>
        <w:t xml:space="preserve">. Proceedings of the National Academy of Sciences 117:28867–28875.</w:t>
      </w:r>
    </w:p>
    <w:bookmarkEnd w:id="112"/>
    <w:bookmarkStart w:id="114" w:name="ref-cooper2025"/>
    <w:p>
      <w:pPr>
        <w:pStyle w:val="Bibliography"/>
      </w:pPr>
      <w:r>
        <w:t xml:space="preserve">Cooper, R. B., B. J. Allen, and D. Silvestro. 2025.</w:t>
      </w:r>
      <w:r>
        <w:t xml:space="preserve"> </w:t>
      </w:r>
      <w:hyperlink r:id="rId113">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4"/>
    <w:bookmarkStart w:id="116" w:name="ref-cooper2024"/>
    <w:p>
      <w:pPr>
        <w:pStyle w:val="Bibliography"/>
      </w:pPr>
      <w:r>
        <w:t xml:space="preserve">Cooper, R. B., J. T. Flannery-Sutherland, and D. Silvestro. 2024.</w:t>
      </w:r>
      <w:r>
        <w:t xml:space="preserve"> </w:t>
      </w:r>
      <w:hyperlink r:id="rId115">
        <w:r>
          <w:rPr>
            <w:rStyle w:val="Hyperlink"/>
          </w:rPr>
          <w:t xml:space="preserve">DeepDive: estimating global biodiversity patterns through time using deep learning</w:t>
        </w:r>
      </w:hyperlink>
      <w:r>
        <w:t xml:space="preserve">. Nature Communications 15:4199.</w:t>
      </w:r>
    </w:p>
    <w:bookmarkEnd w:id="116"/>
    <w:bookmarkStart w:id="118" w:name="ref-cuitiño2021"/>
    <w:p>
      <w:pPr>
        <w:pStyle w:val="Bibliography"/>
      </w:pPr>
      <w:r>
        <w:t xml:space="preserve">Cuitiño, J. I., M. Sol Raigemborn, M. Susana Bargo, S. F. Vizcaíno, N. A. Muñoz, M. J. Kohn, and R. F. Kay. 2021.</w:t>
      </w:r>
      <w:r>
        <w:t xml:space="preserve"> </w:t>
      </w:r>
      <w:hyperlink r:id="rId117">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18"/>
    <w:bookmarkStart w:id="120" w:name="ref-dacunha2023"/>
    <w:p>
      <w:pPr>
        <w:pStyle w:val="Bibliography"/>
      </w:pPr>
      <w:r>
        <w:t xml:space="preserve">Da Cunha, L., L. W. Viñola-López, R. D. E. MacPhee, L. Kerber, J. Vélez-Juarbe, P.-O. Antoine, M. Boivin, L. Hautier, R. Lebrun, L. Marivaux, and P.-H. Fabre. 2023.</w:t>
      </w:r>
      <w:r>
        <w:t xml:space="preserve"> </w:t>
      </w:r>
      <w:hyperlink r:id="rId119">
        <w:r>
          <w:rPr>
            <w:rStyle w:val="Hyperlink"/>
          </w:rPr>
          <w:t xml:space="preserve">The inner ear of caviomorph rodents: Phylogenetic implications and application to extinct West Indian taxa</w:t>
        </w:r>
      </w:hyperlink>
      <w:r>
        <w:t xml:space="preserve">. Journal of Mammalian Evolution 30:1155–1176.</w:t>
      </w:r>
    </w:p>
    <w:bookmarkEnd w:id="120"/>
    <w:bookmarkStart w:id="122" w:name="ref-damuth1993"/>
    <w:p>
      <w:pPr>
        <w:pStyle w:val="Bibliography"/>
      </w:pPr>
      <w:r>
        <w:t xml:space="preserve">Damuth, J. 1993.</w:t>
      </w:r>
      <w:r>
        <w:t xml:space="preserve"> </w:t>
      </w:r>
      <w:hyperlink r:id="rId121">
        <w:r>
          <w:rPr>
            <w:rStyle w:val="Hyperlink"/>
          </w:rPr>
          <w:t xml:space="preserve">Cope’s rule, the island rule and the scaling of mammalian population density</w:t>
        </w:r>
      </w:hyperlink>
      <w:r>
        <w:t xml:space="preserve">. Nature 365:748–750.</w:t>
      </w:r>
    </w:p>
    <w:bookmarkEnd w:id="122"/>
    <w:bookmarkStart w:id="124" w:name="ref-damuth2011"/>
    <w:p>
      <w:pPr>
        <w:pStyle w:val="Bibliography"/>
      </w:pPr>
      <w:r>
        <w:t xml:space="preserve">Damuth, J., and C. M. Janis. 2011.</w:t>
      </w:r>
      <w:r>
        <w:t xml:space="preserve"> </w:t>
      </w:r>
      <w:hyperlink r:id="rId123">
        <w:r>
          <w:rPr>
            <w:rStyle w:val="Hyperlink"/>
          </w:rPr>
          <w:t xml:space="preserve">On the relationship between hypsodonty and feeding ecology in ungulate mammals, and its utility in palaeoecology</w:t>
        </w:r>
      </w:hyperlink>
      <w:r>
        <w:t xml:space="preserve">. Biological Reviews 86:733–758.</w:t>
      </w:r>
    </w:p>
    <w:bookmarkEnd w:id="124"/>
    <w:bookmarkStart w:id="126" w:name="ref-drury2016"/>
    <w:p>
      <w:pPr>
        <w:pStyle w:val="Bibliography"/>
      </w:pPr>
      <w:r>
        <w:t xml:space="preserve">Drury, J., J. Clavel, M. Manceau, and H. Morlon. 2016.</w:t>
      </w:r>
      <w:r>
        <w:t xml:space="preserve"> </w:t>
      </w:r>
      <w:hyperlink r:id="rId125">
        <w:r>
          <w:rPr>
            <w:rStyle w:val="Hyperlink"/>
          </w:rPr>
          <w:t xml:space="preserve">Estimating the effect of competition on trait evolution using maximum likelihood inference</w:t>
        </w:r>
      </w:hyperlink>
      <w:r>
        <w:t xml:space="preserve">. Systematic Biology 65:700–710.</w:t>
      </w:r>
    </w:p>
    <w:bookmarkEnd w:id="126"/>
    <w:bookmarkStart w:id="128" w:name="ref-dunn2013"/>
    <w:p>
      <w:pPr>
        <w:pStyle w:val="Bibliography"/>
      </w:pPr>
      <w:r>
        <w:t xml:space="preserve">Dunn, R. E., R. H. Madden, M. J. Kohn, M. D. Schmitz, C. A. E. Strömberg, A. A. Carlini, G. H. Ré, and J. Crowley. 2013.</w:t>
      </w:r>
      <w:r>
        <w:t xml:space="preserve"> </w:t>
      </w:r>
      <w:hyperlink r:id="rId127">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28"/>
    <w:bookmarkStart w:id="130" w:name="ref-esteve2025"/>
    <w:p>
      <w:pPr>
        <w:pStyle w:val="Bibliography"/>
      </w:pPr>
      <w:r>
        <w:t xml:space="preserve">Esteve, J. 2025.</w:t>
      </w:r>
      <w:r>
        <w:t xml:space="preserve"> </w:t>
      </w:r>
      <w:hyperlink r:id="rId129">
        <w:r>
          <w:rPr>
            <w:rStyle w:val="Hyperlink"/>
          </w:rPr>
          <w:t xml:space="preserve">When extinction expands morphospace: Lessons from trilobites</w:t>
        </w:r>
      </w:hyperlink>
      <w:r>
        <w:t xml:space="preserve">. Proceedings of the Royal Society B: Biological Sciences 292:20252245.</w:t>
      </w:r>
    </w:p>
    <w:bookmarkEnd w:id="130"/>
    <w:bookmarkStart w:id="132" w:name="ref-etienne2011"/>
    <w:p>
      <w:pPr>
        <w:pStyle w:val="Bibliography"/>
      </w:pPr>
      <w:r>
        <w:t xml:space="preserve">Etienne, R. S., B. Haegeman, T. Stadler, T. Aze, P. N. Pearson, A. Purvis, and A. B. Phillimore. 2011.</w:t>
      </w:r>
      <w:r>
        <w:t xml:space="preserve"> </w:t>
      </w:r>
      <w:hyperlink r:id="rId131">
        <w:r>
          <w:rPr>
            <w:rStyle w:val="Hyperlink"/>
          </w:rPr>
          <w:t xml:space="preserve">Diversity-dependence brings molecular phylogenies closer to agreement with the fossil record</w:t>
        </w:r>
      </w:hyperlink>
      <w:r>
        <w:t xml:space="preserve">. Proceedings of the Royal Society B: Biological Sciences 279:1300–1309.</w:t>
      </w:r>
    </w:p>
    <w:bookmarkEnd w:id="132"/>
    <w:bookmarkStart w:id="134" w:name="ref-faurby2016"/>
    <w:p>
      <w:pPr>
        <w:pStyle w:val="Bibliography"/>
      </w:pPr>
      <w:r>
        <w:t xml:space="preserve">Faurby, S., and J.-C. Svenning. 2016.</w:t>
      </w:r>
      <w:r>
        <w:t xml:space="preserve"> </w:t>
      </w:r>
      <w:hyperlink r:id="rId133">
        <w:r>
          <w:rPr>
            <w:rStyle w:val="Hyperlink"/>
          </w:rPr>
          <w:t xml:space="preserve">Resurrection of the island rule: Human-driven extinctions have obscured a basic evolutionary pattern</w:t>
        </w:r>
      </w:hyperlink>
      <w:r>
        <w:t xml:space="preserve">. The American Naturalist 187:812–820.</w:t>
      </w:r>
    </w:p>
    <w:bookmarkEnd w:id="134"/>
    <w:bookmarkStart w:id="136" w:name="ref-fernicola2019"/>
    <w:p>
      <w:pPr>
        <w:pStyle w:val="Bibliography"/>
      </w:pPr>
      <w:r>
        <w:t xml:space="preserve">Fernicola, J. C., S. F. Vizcaíno, M. S. Bargo, R. F. Kay, and J. I. Cuitiño. 2019.</w:t>
      </w:r>
      <w:r>
        <w:t xml:space="preserve"> </w:t>
      </w:r>
      <w:hyperlink r:id="rId135">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36"/>
    <w:bookmarkStart w:id="138" w:name="ref-flannery-sutherland2022"/>
    <w:p>
      <w:pPr>
        <w:pStyle w:val="Bibliography"/>
      </w:pPr>
      <w:r>
        <w:t xml:space="preserve">Flannery-Sutherland, J. T., D. Silvestro, and M. J. Benton. 2022.</w:t>
      </w:r>
      <w:r>
        <w:t xml:space="preserve"> </w:t>
      </w:r>
      <w:hyperlink r:id="rId137">
        <w:r>
          <w:rPr>
            <w:rStyle w:val="Hyperlink"/>
          </w:rPr>
          <w:t xml:space="preserve">Global diversity dynamics in the fossil record are regionally heterogeneous</w:t>
        </w:r>
      </w:hyperlink>
      <w:r>
        <w:t xml:space="preserve">. Nature Communications 13:2751.</w:t>
      </w:r>
    </w:p>
    <w:bookmarkEnd w:id="138"/>
    <w:bookmarkStart w:id="140" w:name="ref-foote1993"/>
    <w:p>
      <w:pPr>
        <w:pStyle w:val="Bibliography"/>
      </w:pPr>
      <w:r>
        <w:t xml:space="preserve">Foote, M. 1993.</w:t>
      </w:r>
      <w:r>
        <w:t xml:space="preserve"> </w:t>
      </w:r>
      <w:hyperlink r:id="rId139">
        <w:r>
          <w:rPr>
            <w:rStyle w:val="Hyperlink"/>
          </w:rPr>
          <w:t xml:space="preserve">Discordance and concordance between morphological and taxonomic diversity</w:t>
        </w:r>
      </w:hyperlink>
      <w:r>
        <w:t xml:space="preserve">. Paleobiology 19:185–204.</w:t>
      </w:r>
    </w:p>
    <w:bookmarkEnd w:id="140"/>
    <w:bookmarkStart w:id="142" w:name="ref-foote1997"/>
    <w:p>
      <w:pPr>
        <w:pStyle w:val="Bibliography"/>
      </w:pPr>
      <w:r>
        <w:t xml:space="preserve">Foote, M. 1997.</w:t>
      </w:r>
      <w:r>
        <w:t xml:space="preserve"> </w:t>
      </w:r>
      <w:hyperlink r:id="rId141">
        <w:r>
          <w:rPr>
            <w:rStyle w:val="Hyperlink"/>
          </w:rPr>
          <w:t xml:space="preserve">The Evolution of Morphological Diversity</w:t>
        </w:r>
      </w:hyperlink>
      <w:r>
        <w:t xml:space="preserve">. Annual Review of Ecology, Evolution, and Systematics 28:129–152.</w:t>
      </w:r>
    </w:p>
    <w:bookmarkEnd w:id="142"/>
    <w:bookmarkStart w:id="144" w:name="ref-guayasamin2024"/>
    <w:p>
      <w:pPr>
        <w:pStyle w:val="Bibliography"/>
      </w:pPr>
      <w:r>
        <w:t xml:space="preserve">Guayasamin, J. M., C. C. Ribas, A. C. Carnaval, J. D. Carrillo, C. Hoorn, L. G. Lohmann, D. Riff, C. Ulloa Ulloa, and J. S. Albert. 2024.</w:t>
      </w:r>
      <w:r>
        <w:t xml:space="preserve"> </w:t>
      </w:r>
      <w:hyperlink r:id="rId143">
        <w:r>
          <w:rPr>
            <w:rStyle w:val="Hyperlink"/>
          </w:rPr>
          <w:t xml:space="preserve">Evolution of Amazonian biodiversity: A review</w:t>
        </w:r>
      </w:hyperlink>
      <w:r>
        <w:t xml:space="preserve">. Acta Amazonica 54:e54bc21360.</w:t>
      </w:r>
    </w:p>
    <w:bookmarkEnd w:id="144"/>
    <w:bookmarkStart w:id="146" w:name="ref-hagen2018"/>
    <w:p>
      <w:pPr>
        <w:pStyle w:val="Bibliography"/>
      </w:pPr>
      <w:r>
        <w:t xml:space="preserve">Hagen, O., T. Andermann, T. B. Quental, A. Antonelli, and D. Silvestro. 2018.</w:t>
      </w:r>
      <w:r>
        <w:t xml:space="preserve"> </w:t>
      </w:r>
      <w:hyperlink r:id="rId145">
        <w:r>
          <w:rPr>
            <w:rStyle w:val="Hyperlink"/>
          </w:rPr>
          <w:t xml:space="preserve">Estimating age-dependent extinction: Contrasting evidence from fossils and phylogenies</w:t>
        </w:r>
      </w:hyperlink>
      <w:r>
        <w:t xml:space="preserve">. Systematic Biology 67:458–474.</w:t>
      </w:r>
    </w:p>
    <w:bookmarkEnd w:id="146"/>
    <w:bookmarkStart w:id="148" w:name="ref-hauffe2024"/>
    <w:p>
      <w:pPr>
        <w:pStyle w:val="Bibliography"/>
      </w:pPr>
      <w:r>
        <w:t xml:space="preserve">Hauffe, T., J. L. Cantalapiedra, and D. Silvestro. 2024.</w:t>
      </w:r>
      <w:r>
        <w:t xml:space="preserve"> </w:t>
      </w:r>
      <w:hyperlink r:id="rId147">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48"/>
    <w:bookmarkStart w:id="150" w:name="ref-hernández2005"/>
    <w:p>
      <w:pPr>
        <w:pStyle w:val="Bibliography"/>
      </w:pPr>
      <w:r>
        <w:t xml:space="preserve">Hernández, R. M., T. E. Jordan, A. Dalenz Farjat, L. Echavarría, B. D. Idleman, and J. H. Reynolds. 2005.</w:t>
      </w:r>
      <w:r>
        <w:t xml:space="preserve"> </w:t>
      </w:r>
      <w:hyperlink r:id="rId149">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0"/>
    <w:bookmarkStart w:id="151" w:name="ref-homerocamacho1967"/>
    <w:p>
      <w:pPr>
        <w:pStyle w:val="Bibliography"/>
      </w:pPr>
      <w:r>
        <w:t xml:space="preserve">Homero Camacho, H. 1967. Las transgresiones del cretácico superior y terciario de la argentina. Revista de la Asociación Geológica Argentina 22:253–280.</w:t>
      </w:r>
    </w:p>
    <w:bookmarkEnd w:id="151"/>
    <w:bookmarkStart w:id="153" w:name="ref-hoorn2022"/>
    <w:p>
      <w:pPr>
        <w:pStyle w:val="Bibliography"/>
      </w:pPr>
      <w:r>
        <w:t xml:space="preserve">Hoorn, C., L. M. Boschman, T. Kukla, M. Sciumbata, and P. Val. 2022.</w:t>
      </w:r>
      <w:r>
        <w:t xml:space="preserve"> </w:t>
      </w:r>
      <w:hyperlink r:id="rId152">
        <w:r>
          <w:rPr>
            <w:rStyle w:val="Hyperlink"/>
          </w:rPr>
          <w:t xml:space="preserve">The miocene wetland of western amazonia and its role in neotropical biogeography</w:t>
        </w:r>
      </w:hyperlink>
      <w:r>
        <w:t xml:space="preserve">. Botanical Journal of the Linnean Society 199:25–35.</w:t>
      </w:r>
    </w:p>
    <w:bookmarkEnd w:id="153"/>
    <w:bookmarkStart w:id="155" w:name="ref-hoorn1995"/>
    <w:p>
      <w:pPr>
        <w:pStyle w:val="Bibliography"/>
      </w:pPr>
      <w:r>
        <w:t xml:space="preserve">Hoorn, C., J. Guerrero, G. A. Sarmiento, and M. A. Lorente. 1995.</w:t>
      </w:r>
      <w:r>
        <w:t xml:space="preserve"> </w:t>
      </w:r>
      <w:hyperlink r:id="rId154">
        <w:r>
          <w:rPr>
            <w:rStyle w:val="Hyperlink"/>
          </w:rPr>
          <w:t xml:space="preserve">Andean tectonics as a cause for changing drainage patterns in Miocene northern South America</w:t>
        </w:r>
      </w:hyperlink>
      <w:r>
        <w:t xml:space="preserve">. Geology 23:237.</w:t>
      </w:r>
    </w:p>
    <w:bookmarkEnd w:id="155"/>
    <w:bookmarkStart w:id="157"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56">
        <w:r>
          <w:rPr>
            <w:rStyle w:val="Hyperlink"/>
          </w:rPr>
          <w:t xml:space="preserve">Amazonia through time: Andean uplift, climate change, landscape evolution, and biodiversity</w:t>
        </w:r>
      </w:hyperlink>
      <w:r>
        <w:t xml:space="preserve">. Science 330:927–931.</w:t>
      </w:r>
    </w:p>
    <w:bookmarkEnd w:id="157"/>
    <w:bookmarkStart w:id="159" w:name="ref-hullot2025"/>
    <w:p>
      <w:pPr>
        <w:pStyle w:val="Bibliography"/>
      </w:pPr>
      <w:r>
        <w:t xml:space="preserve">Hullot, M., C. Robinet, Q. Vautrin, R. Tabuce, P.-O. Antoine, G. Merceron, and F. Lihoreau. 2025.</w:t>
      </w:r>
      <w:r>
        <w:t xml:space="preserve"> </w:t>
      </w:r>
      <w:hyperlink r:id="rId158">
        <w:r>
          <w:rPr>
            <w:rStyle w:val="Hyperlink"/>
          </w:rPr>
          <w:t xml:space="preserve">Evolution of dietary preferences of the lophiodontidae (mammalia, perissodactyla) from southern france</w:t>
        </w:r>
      </w:hyperlink>
      <w:r>
        <w:t xml:space="preserve">. Palaeogeography, Palaeoclimatology, Palaeoecology 675:113076.</w:t>
      </w:r>
    </w:p>
    <w:bookmarkEnd w:id="159"/>
    <w:bookmarkStart w:id="160"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0"/>
    <w:bookmarkStart w:id="162"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61">
        <w:r>
          <w:rPr>
            <w:rStyle w:val="Hyperlink"/>
          </w:rPr>
          <w:t xml:space="preserve">Miocene flooding events of western amazonia</w:t>
        </w:r>
      </w:hyperlink>
      <w:r>
        <w:t xml:space="preserve">. Science Advances 3:e1601693.</w:t>
      </w:r>
    </w:p>
    <w:bookmarkEnd w:id="162"/>
    <w:bookmarkStart w:id="164" w:name="ref-jardine2012"/>
    <w:p>
      <w:pPr>
        <w:pStyle w:val="Bibliography"/>
      </w:pPr>
      <w:r>
        <w:t xml:space="preserve">Jardine, P. E., C. M. Janis, S. Sahney, and M. J. Benton. 2012.</w:t>
      </w:r>
      <w:r>
        <w:t xml:space="preserve"> </w:t>
      </w:r>
      <w:hyperlink r:id="rId163">
        <w:r>
          <w:rPr>
            <w:rStyle w:val="Hyperlink"/>
          </w:rPr>
          <w:t xml:space="preserve">Grit not grass: Concordant patterns of early origin of hypsodonty in great plains ungulates and glires</w:t>
        </w:r>
      </w:hyperlink>
      <w:r>
        <w:t xml:space="preserve">. Palaeogeography, Palaeoclimatology, Palaeoecology 365-366:1–10.</w:t>
      </w:r>
    </w:p>
    <w:bookmarkEnd w:id="164"/>
    <w:bookmarkStart w:id="166" w:name="ref-lehtonen2017"/>
    <w:p>
      <w:pPr>
        <w:pStyle w:val="Bibliography"/>
      </w:pPr>
      <w:r>
        <w:t xml:space="preserve">Lehtonen, S., D. Silvestro, D. N. Karger, C. Scotese, H. Tuomisto, M. Kessler, C. Peña, N. Wahlberg, and A. Antonelli. 2017.</w:t>
      </w:r>
      <w:r>
        <w:t xml:space="preserve"> </w:t>
      </w:r>
      <w:hyperlink r:id="rId165">
        <w:r>
          <w:rPr>
            <w:rStyle w:val="Hyperlink"/>
          </w:rPr>
          <w:t xml:space="preserve">Environmentally driven extinction and opportunistic origination explain fern diversification patterns</w:t>
        </w:r>
      </w:hyperlink>
      <w:r>
        <w:t xml:space="preserve">. Scientific Reports 7:4831.</w:t>
      </w:r>
    </w:p>
    <w:bookmarkEnd w:id="166"/>
    <w:bookmarkStart w:id="168" w:name="ref-liow2008"/>
    <w:p>
      <w:pPr>
        <w:pStyle w:val="Bibliography"/>
      </w:pPr>
      <w:r>
        <w:t xml:space="preserve">Liow, L. H., M. Fortelius, E. Bingham, K. Lintulaakso, H. Mannila, L. Flynn, and N. Chr. Stenseth. 2008.</w:t>
      </w:r>
      <w:r>
        <w:t xml:space="preserve"> </w:t>
      </w:r>
      <w:hyperlink r:id="rId167">
        <w:r>
          <w:rPr>
            <w:rStyle w:val="Hyperlink"/>
          </w:rPr>
          <w:t xml:space="preserve">Higher origination and extinction rates in larger mammals</w:t>
        </w:r>
      </w:hyperlink>
      <w:r>
        <w:t xml:space="preserve">. Proceedings of the National Academy of Sciences 105:6097–6102.</w:t>
      </w:r>
    </w:p>
    <w:bookmarkEnd w:id="168"/>
    <w:bookmarkStart w:id="170" w:name="ref-liow2010"/>
    <w:p>
      <w:pPr>
        <w:pStyle w:val="Bibliography"/>
      </w:pPr>
      <w:r>
        <w:t xml:space="preserve">Liow, L. H., T. B. Quental, and C. R. Marshall. 2010.</w:t>
      </w:r>
      <w:r>
        <w:t xml:space="preserve"> </w:t>
      </w:r>
      <w:hyperlink r:id="rId169">
        <w:r>
          <w:rPr>
            <w:rStyle w:val="Hyperlink"/>
          </w:rPr>
          <w:t xml:space="preserve">When can decreasing diversification rates be detected with molecular phylogenies and the fossil record?</w:t>
        </w:r>
      </w:hyperlink>
      <w:r>
        <w:t xml:space="preserve"> Systematic Biology 59:646–659.</w:t>
      </w:r>
    </w:p>
    <w:bookmarkEnd w:id="170"/>
    <w:bookmarkStart w:id="172" w:name="ref-lomolino2005"/>
    <w:p>
      <w:pPr>
        <w:pStyle w:val="Bibliography"/>
      </w:pPr>
      <w:r>
        <w:t xml:space="preserve">Lomolino, M. V. 2005.</w:t>
      </w:r>
      <w:r>
        <w:t xml:space="preserve"> </w:t>
      </w:r>
      <w:hyperlink r:id="rId171">
        <w:r>
          <w:rPr>
            <w:rStyle w:val="Hyperlink"/>
          </w:rPr>
          <w:t xml:space="preserve">Body size evolution in insular vertebrates: Generality of the island rule</w:t>
        </w:r>
      </w:hyperlink>
      <w:r>
        <w:t xml:space="preserve">. Journal of Biogeography 32:1683–1699.</w:t>
      </w:r>
    </w:p>
    <w:bookmarkEnd w:id="172"/>
    <w:bookmarkStart w:id="174" w:name="ref-macfadden2000"/>
    <w:p>
      <w:pPr>
        <w:pStyle w:val="Bibliography"/>
      </w:pPr>
      <w:r>
        <w:t xml:space="preserve">MacFadden, B. J. 2000.</w:t>
      </w:r>
      <w:r>
        <w:t xml:space="preserve"> </w:t>
      </w:r>
      <w:hyperlink r:id="rId173">
        <w:r>
          <w:rPr>
            <w:rStyle w:val="Hyperlink"/>
          </w:rPr>
          <w:t xml:space="preserve">Cenozoic mammalian herbivores from the americas: Reconstructing ancient diets and terrestrial communities</w:t>
        </w:r>
      </w:hyperlink>
      <w:r>
        <w:t xml:space="preserve">. Annual Review of Ecology and Systematics 31:33–59.</w:t>
      </w:r>
    </w:p>
    <w:bookmarkEnd w:id="174"/>
    <w:bookmarkStart w:id="176" w:name="ref-macphee2011"/>
    <w:p>
      <w:pPr>
        <w:pStyle w:val="Bibliography"/>
      </w:pPr>
      <w:r>
        <w:t xml:space="preserve">MacPhee, R. D. E. 2011.</w:t>
      </w:r>
      <w:r>
        <w:t xml:space="preserve"> </w:t>
      </w:r>
      <w:hyperlink r:id="rId175">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76"/>
    <w:bookmarkStart w:id="178" w:name="ref-marion_bioluminescence_2025"/>
    <w:p>
      <w:pPr>
        <w:pStyle w:val="Bibliography"/>
      </w:pPr>
      <w:r>
        <w:t xml:space="preserve">Marion, A. F. P., F. L. Condamine, and G. Guinot. 2025.</w:t>
      </w:r>
      <w:r>
        <w:t xml:space="preserve"> </w:t>
      </w:r>
      <w:hyperlink r:id="rId177">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78"/>
    <w:bookmarkStart w:id="180" w:name="ref-marivaux2022"/>
    <w:p>
      <w:pPr>
        <w:pStyle w:val="Bibliography"/>
      </w:pPr>
      <w:r>
        <w:t xml:space="preserve">Marivaux, L., L. W. V. López, M. Boivin, L. Da Cunha, P.-H. Fabre, R. Joannes-Boyau, G. Maincent, P. Münch, N. S. Stutz, J. Vélez-Juarbe, and P.-O. Antoine. 2022.</w:t>
      </w:r>
      <w:r>
        <w:t xml:space="preserve"> </w:t>
      </w:r>
      <w:hyperlink r:id="rId179">
        <w:r>
          <w:rPr>
            <w:rStyle w:val="Hyperlink"/>
          </w:rPr>
          <w:t xml:space="preserve">Incisor enamel microstructure of West Indian caviomorph hystricognathous rodents (Octodontoidea and Chinchilloidea)</w:t>
        </w:r>
      </w:hyperlink>
      <w:r>
        <w:t xml:space="preserve">. Journal of Mammalian Evolution 29:969–995.</w:t>
      </w:r>
    </w:p>
    <w:bookmarkEnd w:id="180"/>
    <w:bookmarkStart w:id="182"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81">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82"/>
    <w:bookmarkStart w:id="184" w:name="ref-marshall1982"/>
    <w:p>
      <w:pPr>
        <w:pStyle w:val="Bibliography"/>
      </w:pPr>
      <w:r>
        <w:t xml:space="preserve">Marshall, L. G., S. D. Webb, J. J. Sepkoski, and D. M. Raup. 1982.</w:t>
      </w:r>
      <w:r>
        <w:t xml:space="preserve"> </w:t>
      </w:r>
      <w:hyperlink r:id="rId183">
        <w:r>
          <w:rPr>
            <w:rStyle w:val="Hyperlink"/>
          </w:rPr>
          <w:t xml:space="preserve">Mammalian evolution and the great american interchange</w:t>
        </w:r>
      </w:hyperlink>
      <w:r>
        <w:t xml:space="preserve">. Science 215:1351–1357.</w:t>
      </w:r>
    </w:p>
    <w:bookmarkEnd w:id="184"/>
    <w:bookmarkStart w:id="186" w:name="ref-mcfarlane1998"/>
    <w:p>
      <w:pPr>
        <w:pStyle w:val="Bibliography"/>
      </w:pPr>
      <w:r>
        <w:t xml:space="preserve">McFarlane, D. A., R. D. E. MacPhee, and D. C. Ford. 1998.</w:t>
      </w:r>
      <w:r>
        <w:t xml:space="preserve"> </w:t>
      </w:r>
      <w:hyperlink r:id="rId185">
        <w:r>
          <w:rPr>
            <w:rStyle w:val="Hyperlink"/>
          </w:rPr>
          <w:t xml:space="preserve">Body Size Variability and a Sangamonian Extinction Model for Amblyrhiza,a West Indian Megafaunal Rodent</w:t>
        </w:r>
      </w:hyperlink>
      <w:r>
        <w:t xml:space="preserve">. Quaternary Research 50:80–89.</w:t>
      </w:r>
    </w:p>
    <w:bookmarkEnd w:id="186"/>
    <w:bookmarkStart w:id="188" w:name="ref-meiri2007"/>
    <w:p>
      <w:pPr>
        <w:pStyle w:val="Bibliography"/>
      </w:pPr>
      <w:r>
        <w:t xml:space="preserve">Meiri, S., N. Cooper, and A. Purvis. 2007.</w:t>
      </w:r>
      <w:r>
        <w:t xml:space="preserve"> </w:t>
      </w:r>
      <w:hyperlink r:id="rId187">
        <w:r>
          <w:rPr>
            <w:rStyle w:val="Hyperlink"/>
          </w:rPr>
          <w:t xml:space="preserve">The island rule: Made to be broken?</w:t>
        </w:r>
      </w:hyperlink>
      <w:r>
        <w:t xml:space="preserve"> Proceedings of the Royal Society B: Biological Sciences 275:141–148.</w:t>
      </w:r>
    </w:p>
    <w:bookmarkEnd w:id="188"/>
    <w:bookmarkStart w:id="190" w:name="ref-miller2020"/>
    <w:p>
      <w:pPr>
        <w:pStyle w:val="Bibliography"/>
      </w:pPr>
      <w:r>
        <w:t xml:space="preserve">Miller, K. G., J. V. Browning, W. J. Schmelz, R. E. Kopp, G. S. Mountain, and J. D. Wright. 2020.</w:t>
      </w:r>
      <w:r>
        <w:t xml:space="preserve"> </w:t>
      </w:r>
      <w:hyperlink r:id="rId189">
        <w:r>
          <w:rPr>
            <w:rStyle w:val="Hyperlink"/>
          </w:rPr>
          <w:t xml:space="preserve">Cenozoic sea-level and cryospheric evolution from deep-sea geochemical and continental margin records</w:t>
        </w:r>
      </w:hyperlink>
      <w:r>
        <w:t xml:space="preserve">. Science Advances 6:eaaz1346.</w:t>
      </w:r>
    </w:p>
    <w:bookmarkEnd w:id="190"/>
    <w:bookmarkStart w:id="192" w:name="ref-mones1982"/>
    <w:p>
      <w:pPr>
        <w:pStyle w:val="Bibliography"/>
      </w:pPr>
      <w:r>
        <w:t xml:space="preserve">Mones, A. 1982.</w:t>
      </w:r>
      <w:r>
        <w:t xml:space="preserve"> </w:t>
      </w:r>
      <w:hyperlink r:id="rId191">
        <w:r>
          <w:rPr>
            <w:rStyle w:val="Hyperlink"/>
          </w:rPr>
          <w:t xml:space="preserve">An equivocal nomenclature: What means hypsodonty?</w:t>
        </w:r>
      </w:hyperlink>
      <w:r>
        <w:t xml:space="preserve"> Paläontologische Zeitschrift 56:107–111.</w:t>
      </w:r>
    </w:p>
    <w:bookmarkEnd w:id="192"/>
    <w:bookmarkStart w:id="194" w:name="ref-muñoz2023"/>
    <w:p>
      <w:pPr>
        <w:pStyle w:val="Bibliography"/>
      </w:pPr>
      <w:r>
        <w:t xml:space="preserve">Muñoz, C. O. R., R. Bonini, S. Hemming, M. Cenizo, U. F. J. Pardiñas, and F. J. Prevosti. 2023.</w:t>
      </w:r>
      <w:r>
        <w:t xml:space="preserve"> </w:t>
      </w:r>
      <w:hyperlink r:id="rId193">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194"/>
    <w:bookmarkStart w:id="196" w:name="ref-neige2026"/>
    <w:p>
      <w:pPr>
        <w:pStyle w:val="Bibliography"/>
      </w:pPr>
      <w:r>
        <w:t xml:space="preserve">Neige, P., and T. van Tiel. 2026.</w:t>
      </w:r>
      <w:r>
        <w:t xml:space="preserve"> </w:t>
      </w:r>
      <w:hyperlink r:id="rId195">
        <w:r>
          <w:rPr>
            <w:rStyle w:val="Hyperlink"/>
          </w:rPr>
          <w:t xml:space="preserve">Background extinction due to species specialization? Insights from a high-resolution Jurassic ammonoid case study (Dactylioceratidae)</w:t>
        </w:r>
      </w:hyperlink>
      <w:r>
        <w:t xml:space="preserve">. Paleobiology 1–17.</w:t>
      </w:r>
    </w:p>
    <w:bookmarkEnd w:id="196"/>
    <w:bookmarkStart w:id="198" w:name="ref-ogg2020"/>
    <w:p>
      <w:pPr>
        <w:pStyle w:val="Bibliography"/>
      </w:pPr>
      <w:r>
        <w:t xml:space="preserve">Ogg, J. G. 2020.</w:t>
      </w:r>
      <w:r>
        <w:t xml:space="preserve"> </w:t>
      </w:r>
      <w:hyperlink r:id="rId197">
        <w:r>
          <w:rPr>
            <w:rStyle w:val="Hyperlink"/>
          </w:rPr>
          <w:t xml:space="preserve">Geomagnetic polarity time scale</w:t>
        </w:r>
      </w:hyperlink>
      <w:r>
        <w:t xml:space="preserve">. Pp. 159–192</w:t>
      </w:r>
      <w:r>
        <w:t xml:space="preserve"> </w:t>
      </w:r>
      <w:r>
        <w:rPr>
          <w:i/>
          <w:iCs/>
        </w:rPr>
        <w:t xml:space="preserve">in</w:t>
      </w:r>
      <w:r>
        <w:t xml:space="preserve">. Elsevier.</w:t>
      </w:r>
    </w:p>
    <w:bookmarkEnd w:id="198"/>
    <w:bookmarkStart w:id="200" w:name="ref-paiva2026"/>
    <w:p>
      <w:pPr>
        <w:pStyle w:val="Bibliography"/>
      </w:pPr>
      <w:r>
        <w:t xml:space="preserve">Paiva, A. L., P. Godoy, D. dos Santos, M. Langer, and P. Mannion. 2026.</w:t>
      </w:r>
      <w:r>
        <w:t xml:space="preserve"> </w:t>
      </w:r>
      <w:hyperlink r:id="rId199">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00"/>
    <w:bookmarkStart w:id="202" w:name="ref-palazzesi2012"/>
    <w:p>
      <w:pPr>
        <w:pStyle w:val="Bibliography"/>
      </w:pPr>
      <w:r>
        <w:t xml:space="preserve">Palazzesi, L., and V. Barreda. 2012.</w:t>
      </w:r>
      <w:r>
        <w:t xml:space="preserve"> </w:t>
      </w:r>
      <w:hyperlink r:id="rId201">
        <w:r>
          <w:rPr>
            <w:rStyle w:val="Hyperlink"/>
          </w:rPr>
          <w:t xml:space="preserve">Fossil pollen records reveal a late rise of open-habitat ecosystems in Patagonia</w:t>
        </w:r>
      </w:hyperlink>
      <w:r>
        <w:t xml:space="preserve">. Nature Communications 3:1294.</w:t>
      </w:r>
    </w:p>
    <w:bookmarkEnd w:id="202"/>
    <w:bookmarkStart w:id="203" w:name="ref-pascual1996"/>
    <w:p>
      <w:pPr>
        <w:pStyle w:val="Bibliography"/>
      </w:pPr>
      <w:r>
        <w:t xml:space="preserve">Pascual, R., E. Ortiz-Jaureguizar, and J. L. Prado. 1996. Land mammals: Paradigm for cenozoic south american geobiotic evolution.</w:t>
      </w:r>
    </w:p>
    <w:bookmarkEnd w:id="203"/>
    <w:bookmarkStart w:id="205" w:name="ref-patton2015"/>
    <w:p>
      <w:pPr>
        <w:pStyle w:val="Bibliography"/>
      </w:pPr>
      <w:r>
        <w:t xml:space="preserve">Patton, J. L., U. F. J. Pardiñas, and G. D’Elía. 2015.</w:t>
      </w:r>
      <w:r>
        <w:t xml:space="preserve"> </w:t>
      </w:r>
      <w:hyperlink r:id="rId204">
        <w:r>
          <w:rPr>
            <w:rStyle w:val="Hyperlink"/>
          </w:rPr>
          <w:t xml:space="preserve">Mammals of South America, Volume 2: Rodents</w:t>
        </w:r>
      </w:hyperlink>
      <w:r>
        <w:t xml:space="preserve">. University of Chicago Press, Chicago, IL.</w:t>
      </w:r>
    </w:p>
    <w:bookmarkEnd w:id="205"/>
    <w:bookmarkStart w:id="207" w:name="ref-pérez_new_2010"/>
    <w:p>
      <w:pPr>
        <w:pStyle w:val="Bibliography"/>
      </w:pPr>
      <w:r>
        <w:t xml:space="preserve">Pérez, M. E. 2010.</w:t>
      </w:r>
      <w:r>
        <w:t xml:space="preserve"> </w:t>
      </w:r>
      <w:hyperlink r:id="rId206">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07"/>
    <w:bookmarkStart w:id="209" w:name="ref-pimiento2019"/>
    <w:p>
      <w:pPr>
        <w:pStyle w:val="Bibliography"/>
      </w:pPr>
      <w:r>
        <w:t xml:space="preserve">Pimiento, C., J. L. Cantalapiedra, K. Shimada, D. J. Field, and J. B. Smaers. 2019.</w:t>
      </w:r>
      <w:r>
        <w:t xml:space="preserve"> </w:t>
      </w:r>
      <w:hyperlink r:id="rId208">
        <w:r>
          <w:rPr>
            <w:rStyle w:val="Hyperlink"/>
          </w:rPr>
          <w:t xml:space="preserve">Evolutionary pathways toward gigantism in sharks and rays</w:t>
        </w:r>
      </w:hyperlink>
      <w:r>
        <w:t xml:space="preserve">. Evolution 73:588–599.</w:t>
      </w:r>
    </w:p>
    <w:bookmarkEnd w:id="209"/>
    <w:bookmarkStart w:id="211" w:name="ref-quental2013"/>
    <w:p>
      <w:pPr>
        <w:pStyle w:val="Bibliography"/>
      </w:pPr>
      <w:r>
        <w:t xml:space="preserve">Quental, T. B., and C. R. Marshall. 2013.</w:t>
      </w:r>
      <w:r>
        <w:t xml:space="preserve"> </w:t>
      </w:r>
      <w:hyperlink r:id="rId210">
        <w:r>
          <w:rPr>
            <w:rStyle w:val="Hyperlink"/>
          </w:rPr>
          <w:t xml:space="preserve">How the red queen drives terrestrial mammals to extinction</w:t>
        </w:r>
      </w:hyperlink>
      <w:r>
        <w:t xml:space="preserve">. Science 341:290–292.</w:t>
      </w:r>
    </w:p>
    <w:bookmarkEnd w:id="211"/>
    <w:bookmarkStart w:id="213" w:name="ref-rasia_reappraisal_2018"/>
    <w:p>
      <w:pPr>
        <w:pStyle w:val="Bibliography"/>
      </w:pPr>
      <w:r>
        <w:t xml:space="preserve">Rasia, L. L., and A. M. Candela. 2018.</w:t>
      </w:r>
      <w:r>
        <w:t xml:space="preserve"> </w:t>
      </w:r>
      <w:hyperlink r:id="rId212">
        <w:r>
          <w:rPr>
            <w:rStyle w:val="Hyperlink"/>
          </w:rPr>
          <w:t xml:space="preserve">Reappraisal of the giant caviomorph rodent phoberomys burmeisteri (ameghino, 1886) from the late miocene of northeastern argentina, and the phylogeny and diversity of neoepiblemidae</w:t>
        </w:r>
      </w:hyperlink>
      <w:r>
        <w:t xml:space="preserve">. Historical Biology 30:486–495. Taylor &amp; Francis.</w:t>
      </w:r>
    </w:p>
    <w:bookmarkEnd w:id="213"/>
    <w:bookmarkStart w:id="215" w:name="ref-rasia_comprehensive_2021"/>
    <w:p>
      <w:pPr>
        <w:pStyle w:val="Bibliography"/>
      </w:pPr>
      <w:r>
        <w:t xml:space="preserve">Rasia, L. L., A. M. Candela, and C. Cañón. 2021.</w:t>
      </w:r>
      <w:r>
        <w:t xml:space="preserve"> </w:t>
      </w:r>
      <w:hyperlink r:id="rId214">
        <w:r>
          <w:rPr>
            <w:rStyle w:val="Hyperlink"/>
          </w:rPr>
          <w:t xml:space="preserve">Comprehensive total evidence phylogeny of chinchillids (rodentia, caviomorpha): Cheek teeth anatomy and evolution</w:t>
        </w:r>
      </w:hyperlink>
      <w:r>
        <w:t xml:space="preserve">. Journal of Anatomy 239:405–423.</w:t>
      </w:r>
    </w:p>
    <w:bookmarkEnd w:id="215"/>
    <w:bookmarkStart w:id="217" w:name="ref-rasia2024"/>
    <w:p>
      <w:pPr>
        <w:pStyle w:val="Bibliography"/>
      </w:pPr>
      <w:r>
        <w:t xml:space="preserve">Rasia, L. L., C. I. Montalvo, R. Sostillo, L. Kerber, and R. L. Tomassini. 2024.</w:t>
      </w:r>
      <w:r>
        <w:t xml:space="preserve"> </w:t>
      </w:r>
      <w:hyperlink r:id="rId216">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17"/>
    <w:bookmarkStart w:id="219" w:name="ref-rinderknecht2008"/>
    <w:p>
      <w:pPr>
        <w:pStyle w:val="Bibliography"/>
      </w:pPr>
      <w:r>
        <w:t xml:space="preserve">Rinderknecht, A., and R. E. Blanco. 2008.</w:t>
      </w:r>
      <w:r>
        <w:t xml:space="preserve"> </w:t>
      </w:r>
      <w:hyperlink r:id="rId218">
        <w:r>
          <w:rPr>
            <w:rStyle w:val="Hyperlink"/>
          </w:rPr>
          <w:t xml:space="preserve">The largest fossil rodent</w:t>
        </w:r>
      </w:hyperlink>
      <w:r>
        <w:t xml:space="preserve">. Proceedings of the Royal Society B: Biological Sciences 275:923–928.</w:t>
      </w:r>
    </w:p>
    <w:bookmarkEnd w:id="219"/>
    <w:bookmarkStart w:id="221" w:name="ref-robinet2020"/>
    <w:p>
      <w:pPr>
        <w:pStyle w:val="Bibliography"/>
      </w:pPr>
      <w:r>
        <w:t xml:space="preserve">Robinet, C., G. Merceron, A. M. Candela, and L. Marivaux. 2020.</w:t>
      </w:r>
      <w:r>
        <w:t xml:space="preserve"> </w:t>
      </w:r>
      <w:hyperlink r:id="rId220">
        <w:r>
          <w:rPr>
            <w:rStyle w:val="Hyperlink"/>
          </w:rPr>
          <w:t xml:space="preserve">Dental microwear texture analysis and diet in caviomorphs (rodentia) from the serra do mar atlantic forest (brazil)</w:t>
        </w:r>
      </w:hyperlink>
      <w:r>
        <w:t xml:space="preserve">. Journal of Mammalogy 101:386–402.</w:t>
      </w:r>
    </w:p>
    <w:bookmarkEnd w:id="221"/>
    <w:bookmarkStart w:id="223" w:name="ref-salas-gismondi2015"/>
    <w:p>
      <w:pPr>
        <w:pStyle w:val="Bibliography"/>
      </w:pPr>
      <w:r>
        <w:t xml:space="preserve">Salas-Gismondi, R., J. J. Flynn, P. Baby, J. V. Tejada-Lara, F. P. Wesselingh, and P.-O. Antoine. 2015.</w:t>
      </w:r>
      <w:r>
        <w:t xml:space="preserve"> </w:t>
      </w:r>
      <w:hyperlink r:id="rId222">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23"/>
    <w:bookmarkStart w:id="225" w:name="ref-sánchez-villagra2003"/>
    <w:p>
      <w:pPr>
        <w:pStyle w:val="Bibliography"/>
      </w:pPr>
      <w:r>
        <w:t xml:space="preserve">Sánchez-Villagra, M. R., O. Aguilera, and I. Horovitz. 2003.</w:t>
      </w:r>
      <w:r>
        <w:t xml:space="preserve"> </w:t>
      </w:r>
      <w:hyperlink r:id="rId224">
        <w:r>
          <w:rPr>
            <w:rStyle w:val="Hyperlink"/>
          </w:rPr>
          <w:t xml:space="preserve">The anatomy of the world’s largest extinct rodent</w:t>
        </w:r>
      </w:hyperlink>
      <w:r>
        <w:t xml:space="preserve">. Science 301:1708–1710.</w:t>
      </w:r>
    </w:p>
    <w:bookmarkEnd w:id="225"/>
    <w:bookmarkStart w:id="227"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26">
        <w:r>
          <w:rPr>
            <w:rStyle w:val="Hyperlink"/>
          </w:rPr>
          <w:t xml:space="preserve">Biology of the sauropod dinosaurs: the evolution of gigantism</w:t>
        </w:r>
      </w:hyperlink>
      <w:r>
        <w:t xml:space="preserve">. Biological Reviews 86:117–155.</w:t>
      </w:r>
    </w:p>
    <w:bookmarkEnd w:id="227"/>
    <w:bookmarkStart w:id="229" w:name="ref-silvestro2015"/>
    <w:p>
      <w:pPr>
        <w:pStyle w:val="Bibliography"/>
      </w:pPr>
      <w:r>
        <w:t xml:space="preserve">Silvestro, D., A. Antonelli, N. Salamin, and T. B. Quental. 2015.</w:t>
      </w:r>
      <w:r>
        <w:t xml:space="preserve"> </w:t>
      </w:r>
      <w:hyperlink r:id="rId228">
        <w:r>
          <w:rPr>
            <w:rStyle w:val="Hyperlink"/>
          </w:rPr>
          <w:t xml:space="preserve">The role of clade competition in the diversification of North American canids</w:t>
        </w:r>
      </w:hyperlink>
      <w:r>
        <w:t xml:space="preserve">. Proceedings of the National Academy of Sciences 112:8684–8689.</w:t>
      </w:r>
    </w:p>
    <w:bookmarkEnd w:id="229"/>
    <w:bookmarkStart w:id="231" w:name="ref-silvestro2019"/>
    <w:p>
      <w:pPr>
        <w:pStyle w:val="Bibliography"/>
      </w:pPr>
      <w:r>
        <w:t xml:space="preserve">Silvestro, D., N. Salamin, A. Antonelli, and X. Meyer. 2019.</w:t>
      </w:r>
      <w:r>
        <w:t xml:space="preserve"> </w:t>
      </w:r>
      <w:hyperlink r:id="rId230">
        <w:r>
          <w:rPr>
            <w:rStyle w:val="Hyperlink"/>
          </w:rPr>
          <w:t xml:space="preserve">Improved estimation of macroevolutionary rates from fossil data using a Bayesian framework</w:t>
        </w:r>
      </w:hyperlink>
      <w:r>
        <w:t xml:space="preserve">. Paleobiology 45:546–570.</w:t>
      </w:r>
    </w:p>
    <w:bookmarkEnd w:id="231"/>
    <w:bookmarkStart w:id="233" w:name="ref-silvestro2014"/>
    <w:p>
      <w:pPr>
        <w:pStyle w:val="Bibliography"/>
      </w:pPr>
      <w:r>
        <w:t xml:space="preserve">Silvestro, D., N. Salamin, and J. Schnitzler. 2014.</w:t>
      </w:r>
      <w:r>
        <w:t xml:space="preserve"> </w:t>
      </w:r>
      <w:hyperlink r:id="rId232">
        <w:r>
          <w:rPr>
            <w:rStyle w:val="Hyperlink"/>
          </w:rPr>
          <w:t xml:space="preserve">PyRate: a new program to estimate speciation and extinction rates from incomplete fossil data</w:t>
        </w:r>
      </w:hyperlink>
      <w:r>
        <w:t xml:space="preserve">. Methods in Ecology and Evolution 5:1126–1131.</w:t>
      </w:r>
    </w:p>
    <w:bookmarkEnd w:id="233"/>
    <w:bookmarkStart w:id="234" w:name="ref-simpson1980"/>
    <w:p>
      <w:pPr>
        <w:pStyle w:val="Bibliography"/>
      </w:pPr>
      <w:r>
        <w:t xml:space="preserve">Simpson, G. G. 1980. Splendid isolation : The curious history of south american mammals. Yale University Press, New Haven.</w:t>
      </w:r>
    </w:p>
    <w:bookmarkEnd w:id="234"/>
    <w:bookmarkStart w:id="235" w:name="ref-simpson1944"/>
    <w:p>
      <w:pPr>
        <w:pStyle w:val="Bibliography"/>
      </w:pPr>
      <w:r>
        <w:t xml:space="preserve">Simpson, G. G. 1944. Tempo and mode in evolution. Columbia University Press.</w:t>
      </w:r>
    </w:p>
    <w:bookmarkEnd w:id="235"/>
    <w:bookmarkStart w:id="237" w:name="ref-solórzano2024"/>
    <w:p>
      <w:pPr>
        <w:pStyle w:val="Bibliography"/>
      </w:pPr>
      <w:r>
        <w:t xml:space="preserve">Solórzano, A., M. Núñez-Flores, and E. Rodríguez-Serrano. 2024. The rise and fall of notoungulates: How andean uplift, available land area, competition, and depredation driven its diversification dynamics. Gondwana Research, doi:</w:t>
      </w:r>
      <w:r>
        <w:t xml:space="preserve"> </w:t>
      </w:r>
      <w:hyperlink r:id="rId236">
        <w:r>
          <w:rPr>
            <w:rStyle w:val="Hyperlink"/>
          </w:rPr>
          <w:t xml:space="preserve">10.1016/j.gr.2024.08.002</w:t>
        </w:r>
      </w:hyperlink>
      <w:r>
        <w:t xml:space="preserve">.</w:t>
      </w:r>
    </w:p>
    <w:bookmarkEnd w:id="237"/>
    <w:bookmarkStart w:id="238" w:name="ref-stebbins1974"/>
    <w:p>
      <w:pPr>
        <w:pStyle w:val="Bibliography"/>
      </w:pPr>
      <w:r>
        <w:t xml:space="preserve">Stebbins, G. L. 1974. Trends of angiosperm phylogeny - the ecological basis of diversity. Pp. 156–170</w:t>
      </w:r>
      <w:r>
        <w:t xml:space="preserve"> </w:t>
      </w:r>
      <w:r>
        <w:rPr>
          <w:i/>
          <w:iCs/>
        </w:rPr>
        <w:t xml:space="preserve">in</w:t>
      </w:r>
      <w:r>
        <w:t xml:space="preserve">. Cambridge, Mass.</w:t>
      </w:r>
    </w:p>
    <w:bookmarkEnd w:id="238"/>
    <w:bookmarkStart w:id="240" w:name="ref-stenseth_coevolution_1984"/>
    <w:p>
      <w:pPr>
        <w:pStyle w:val="Bibliography"/>
      </w:pPr>
      <w:r>
        <w:t xml:space="preserve">Stenseth, N. Chr., and J. M. Smith. 1984.</w:t>
      </w:r>
      <w:r>
        <w:t xml:space="preserve"> </w:t>
      </w:r>
      <w:hyperlink r:id="rId239">
        <w:r>
          <w:rPr>
            <w:rStyle w:val="Hyperlink"/>
          </w:rPr>
          <w:t xml:space="preserve">Coevolution in ecosystems: Red queen or evolutionary stasis?</w:t>
        </w:r>
      </w:hyperlink>
      <w:r>
        <w:t xml:space="preserve"> Evol 38:870–880.</w:t>
      </w:r>
    </w:p>
    <w:bookmarkEnd w:id="240"/>
    <w:bookmarkStart w:id="242" w:name="ref-strömberg2013"/>
    <w:p>
      <w:pPr>
        <w:pStyle w:val="Bibliography"/>
      </w:pPr>
      <w:r>
        <w:t xml:space="preserve">Strömberg, C. A. E., R. E. Dunn, R. H. Madden, M. J. Kohn, and A. A. Carlini. 2013.</w:t>
      </w:r>
      <w:r>
        <w:t xml:space="preserve"> </w:t>
      </w:r>
      <w:hyperlink r:id="rId241">
        <w:r>
          <w:rPr>
            <w:rStyle w:val="Hyperlink"/>
          </w:rPr>
          <w:t xml:space="preserve">Decoupling the spread of grasslands from the evolution of grazer-type herbivores in South America</w:t>
        </w:r>
      </w:hyperlink>
      <w:r>
        <w:t xml:space="preserve">. Nature Communications 4:1478.</w:t>
      </w:r>
    </w:p>
    <w:bookmarkEnd w:id="242"/>
    <w:bookmarkStart w:id="244" w:name="ref-tardif2025"/>
    <w:p>
      <w:pPr>
        <w:pStyle w:val="Bibliography"/>
      </w:pPr>
      <w:r>
        <w:t xml:space="preserve">Tardif, D., F. L. Condamine, S. J. R. Streiff, P. Sepulchre, and T. L. P. Couvreur. 2025.</w:t>
      </w:r>
      <w:r>
        <w:t xml:space="preserve"> </w:t>
      </w:r>
      <w:hyperlink r:id="rId243">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44"/>
    <w:bookmarkStart w:id="246" w:name="ref-tarquini2022"/>
    <w:p>
      <w:pPr>
        <w:pStyle w:val="Bibliography"/>
      </w:pPr>
      <w:r>
        <w:t xml:space="preserve">Tarquini, S. D., S. Ladevèze, and F. J. Prevosti. 2022.</w:t>
      </w:r>
      <w:r>
        <w:t xml:space="preserve"> </w:t>
      </w:r>
      <w:hyperlink r:id="rId245">
        <w:r>
          <w:rPr>
            <w:rStyle w:val="Hyperlink"/>
          </w:rPr>
          <w:t xml:space="preserve">The multicausal twilight of South American native mammalian predators (Metatheria, Sparassodonta)</w:t>
        </w:r>
      </w:hyperlink>
      <w:r>
        <w:t xml:space="preserve">. Scientific Reports 12:1224.</w:t>
      </w:r>
    </w:p>
    <w:bookmarkEnd w:id="246"/>
    <w:bookmarkStart w:id="248" w:name="ref-database"/>
    <w:p>
      <w:pPr>
        <w:pStyle w:val="Bibliography"/>
      </w:pPr>
      <w:r>
        <w:t xml:space="preserve">Upham, N., C. Burgin, J. Widness, S. Liphardt, C. Parker, M. Becker, I. Rochon, D. Huckaby, and J. Zijlstra. 2026.</w:t>
      </w:r>
      <w:r>
        <w:t xml:space="preserve"> </w:t>
      </w:r>
      <w:hyperlink r:id="rId247">
        <w:r>
          <w:rPr>
            <w:rStyle w:val="Hyperlink"/>
          </w:rPr>
          <w:t xml:space="preserve">Mammal Diversity Database v2.4</w:t>
        </w:r>
      </w:hyperlink>
      <w:r>
        <w:t xml:space="preserve">.</w:t>
      </w:r>
    </w:p>
    <w:bookmarkEnd w:id="248"/>
    <w:bookmarkStart w:id="250"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49">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50"/>
    <w:bookmarkStart w:id="252" w:name="ref-vanvalen1960"/>
    <w:p>
      <w:pPr>
        <w:pStyle w:val="Bibliography"/>
      </w:pPr>
      <w:r>
        <w:t xml:space="preserve">Van Valen, L. 1960.</w:t>
      </w:r>
      <w:r>
        <w:t xml:space="preserve"> </w:t>
      </w:r>
      <w:hyperlink r:id="rId251">
        <w:r>
          <w:rPr>
            <w:rStyle w:val="Hyperlink"/>
          </w:rPr>
          <w:t xml:space="preserve">A functional index of hypsodonty</w:t>
        </w:r>
      </w:hyperlink>
      <w:r>
        <w:t xml:space="preserve">. Evolution 14:531–532.</w:t>
      </w:r>
    </w:p>
    <w:bookmarkEnd w:id="252"/>
    <w:bookmarkStart w:id="253" w:name="ref-vanvalen1973"/>
    <w:p>
      <w:pPr>
        <w:pStyle w:val="Bibliography"/>
      </w:pPr>
      <w:r>
        <w:t xml:space="preserve">Van Valen, L. 1973a. A new evolutionary law. Evolutionary Theory 1–30.</w:t>
      </w:r>
    </w:p>
    <w:bookmarkEnd w:id="253"/>
    <w:bookmarkStart w:id="254" w:name="ref-van_valen_pattern_1973"/>
    <w:p>
      <w:pPr>
        <w:pStyle w:val="Bibliography"/>
      </w:pPr>
      <w:r>
        <w:t xml:space="preserve">Van Valen, L. 1973b. Pattern and the balance of nature. Evol. Theory 1:31–49.</w:t>
      </w:r>
    </w:p>
    <w:bookmarkEnd w:id="254"/>
    <w:bookmarkStart w:id="255" w:name="ref-vrba1995"/>
    <w:p>
      <w:pPr>
        <w:pStyle w:val="Bibliography"/>
      </w:pPr>
      <w:r>
        <w:t xml:space="preserve">Vrba, E. S. 1995. On the connections between paleoclimate and evolution. Pp. 25–45</w:t>
      </w:r>
      <w:r>
        <w:t xml:space="preserve"> </w:t>
      </w:r>
      <w:r>
        <w:rPr>
          <w:i/>
          <w:iCs/>
        </w:rPr>
        <w:t xml:space="preserve">in</w:t>
      </w:r>
      <w:r>
        <w:t xml:space="preserve">. New Haven; London.</w:t>
      </w:r>
    </w:p>
    <w:bookmarkEnd w:id="255"/>
    <w:bookmarkStart w:id="256" w:name="ref-vrba1993"/>
    <w:p>
      <w:pPr>
        <w:pStyle w:val="Bibliography"/>
      </w:pPr>
      <w:r>
        <w:t xml:space="preserve">Vrba, E. S. 1993. Turnover-pulses, the red queen and related topics. American Journal of Science 293:418–452.</w:t>
      </w:r>
    </w:p>
    <w:bookmarkEnd w:id="256"/>
    <w:bookmarkStart w:id="257"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Sociedad Argentina para el Estudio de los Mammíferos (SAREM), Buenos Aires, Argentina.</w:t>
      </w:r>
    </w:p>
    <w:bookmarkEnd w:id="257"/>
    <w:bookmarkStart w:id="258" w:name="ref-webb1985"/>
    <w:p>
      <w:pPr>
        <w:pStyle w:val="Bibliography"/>
      </w:pPr>
      <w:r>
        <w:t xml:space="preserve">Webb, S. D. 1985. Late cenozoic mammal dispersals between the americas.</w:t>
      </w:r>
    </w:p>
    <w:bookmarkEnd w:id="258"/>
    <w:bookmarkStart w:id="260" w:name="ref-weppe2023"/>
    <w:p>
      <w:pPr>
        <w:pStyle w:val="Bibliography"/>
      </w:pPr>
      <w:r>
        <w:t xml:space="preserve">Weppe, R., F. L. Condamine, G. Guinot, J. Maugoust, and M. J. Orliac. 2023.</w:t>
      </w:r>
      <w:r>
        <w:t xml:space="preserve"> </w:t>
      </w:r>
      <w:hyperlink r:id="rId259">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60"/>
    <w:bookmarkStart w:id="262"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61">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62"/>
    <w:bookmarkStart w:id="264" w:name="ref-woods2021"/>
    <w:p>
      <w:pPr>
        <w:pStyle w:val="Bibliography"/>
      </w:pPr>
      <w:r>
        <w:t xml:space="preserve">Woods, R., I. Barnes, S. Brace, and S. T. Turvey. 2021.</w:t>
      </w:r>
      <w:r>
        <w:t xml:space="preserve"> </w:t>
      </w:r>
      <w:hyperlink r:id="rId263">
        <w:r>
          <w:rPr>
            <w:rStyle w:val="Hyperlink"/>
          </w:rPr>
          <w:t xml:space="preserve">Ancient DNA suggests single colonization and within-archipelago diversification of caribbean caviomorph rodents</w:t>
        </w:r>
      </w:hyperlink>
      <w:r>
        <w:t xml:space="preserve">. Molecular Biology and Evolution 38:84–95.</w:t>
      </w:r>
    </w:p>
    <w:bookmarkEnd w:id="264"/>
    <w:bookmarkEnd w:id="265"/>
    <w:p>
      <w:r>
        <w:br w:type="page"/>
      </w:r>
    </w:p>
    <w:bookmarkEnd w:id="266"/>
    <w:bookmarkStart w:id="284"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71" w:name="fig-ExtSampl"/>
          <w:p>
            <w:pPr>
              <w:pStyle w:val="Compact"/>
              <w:jc w:val="center"/>
            </w:pPr>
            <w:r>
              <w:drawing>
                <wp:inline>
                  <wp:extent cx="5943600" cy="1635861"/>
                  <wp:effectExtent b="0" l="0" r="0" t="0"/>
                  <wp:docPr descr="" title="" id="268" name="Picture"/>
                  <a:graphic>
                    <a:graphicData uri="http://schemas.openxmlformats.org/drawingml/2006/picture">
                      <pic:pic>
                        <pic:nvPicPr>
                          <pic:cNvPr descr="../Figures/Main/extant_sampling/extant_sampling.png" id="269" name="Picture"/>
                          <pic:cNvPicPr>
                            <a:picLocks noChangeArrowheads="1" noChangeAspect="1"/>
                          </pic:cNvPicPr>
                        </pic:nvPicPr>
                        <pic:blipFill>
                          <a:blip r:embed="rId267"/>
                          <a:stretch>
                            <a:fillRect/>
                          </a:stretch>
                        </pic:blipFill>
                        <pic:spPr bwMode="auto">
                          <a:xfrm>
                            <a:off x="0" y="0"/>
                            <a:ext cx="5943600" cy="16358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70">
              <w:r>
                <w:rPr>
                  <w:rStyle w:val="Hyperlink"/>
                </w:rPr>
                <w:t xml:space="preserve">Phylopic</w:t>
              </w:r>
            </w:hyperlink>
            <w:r>
              <w:t xml:space="preserve">, see Tab. S3 for additional information.</w:t>
            </w:r>
          </w:p>
          <w:bookmarkEnd w:id="271"/>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75" w:name="fig-lifespans"/>
          <w:p>
            <w:pPr>
              <w:pStyle w:val="Compact"/>
              <w:jc w:val="center"/>
            </w:pPr>
            <w:r>
              <w:drawing>
                <wp:inline>
                  <wp:extent cx="5399999" cy="6839999"/>
                  <wp:effectExtent b="0" l="0" r="0" t="0"/>
                  <wp:docPr descr="" title="" id="273" name="Picture"/>
                  <a:graphic>
                    <a:graphicData uri="http://schemas.openxmlformats.org/drawingml/2006/picture">
                      <pic:pic>
                        <pic:nvPicPr>
                          <pic:cNvPr descr="../Figures/Main/Lifespans/lifespans_distribs.png" id="274" name="Picture"/>
                          <pic:cNvPicPr>
                            <a:picLocks noChangeArrowheads="1" noChangeAspect="1"/>
                          </pic:cNvPicPr>
                        </pic:nvPicPr>
                        <pic:blipFill>
                          <a:blip r:embed="rId272"/>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Bayesian reconstruction of the longevities of the 129 chinchilloid species considered in our dataset. Each segment depicts the longevity of a given species, that is, the interval between species’ speciation and extinction times averaged across PyRate runs that achieved convergence. Lines, ticks and taxonomic names were coloured according to the body mass category to which species were assigned. The histogram at the centre of the plot shows the number of species within each body mass class. The first four silhouettes (from top to bottom) are from Phylopic (credits available in Table S2).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275"/>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79" w:name="fig-diversityBM"/>
          <w:p>
            <w:pPr>
              <w:pStyle w:val="Compact"/>
              <w:jc w:val="center"/>
            </w:pPr>
            <w:r>
              <w:drawing>
                <wp:inline>
                  <wp:extent cx="2519999" cy="7199999"/>
                  <wp:effectExtent b="0" l="0" r="0" t="0"/>
                  <wp:docPr descr="" title="" id="277" name="Picture"/>
                  <a:graphic>
                    <a:graphicData uri="http://schemas.openxmlformats.org/drawingml/2006/picture">
                      <pic:pic>
                        <pic:nvPicPr>
                          <pic:cNvPr descr="../Figures/Main/Diversity_and_BM_through_time.png" id="278" name="Picture"/>
                          <pic:cNvPicPr>
                            <a:picLocks noChangeArrowheads="1" noChangeAspect="1"/>
                          </pic:cNvPicPr>
                        </pic:nvPicPr>
                        <pic:blipFill>
                          <a:blip r:embed="rId276"/>
                          <a:stretch>
                            <a:fillRect/>
                          </a:stretch>
                        </pic:blipFill>
                        <pic:spPr bwMode="auto">
                          <a:xfrm>
                            <a:off x="0" y="0"/>
                            <a:ext cx="2519999" cy="71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diversity and clade-wise body size dynamics of Chinchilloidea. Occurrence-based diversity reconstructions were either produced in a bayesian preservation-aware framework jointly assessing the times of speciation and extinction of each species from the temporal occurrence database (PyRate)</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the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and the lightest ribbon either shows their associated 95% HPD interval</w:t>
            </w:r>
            <w:r>
              <w:t xml:space="preserve"> </w:t>
            </w:r>
            <w:r>
              <w:rPr>
                <w:b/>
                <w:bCs/>
              </w:rPr>
              <w:t xml:space="preserve">(A</w:t>
            </w:r>
            <w:r>
              <w:t xml:space="preserve"> </w:t>
            </w:r>
            <w:r>
              <w:t xml:space="preserve">and</w:t>
            </w:r>
            <w:r>
              <w:t xml:space="preserve"> </w:t>
            </w:r>
            <w:r>
              <w:rPr>
                <w:b/>
                <w:bCs/>
              </w:rPr>
              <w:t xml:space="preserve">B)</w:t>
            </w:r>
            <w:r>
              <w:t xml:space="preserve"> </w:t>
            </w:r>
            <w:r>
              <w:t xml:space="preserve">or the total range of values</w:t>
            </w:r>
            <w:r>
              <w:t xml:space="preserve"> </w:t>
            </w:r>
            <w:r>
              <w:rPr>
                <w:b/>
                <w:bCs/>
              </w:rPr>
              <w:t xml:space="preserve">(C)</w:t>
            </w:r>
            <w:r>
              <w:t xml:space="preserve">. In</w:t>
            </w:r>
            <w:r>
              <w:t xml:space="preserve"> </w:t>
            </w:r>
            <w:r>
              <w:rPr>
                <w:b/>
                <w:bCs/>
              </w:rPr>
              <w:t xml:space="preserve">(B)</w:t>
            </w:r>
            <w:r>
              <w:t xml:space="preserve">, the darker ribbon depicts the interval encompassing 50% of the per-bin diversity distribution across the 100 DeepDive replicates.</w:t>
            </w:r>
          </w:p>
          <w:bookmarkEnd w:id="279"/>
        </w:tc>
      </w:tr>
    </w:tbl>
    <w:p>
      <w:pPr>
        <w:pStyle w:val="BodyText"/>
      </w:pPr>
      <w:r>
        <w:br/>
      </w:r>
    </w:p>
    <w:tbl>
      <w:tblPr>
        <w:tblStyle w:val="Table"/>
        <w:tblW w:type="pct" w:w="5000"/>
        <w:tblLayout w:type="fixed"/>
        <w:tblLook w:firstRow="0" w:lastRow="0" w:firstColumn="0" w:lastColumn="0" w:noHBand="0" w:noVBand="0" w:val="0000"/>
      </w:tblPr>
      <w:tblGrid>
        <w:gridCol w:w="7920"/>
      </w:tblGrid>
      <w:tr>
        <w:tc>
          <w:tcPr/>
          <w:bookmarkStart w:id="283" w:name="fig-diversification"/>
          <w:p>
            <w:pPr>
              <w:pStyle w:val="Compact"/>
              <w:jc w:val="center"/>
            </w:pPr>
            <w:r>
              <w:drawing>
                <wp:inline>
                  <wp:extent cx="5399999" cy="3959999"/>
                  <wp:effectExtent b="0" l="0" r="0" t="0"/>
                  <wp:docPr descr="" title="" id="281" name="Picture"/>
                  <a:graphic>
                    <a:graphicData uri="http://schemas.openxmlformats.org/drawingml/2006/picture">
                      <pic:pic>
                        <pic:nvPicPr>
                          <pic:cNvPr descr="../Figures/Main/Diversification_rates.png" id="282" name="Picture"/>
                          <pic:cNvPicPr>
                            <a:picLocks noChangeArrowheads="1" noChangeAspect="1"/>
                          </pic:cNvPicPr>
                        </pic:nvPicPr>
                        <pic:blipFill>
                          <a:blip r:embed="rId280"/>
                          <a:stretch>
                            <a:fillRect/>
                          </a:stretch>
                        </pic:blipFill>
                        <pic:spPr bwMode="auto">
                          <a:xfrm>
                            <a:off x="0" y="0"/>
                            <a:ext cx="5399999" cy="395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Comparative chinchilloid speciation and extinction rates reconstructed using three Bayesian occurrence-based birth-death models. Speciation and extinction rates are respectively depicted in blue and red. The left column</w:t>
            </w:r>
            <w:r>
              <w:t xml:space="preserve"> </w:t>
            </w:r>
            <w:r>
              <w:rPr>
                <w:b/>
                <w:bCs/>
              </w:rPr>
              <w:t xml:space="preserve">(A-B)</w:t>
            </w:r>
            <w:r>
              <w:t xml:space="preserve"> </w:t>
            </w:r>
            <w:r>
              <w:t xml:space="preserve">shows the rates estimated by PyRate, using the rjMCMC algorithm</w:t>
            </w:r>
            <w:r>
              <w:t xml:space="preserve"> </w:t>
            </w:r>
            <w:r>
              <w:t xml:space="preserve">(Silvestro et al. 2019)</w:t>
            </w:r>
            <w:r>
              <w:t xml:space="preserve">. Stars indicate significant rate shifts.</w:t>
            </w:r>
          </w:p>
          <w:bookmarkEnd w:id="283"/>
        </w:tc>
      </w:tr>
    </w:tbl>
    <w:bookmarkEnd w:id="284"/>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Chinchilla chinchilla</w:t>
      </w:r>
      <w:r>
        <w:t xml:space="preserve"> </w:t>
      </w:r>
      <w:r>
        <w:t xml:space="preserve">remains.</w:t>
      </w:r>
    </w:p>
  </w:footnote>
  <w:footnote w:id="30">
    <w:p>
      <w:pPr>
        <w:pStyle w:val="FootnoteText"/>
      </w:pPr>
      <w:r>
        <w:rPr>
          <w:rStyle w:val="FootnoteReference"/>
        </w:rPr>
        <w:footnoteRef/>
      </w:r>
      <w:r>
        <w:t xml:space="preserve"> </w:t>
      </w:r>
      <w:r>
        <w:t xml:space="preserve">The species that we had to exclude are:</w:t>
      </w:r>
      <w:r>
        <w:t xml:space="preserve"> </w:t>
      </w:r>
      <w:r>
        <w:rPr>
          <w:i/>
          <w:iCs/>
        </w:rPr>
        <w:t xml:space="preserve">Agnomys formosus</w:t>
      </w:r>
      <w:r>
        <w:t xml:space="preserve">,</w:t>
      </w:r>
      <w:r>
        <w:t xml:space="preserve"> </w:t>
      </w:r>
      <w:r>
        <w:rPr>
          <w:i/>
          <w:iCs/>
        </w:rPr>
        <w:t xml:space="preserve">Diaphoromys compressidens</w:t>
      </w:r>
      <w:r>
        <w:t xml:space="preserve">,</w:t>
      </w:r>
      <w:r>
        <w:t xml:space="preserve"> </w:t>
      </w:r>
      <w:r>
        <w:rPr>
          <w:i/>
          <w:iCs/>
        </w:rPr>
        <w:t xml:space="preserve">Eusigmomys friasensis</w:t>
      </w:r>
      <w:r>
        <w:t xml:space="preserve">,</w:t>
      </w:r>
      <w:r>
        <w:t xml:space="preserve"> </w:t>
      </w:r>
      <w:r>
        <w:rPr>
          <w:i/>
          <w:iCs/>
        </w:rPr>
        <w:t xml:space="preserve">Pentastylodon racedi</w:t>
      </w:r>
      <w:r>
        <w:t xml:space="preserve">,</w:t>
      </w:r>
      <w:r>
        <w:t xml:space="preserve"> </w:t>
      </w:r>
      <w:r>
        <w:rPr>
          <w:i/>
          <w:iCs/>
        </w:rPr>
        <w:t xml:space="preserve">Pentastylomys seriei</w:t>
      </w:r>
      <w:r>
        <w:t xml:space="preserve">,</w:t>
      </w:r>
      <w:r>
        <w:t xml:space="preserve"> </w:t>
      </w:r>
      <w:r>
        <w:rPr>
          <w:i/>
          <w:iCs/>
        </w:rPr>
        <w:t xml:space="preserve">Protomegamys coligatus</w:t>
      </w:r>
      <w:r>
        <w:t xml:space="preserve">,</w:t>
      </w:r>
      <w:r>
        <w:t xml:space="preserve"> </w:t>
      </w:r>
      <w:r>
        <w:rPr>
          <w:i/>
          <w:iCs/>
        </w:rPr>
        <w:t xml:space="preserve">Telodontomys compressidens</w:t>
      </w:r>
      <w:r>
        <w:t xml:space="preserve">,</w:t>
      </w:r>
      <w:r>
        <w:t xml:space="preserve"> </w:t>
      </w:r>
      <w:r>
        <w:rPr>
          <w:i/>
          <w:iCs/>
        </w:rPr>
        <w:t xml:space="preserve">Tetrastylomys castellanosi</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0" Target="media/rId280.png" /><Relationship Type="http://schemas.openxmlformats.org/officeDocument/2006/relationships/image" Id="rId276" Target="media/rId276.png" /><Relationship Type="http://schemas.openxmlformats.org/officeDocument/2006/relationships/image" Id="rId272" Target="media/rId272.png" /><Relationship Type="http://schemas.openxmlformats.org/officeDocument/2006/relationships/image" Id="rId267" Target="media/rId267.png" /><Relationship Type="http://schemas.openxmlformats.org/officeDocument/2006/relationships/hyperlink" Id="rId199" Target="https://discovery.ucl.ac.uk/id/eprint/10220325/" TargetMode="External" /><Relationship Type="http://schemas.openxmlformats.org/officeDocument/2006/relationships/hyperlink" Id="rId185"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1" Target="https://doi.org/10.1007/BF02988789" TargetMode="External" /><Relationship Type="http://schemas.openxmlformats.org/officeDocument/2006/relationships/hyperlink" Id="rId179" Target="https://doi.org/10.1007/s10914-022-09631-7" TargetMode="External" /><Relationship Type="http://schemas.openxmlformats.org/officeDocument/2006/relationships/hyperlink" Id="rId119" Target="https://doi.org/10.1007/s10914-023-09675-3" TargetMode="External" /><Relationship Type="http://schemas.openxmlformats.org/officeDocument/2006/relationships/hyperlink" Id="rId77"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5" Target="https://doi.org/10.1007/s12542-016-0306-8" TargetMode="External" /><Relationship Type="http://schemas.openxmlformats.org/officeDocument/2006/relationships/hyperlink" Id="rId197" Target="https://doi.org/10.1016/B978-0-12-824360-2.00005-X" TargetMode="External" /><Relationship Type="http://schemas.openxmlformats.org/officeDocument/2006/relationships/hyperlink" Id="rId83"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36" Target="https://doi.org/10.1016/j.gr.2024.08.002" TargetMode="External" /><Relationship Type="http://schemas.openxmlformats.org/officeDocument/2006/relationships/hyperlink" Id="rId149" Target="https://doi.org/10.1016/j.jsames.2005.06.007" TargetMode="External" /><Relationship Type="http://schemas.openxmlformats.org/officeDocument/2006/relationships/hyperlink" Id="rId69" Target="https://doi.org/10.1016/j.palaeo.2009.01.004" TargetMode="External" /><Relationship Type="http://schemas.openxmlformats.org/officeDocument/2006/relationships/hyperlink" Id="rId163" Target="https://doi.org/10.1016/j.palaeo.2012.09.001" TargetMode="External" /><Relationship Type="http://schemas.openxmlformats.org/officeDocument/2006/relationships/hyperlink" Id="rId158"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39" Target="https://doi.org/10.1017/S0094837300015864" TargetMode="External" /><Relationship Type="http://schemas.openxmlformats.org/officeDocument/2006/relationships/hyperlink" Id="rId230" Target="https://doi.org/10.1017/pab.2019.23" TargetMode="External" /><Relationship Type="http://schemas.openxmlformats.org/officeDocument/2006/relationships/hyperlink" Id="rId195" Target="https://doi.org/10.1017/pab.2025.10086" TargetMode="External" /><Relationship Type="http://schemas.openxmlformats.org/officeDocument/2006/relationships/hyperlink" Id="rId121" Target="https://doi.org/10.1038/365748a0" TargetMode="External" /><Relationship Type="http://schemas.openxmlformats.org/officeDocument/2006/relationships/hyperlink" Id="rId201" Target="https://doi.org/10.1038/ncomms2299" TargetMode="External" /><Relationship Type="http://schemas.openxmlformats.org/officeDocument/2006/relationships/hyperlink" Id="rId241" Target="https://doi.org/10.1038/ncomms2508" TargetMode="External" /><Relationship Type="http://schemas.openxmlformats.org/officeDocument/2006/relationships/hyperlink" Id="rId137" Target="https://doi.org/10.1038/s41467-022-30507-0" TargetMode="External" /><Relationship Type="http://schemas.openxmlformats.org/officeDocument/2006/relationships/hyperlink" Id="rId115"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66" Target="https://doi.org/10.1038/s41586-023-06381-1" TargetMode="External" /><Relationship Type="http://schemas.openxmlformats.org/officeDocument/2006/relationships/hyperlink" Id="rId165" Target="https://doi.org/10.1038/s41598-017-05263-7" TargetMode="External" /><Relationship Type="http://schemas.openxmlformats.org/officeDocument/2006/relationships/hyperlink" Id="rId245" Target="https://doi.org/10.1038/s41598-022-05266-z" TargetMode="External" /><Relationship Type="http://schemas.openxmlformats.org/officeDocument/2006/relationships/hyperlink" Id="rId87" Target="https://doi.org/10.1038/s41598-022-26010-7" TargetMode="External" /><Relationship Type="http://schemas.openxmlformats.org/officeDocument/2006/relationships/hyperlink" Id="rId249" Target="https://doi.org/10.1038/s41598-023-28497-0" TargetMode="External" /><Relationship Type="http://schemas.openxmlformats.org/officeDocument/2006/relationships/hyperlink" Id="rId75" Target="https://doi.org/10.1073/pnas.0409518102" TargetMode="External" /><Relationship Type="http://schemas.openxmlformats.org/officeDocument/2006/relationships/hyperlink" Id="rId167"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28" Target="https://doi.org/10.1073/pnas.1502803112" TargetMode="External" /><Relationship Type="http://schemas.openxmlformats.org/officeDocument/2006/relationships/hyperlink" Id="rId109" Target="https://doi.org/10.1073/pnas.1902693116" TargetMode="External" /><Relationship Type="http://schemas.openxmlformats.org/officeDocument/2006/relationships/hyperlink" Id="rId111" Target="https://doi.org/10.1073/pnas.2005571117" TargetMode="External" /><Relationship Type="http://schemas.openxmlformats.org/officeDocument/2006/relationships/hyperlink" Id="rId101" Target="https://doi.org/10.1073/pnas.2006087117" TargetMode="External" /><Relationship Type="http://schemas.openxmlformats.org/officeDocument/2006/relationships/hyperlink" Id="rId259" Target="https://doi.org/10.1073/pnas.2309945120" TargetMode="External" /><Relationship Type="http://schemas.openxmlformats.org/officeDocument/2006/relationships/hyperlink" Id="rId89" Target="https://doi.org/10.1073/pnas.2419520122" TargetMode="External" /><Relationship Type="http://schemas.openxmlformats.org/officeDocument/2006/relationships/hyperlink" Id="rId206" Target="https://doi.org/10.1080/02724634.2010.522432" TargetMode="External" /><Relationship Type="http://schemas.openxmlformats.org/officeDocument/2006/relationships/hyperlink" Id="rId212" Target="https://doi.org/10.1080/08912963.2017.1294168" TargetMode="External" /><Relationship Type="http://schemas.openxmlformats.org/officeDocument/2006/relationships/hyperlink" Id="rId216"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2" Target="https://doi.org/10.1093/botlinnean/boab098" TargetMode="External" /><Relationship Type="http://schemas.openxmlformats.org/officeDocument/2006/relationships/hyperlink" Id="rId220" Target="https://doi.org/10.1093/jmammal/gyz194" TargetMode="External" /><Relationship Type="http://schemas.openxmlformats.org/officeDocument/2006/relationships/hyperlink" Id="rId263" Target="https://doi.org/10.1093/molbev/msaa189" TargetMode="External" /><Relationship Type="http://schemas.openxmlformats.org/officeDocument/2006/relationships/hyperlink" Id="rId169" Target="https://doi.org/10.1093/sysbio/syq052" TargetMode="External" /><Relationship Type="http://schemas.openxmlformats.org/officeDocument/2006/relationships/hyperlink" Id="rId125" Target="https://doi.org/10.1093/sysbio/syw020" TargetMode="External" /><Relationship Type="http://schemas.openxmlformats.org/officeDocument/2006/relationships/hyperlink" Id="rId145" Target="https://doi.org/10.1093/sysbio/syx082" TargetMode="External" /><Relationship Type="http://schemas.openxmlformats.org/officeDocument/2006/relationships/hyperlink" Id="rId105" Target="https://doi.org/10.1093/sysbio/syy009" TargetMode="External" /><Relationship Type="http://schemas.openxmlformats.org/officeDocument/2006/relationships/hyperlink" Id="rId187" Target="https://doi.org/10.1098/rspb.2007.1056" TargetMode="External" /><Relationship Type="http://schemas.openxmlformats.org/officeDocument/2006/relationships/hyperlink" Id="rId218" Target="https://doi.org/10.1098/rspb.2007.1645" TargetMode="External" /><Relationship Type="http://schemas.openxmlformats.org/officeDocument/2006/relationships/hyperlink" Id="rId131" Target="https://doi.org/10.1098/rspb.2011.1439" TargetMode="External" /><Relationship Type="http://schemas.openxmlformats.org/officeDocument/2006/relationships/hyperlink" Id="rId222" Target="https://doi.org/10.1098/rspb.2014.2490" TargetMode="External" /><Relationship Type="http://schemas.openxmlformats.org/officeDocument/2006/relationships/hyperlink" Id="rId181" Target="https://doi.org/10.1098/rspb.2019.2806" TargetMode="External" /><Relationship Type="http://schemas.openxmlformats.org/officeDocument/2006/relationships/hyperlink" Id="rId177"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29" Target="https://doi.org/10.1098/rspb.2025.2245" TargetMode="External" /><Relationship Type="http://schemas.openxmlformats.org/officeDocument/2006/relationships/hyperlink" Id="rId91" Target="https://doi.org/10.1101/2025.02.27.640393" TargetMode="External" /><Relationship Type="http://schemas.openxmlformats.org/officeDocument/2006/relationships/hyperlink" Id="rId232" Target="https://doi.org/10.1111/2041-210X.12263" TargetMode="External" /><Relationship Type="http://schemas.openxmlformats.org/officeDocument/2006/relationships/hyperlink" Id="rId113" Target="https://doi.org/10.1111/2041-210X.70070" TargetMode="External" /><Relationship Type="http://schemas.openxmlformats.org/officeDocument/2006/relationships/hyperlink" Id="rId107" Target="https://doi.org/10.1111/ele.13382" TargetMode="External" /><Relationship Type="http://schemas.openxmlformats.org/officeDocument/2006/relationships/hyperlink" Id="rId208" Target="https://doi.org/10.1111/evo.13680" TargetMode="External" /><Relationship Type="http://schemas.openxmlformats.org/officeDocument/2006/relationships/hyperlink" Id="rId243" Target="https://doi.org/10.1111/geb.70024" TargetMode="External" /><Relationship Type="http://schemas.openxmlformats.org/officeDocument/2006/relationships/hyperlink" Id="rId73" Target="https://doi.org/10.1111/j.1096-3642.2004.00138.x" TargetMode="External" /><Relationship Type="http://schemas.openxmlformats.org/officeDocument/2006/relationships/hyperlink" Id="rId171" Target="https://doi.org/10.1111/j.1365-2699.2005.01314.x" TargetMode="External" /><Relationship Type="http://schemas.openxmlformats.org/officeDocument/2006/relationships/hyperlink" Id="rId226" Target="https://doi.org/10.1111/j.1469-185X.2010.00137.x" TargetMode="External" /><Relationship Type="http://schemas.openxmlformats.org/officeDocument/2006/relationships/hyperlink" Id="rId123" Target="https://doi.org/10.1111/j.1469-185X.2011.00176.x" TargetMode="External" /><Relationship Type="http://schemas.openxmlformats.org/officeDocument/2006/relationships/hyperlink" Id="rId251" Target="https://doi.org/10.1111/j.1558-5646.1960.tb03121.x" TargetMode="External" /><Relationship Type="http://schemas.openxmlformats.org/officeDocument/2006/relationships/hyperlink" Id="rId239" Target="https://doi.org/10.1111/j.1558-5646.1984.tb00358.x" TargetMode="External" /><Relationship Type="http://schemas.openxmlformats.org/officeDocument/2006/relationships/hyperlink" Id="rId214"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1" Target="https://doi.org/10.1126/sciadv.1601693" TargetMode="External" /><Relationship Type="http://schemas.openxmlformats.org/officeDocument/2006/relationships/hyperlink" Id="rId189" Target="https://doi.org/10.1126/sciadv.aaz1346" TargetMode="External" /><Relationship Type="http://schemas.openxmlformats.org/officeDocument/2006/relationships/hyperlink" Id="rId147" Target="https://doi.org/10.1126/sciadv.adl2643" TargetMode="External" /><Relationship Type="http://schemas.openxmlformats.org/officeDocument/2006/relationships/hyperlink" Id="rId224"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56" Target="https://doi.org/10.1126/science.1194585" TargetMode="External" /><Relationship Type="http://schemas.openxmlformats.org/officeDocument/2006/relationships/hyperlink" Id="rId210" Target="https://doi.org/10.1126/science.1239431" TargetMode="External" /><Relationship Type="http://schemas.openxmlformats.org/officeDocument/2006/relationships/hyperlink" Id="rId261" Target="https://doi.org/10.1126/science.aba6853" TargetMode="External" /><Relationship Type="http://schemas.openxmlformats.org/officeDocument/2006/relationships/hyperlink" Id="rId81" Target="https://doi.org/10.1126/science.adu0704" TargetMode="External" /><Relationship Type="http://schemas.openxmlformats.org/officeDocument/2006/relationships/hyperlink" Id="rId154" Target="https://doi.org/10.1130/0091-7613(1995)023&lt;0237:ATAACF&gt;2.3.CO;2" TargetMode="External" /><Relationship Type="http://schemas.openxmlformats.org/officeDocument/2006/relationships/hyperlink" Id="rId127" Target="https://doi.org/10.1130/B30660.1" TargetMode="External" /><Relationship Type="http://schemas.openxmlformats.org/officeDocument/2006/relationships/hyperlink" Id="rId117" Target="https://doi.org/10.1144/jgs2020-188" TargetMode="External" /><Relationship Type="http://schemas.openxmlformats.org/officeDocument/2006/relationships/hyperlink" Id="rId141" Target="https://doi.org/10.1146/annurev.ecolsys.28.1.129" TargetMode="External" /><Relationship Type="http://schemas.openxmlformats.org/officeDocument/2006/relationships/hyperlink" Id="rId173" Target="https://doi.org/10.1146/annurev.ecolsys.31.1.33" TargetMode="External" /><Relationship Type="http://schemas.openxmlformats.org/officeDocument/2006/relationships/hyperlink" Id="rId175" Target="https://doi.org/10.1206/0003-0090-363.1.1" TargetMode="External" /><Relationship Type="http://schemas.openxmlformats.org/officeDocument/2006/relationships/hyperlink" Id="rId143" Target="https://doi.org/10.1590/1809-439220210360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3" Target="https://doi.org/10.18814/epiiugs/2025/025001" TargetMode="External" /><Relationship Type="http://schemas.openxmlformats.org/officeDocument/2006/relationships/hyperlink" Id="rId79" Target="https://doi.org/10.5252/geodiversitas2019v41a4" TargetMode="External" /><Relationship Type="http://schemas.openxmlformats.org/officeDocument/2006/relationships/hyperlink" Id="rId247" Target="https://doi.org/10.5281/zenodo.18135819" TargetMode="External" /><Relationship Type="http://schemas.openxmlformats.org/officeDocument/2006/relationships/hyperlink" Id="rId193" Target="https://doi.org/10.5710/AMGH.07.07.2023.3551" TargetMode="External" /><Relationship Type="http://schemas.openxmlformats.org/officeDocument/2006/relationships/hyperlink" Id="rId135" Target="https://doi.org/10.5710/PEAPA.01.11.2019.309" TargetMode="External" /><Relationship Type="http://schemas.openxmlformats.org/officeDocument/2006/relationships/hyperlink" Id="rId71" Target="https://doi.org/10.7717/peerj.6088" TargetMode="External" /><Relationship Type="http://schemas.openxmlformats.org/officeDocument/2006/relationships/hyperlink" Id="rId204" Target="https://press.uchicago.edu/ucp/books/book/chicago/M/bo18553844.html" TargetMode="External" /><Relationship Type="http://schemas.openxmlformats.org/officeDocument/2006/relationships/hyperlink" Id="rId183" Target="https://www.jstor.org/stable/1688046" TargetMode="External" /><Relationship Type="http://schemas.openxmlformats.org/officeDocument/2006/relationships/hyperlink" Id="rId133" Target="https://www.jstor.org/stable/26519218" TargetMode="External" /><Relationship Type="http://schemas.openxmlformats.org/officeDocument/2006/relationships/hyperlink" Id="rId270"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199" Target="https://discovery.ucl.ac.uk/id/eprint/10220325/" TargetMode="External" /><Relationship Type="http://schemas.openxmlformats.org/officeDocument/2006/relationships/hyperlink" Id="rId185" Target="https://doi.org/10.1006/qres.1998.1977" TargetMode="External" /><Relationship Type="http://schemas.openxmlformats.org/officeDocument/2006/relationships/hyperlink" Id="rId52" Target="https://doi.org/10.1007/978-3-031-67169-2_2" TargetMode="External" /><Relationship Type="http://schemas.openxmlformats.org/officeDocument/2006/relationships/hyperlink" Id="rId191" Target="https://doi.org/10.1007/BF02988789" TargetMode="External" /><Relationship Type="http://schemas.openxmlformats.org/officeDocument/2006/relationships/hyperlink" Id="rId179" Target="https://doi.org/10.1007/s10914-022-09631-7" TargetMode="External" /><Relationship Type="http://schemas.openxmlformats.org/officeDocument/2006/relationships/hyperlink" Id="rId119" Target="https://doi.org/10.1007/s10914-023-09675-3" TargetMode="External" /><Relationship Type="http://schemas.openxmlformats.org/officeDocument/2006/relationships/hyperlink" Id="rId77" Target="https://doi.org/10.1007/s10914-024-09739-y" TargetMode="External" /><Relationship Type="http://schemas.openxmlformats.org/officeDocument/2006/relationships/hyperlink" Id="rId98" Target="https://doi.org/10.1007/s12542-015-0267-3" TargetMode="External" /><Relationship Type="http://schemas.openxmlformats.org/officeDocument/2006/relationships/hyperlink" Id="rId85" Target="https://doi.org/10.1007/s12542-016-0306-8" TargetMode="External" /><Relationship Type="http://schemas.openxmlformats.org/officeDocument/2006/relationships/hyperlink" Id="rId197" Target="https://doi.org/10.1016/B978-0-12-824360-2.00005-X" TargetMode="External" /><Relationship Type="http://schemas.openxmlformats.org/officeDocument/2006/relationships/hyperlink" Id="rId83"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236" Target="https://doi.org/10.1016/j.gr.2024.08.002" TargetMode="External" /><Relationship Type="http://schemas.openxmlformats.org/officeDocument/2006/relationships/hyperlink" Id="rId149" Target="https://doi.org/10.1016/j.jsames.2005.06.007" TargetMode="External" /><Relationship Type="http://schemas.openxmlformats.org/officeDocument/2006/relationships/hyperlink" Id="rId69" Target="https://doi.org/10.1016/j.palaeo.2009.01.004" TargetMode="External" /><Relationship Type="http://schemas.openxmlformats.org/officeDocument/2006/relationships/hyperlink" Id="rId163" Target="https://doi.org/10.1016/j.palaeo.2012.09.001" TargetMode="External" /><Relationship Type="http://schemas.openxmlformats.org/officeDocument/2006/relationships/hyperlink" Id="rId158" Target="https://doi.org/10.1016/j.palaeo.2025.113076" TargetMode="External" /><Relationship Type="http://schemas.openxmlformats.org/officeDocument/2006/relationships/hyperlink" Id="rId58" Target="https://doi.org/10.1016/j.palaeo.2026.113585" TargetMode="External" /><Relationship Type="http://schemas.openxmlformats.org/officeDocument/2006/relationships/hyperlink" Id="rId139" Target="https://doi.org/10.1017/S0094837300015864" TargetMode="External" /><Relationship Type="http://schemas.openxmlformats.org/officeDocument/2006/relationships/hyperlink" Id="rId230" Target="https://doi.org/10.1017/pab.2019.23" TargetMode="External" /><Relationship Type="http://schemas.openxmlformats.org/officeDocument/2006/relationships/hyperlink" Id="rId195" Target="https://doi.org/10.1017/pab.2025.10086" TargetMode="External" /><Relationship Type="http://schemas.openxmlformats.org/officeDocument/2006/relationships/hyperlink" Id="rId121" Target="https://doi.org/10.1038/365748a0" TargetMode="External" /><Relationship Type="http://schemas.openxmlformats.org/officeDocument/2006/relationships/hyperlink" Id="rId201" Target="https://doi.org/10.1038/ncomms2299" TargetMode="External" /><Relationship Type="http://schemas.openxmlformats.org/officeDocument/2006/relationships/hyperlink" Id="rId241" Target="https://doi.org/10.1038/ncomms2508" TargetMode="External" /><Relationship Type="http://schemas.openxmlformats.org/officeDocument/2006/relationships/hyperlink" Id="rId137" Target="https://doi.org/10.1038/s41467-022-30507-0" TargetMode="External" /><Relationship Type="http://schemas.openxmlformats.org/officeDocument/2006/relationships/hyperlink" Id="rId115" Target="https://doi.org/10.1038/s41467-024-48434-7" TargetMode="External" /><Relationship Type="http://schemas.openxmlformats.org/officeDocument/2006/relationships/hyperlink" Id="rId96" Target="https://doi.org/10.1038/s41559-021-01498-w" TargetMode="External" /><Relationship Type="http://schemas.openxmlformats.org/officeDocument/2006/relationships/hyperlink" Id="rId66" Target="https://doi.org/10.1038/s41586-023-06381-1" TargetMode="External" /><Relationship Type="http://schemas.openxmlformats.org/officeDocument/2006/relationships/hyperlink" Id="rId165" Target="https://doi.org/10.1038/s41598-017-05263-7" TargetMode="External" /><Relationship Type="http://schemas.openxmlformats.org/officeDocument/2006/relationships/hyperlink" Id="rId245" Target="https://doi.org/10.1038/s41598-022-05266-z" TargetMode="External" /><Relationship Type="http://schemas.openxmlformats.org/officeDocument/2006/relationships/hyperlink" Id="rId87" Target="https://doi.org/10.1038/s41598-022-26010-7" TargetMode="External" /><Relationship Type="http://schemas.openxmlformats.org/officeDocument/2006/relationships/hyperlink" Id="rId249" Target="https://doi.org/10.1038/s41598-023-28497-0" TargetMode="External" /><Relationship Type="http://schemas.openxmlformats.org/officeDocument/2006/relationships/hyperlink" Id="rId75" Target="https://doi.org/10.1073/pnas.0409518102" TargetMode="External" /><Relationship Type="http://schemas.openxmlformats.org/officeDocument/2006/relationships/hyperlink" Id="rId167" Target="https://doi.org/10.1073/pnas.0709763105" TargetMode="External" /><Relationship Type="http://schemas.openxmlformats.org/officeDocument/2006/relationships/hyperlink" Id="rId56" Target="https://doi.org/10.1073/pnas.0811421106" TargetMode="External" /><Relationship Type="http://schemas.openxmlformats.org/officeDocument/2006/relationships/hyperlink" Id="rId228" Target="https://doi.org/10.1073/pnas.1502803112" TargetMode="External" /><Relationship Type="http://schemas.openxmlformats.org/officeDocument/2006/relationships/hyperlink" Id="rId109" Target="https://doi.org/10.1073/pnas.1902693116" TargetMode="External" /><Relationship Type="http://schemas.openxmlformats.org/officeDocument/2006/relationships/hyperlink" Id="rId111" Target="https://doi.org/10.1073/pnas.2005571117" TargetMode="External" /><Relationship Type="http://schemas.openxmlformats.org/officeDocument/2006/relationships/hyperlink" Id="rId101" Target="https://doi.org/10.1073/pnas.2006087117" TargetMode="External" /><Relationship Type="http://schemas.openxmlformats.org/officeDocument/2006/relationships/hyperlink" Id="rId259" Target="https://doi.org/10.1073/pnas.2309945120" TargetMode="External" /><Relationship Type="http://schemas.openxmlformats.org/officeDocument/2006/relationships/hyperlink" Id="rId89" Target="https://doi.org/10.1073/pnas.2419520122" TargetMode="External" /><Relationship Type="http://schemas.openxmlformats.org/officeDocument/2006/relationships/hyperlink" Id="rId206" Target="https://doi.org/10.1080/02724634.2010.522432" TargetMode="External" /><Relationship Type="http://schemas.openxmlformats.org/officeDocument/2006/relationships/hyperlink" Id="rId212" Target="https://doi.org/10.1080/08912963.2017.1294168" TargetMode="External" /><Relationship Type="http://schemas.openxmlformats.org/officeDocument/2006/relationships/hyperlink" Id="rId216"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52" Target="https://doi.org/10.1093/botlinnean/boab098" TargetMode="External" /><Relationship Type="http://schemas.openxmlformats.org/officeDocument/2006/relationships/hyperlink" Id="rId220" Target="https://doi.org/10.1093/jmammal/gyz194" TargetMode="External" /><Relationship Type="http://schemas.openxmlformats.org/officeDocument/2006/relationships/hyperlink" Id="rId263" Target="https://doi.org/10.1093/molbev/msaa189" TargetMode="External" /><Relationship Type="http://schemas.openxmlformats.org/officeDocument/2006/relationships/hyperlink" Id="rId169" Target="https://doi.org/10.1093/sysbio/syq052" TargetMode="External" /><Relationship Type="http://schemas.openxmlformats.org/officeDocument/2006/relationships/hyperlink" Id="rId125" Target="https://doi.org/10.1093/sysbio/syw020" TargetMode="External" /><Relationship Type="http://schemas.openxmlformats.org/officeDocument/2006/relationships/hyperlink" Id="rId145" Target="https://doi.org/10.1093/sysbio/syx082" TargetMode="External" /><Relationship Type="http://schemas.openxmlformats.org/officeDocument/2006/relationships/hyperlink" Id="rId105" Target="https://doi.org/10.1093/sysbio/syy009" TargetMode="External" /><Relationship Type="http://schemas.openxmlformats.org/officeDocument/2006/relationships/hyperlink" Id="rId187" Target="https://doi.org/10.1098/rspb.2007.1056" TargetMode="External" /><Relationship Type="http://schemas.openxmlformats.org/officeDocument/2006/relationships/hyperlink" Id="rId218" Target="https://doi.org/10.1098/rspb.2007.1645" TargetMode="External" /><Relationship Type="http://schemas.openxmlformats.org/officeDocument/2006/relationships/hyperlink" Id="rId131" Target="https://doi.org/10.1098/rspb.2011.1439" TargetMode="External" /><Relationship Type="http://schemas.openxmlformats.org/officeDocument/2006/relationships/hyperlink" Id="rId222" Target="https://doi.org/10.1098/rspb.2014.2490" TargetMode="External" /><Relationship Type="http://schemas.openxmlformats.org/officeDocument/2006/relationships/hyperlink" Id="rId181" Target="https://doi.org/10.1098/rspb.2019.2806" TargetMode="External" /><Relationship Type="http://schemas.openxmlformats.org/officeDocument/2006/relationships/hyperlink" Id="rId177" Target="https://doi.org/10.1098/rspb.2024.2932" TargetMode="External" /><Relationship Type="http://schemas.openxmlformats.org/officeDocument/2006/relationships/hyperlink" Id="rId60" Target="https://doi.org/10.1098/rspb.2025.1418" TargetMode="External" /><Relationship Type="http://schemas.openxmlformats.org/officeDocument/2006/relationships/hyperlink" Id="rId129" Target="https://doi.org/10.1098/rspb.2025.2245" TargetMode="External" /><Relationship Type="http://schemas.openxmlformats.org/officeDocument/2006/relationships/hyperlink" Id="rId91" Target="https://doi.org/10.1101/2025.02.27.640393" TargetMode="External" /><Relationship Type="http://schemas.openxmlformats.org/officeDocument/2006/relationships/hyperlink" Id="rId232" Target="https://doi.org/10.1111/2041-210X.12263" TargetMode="External" /><Relationship Type="http://schemas.openxmlformats.org/officeDocument/2006/relationships/hyperlink" Id="rId113" Target="https://doi.org/10.1111/2041-210X.70070" TargetMode="External" /><Relationship Type="http://schemas.openxmlformats.org/officeDocument/2006/relationships/hyperlink" Id="rId107" Target="https://doi.org/10.1111/ele.13382" TargetMode="External" /><Relationship Type="http://schemas.openxmlformats.org/officeDocument/2006/relationships/hyperlink" Id="rId208" Target="https://doi.org/10.1111/evo.13680" TargetMode="External" /><Relationship Type="http://schemas.openxmlformats.org/officeDocument/2006/relationships/hyperlink" Id="rId243" Target="https://doi.org/10.1111/geb.70024" TargetMode="External" /><Relationship Type="http://schemas.openxmlformats.org/officeDocument/2006/relationships/hyperlink" Id="rId73" Target="https://doi.org/10.1111/j.1096-3642.2004.00138.x" TargetMode="External" /><Relationship Type="http://schemas.openxmlformats.org/officeDocument/2006/relationships/hyperlink" Id="rId171" Target="https://doi.org/10.1111/j.1365-2699.2005.01314.x" TargetMode="External" /><Relationship Type="http://schemas.openxmlformats.org/officeDocument/2006/relationships/hyperlink" Id="rId226" Target="https://doi.org/10.1111/j.1469-185X.2010.00137.x" TargetMode="External" /><Relationship Type="http://schemas.openxmlformats.org/officeDocument/2006/relationships/hyperlink" Id="rId123" Target="https://doi.org/10.1111/j.1469-185X.2011.00176.x" TargetMode="External" /><Relationship Type="http://schemas.openxmlformats.org/officeDocument/2006/relationships/hyperlink" Id="rId251" Target="https://doi.org/10.1111/j.1558-5646.1960.tb03121.x" TargetMode="External" /><Relationship Type="http://schemas.openxmlformats.org/officeDocument/2006/relationships/hyperlink" Id="rId239" Target="https://doi.org/10.1111/j.1558-5646.1984.tb00358.x" TargetMode="External" /><Relationship Type="http://schemas.openxmlformats.org/officeDocument/2006/relationships/hyperlink" Id="rId214" Target="https://doi.org/10.1111/joa.13430" TargetMode="External" /><Relationship Type="http://schemas.openxmlformats.org/officeDocument/2006/relationships/hyperlink" Id="rId94" Target="https://doi.org/10.1111/let.12015" TargetMode="External" /><Relationship Type="http://schemas.openxmlformats.org/officeDocument/2006/relationships/hyperlink" Id="rId161" Target="https://doi.org/10.1126/sciadv.1601693" TargetMode="External" /><Relationship Type="http://schemas.openxmlformats.org/officeDocument/2006/relationships/hyperlink" Id="rId189" Target="https://doi.org/10.1126/sciadv.aaz1346" TargetMode="External" /><Relationship Type="http://schemas.openxmlformats.org/officeDocument/2006/relationships/hyperlink" Id="rId147" Target="https://doi.org/10.1126/sciadv.adl2643" TargetMode="External" /><Relationship Type="http://schemas.openxmlformats.org/officeDocument/2006/relationships/hyperlink" Id="rId224" Target="https://doi.org/10.1126/science.1089332" TargetMode="External" /><Relationship Type="http://schemas.openxmlformats.org/officeDocument/2006/relationships/hyperlink" Id="rId64" Target="https://doi.org/10.1126/science.1157719" TargetMode="External" /><Relationship Type="http://schemas.openxmlformats.org/officeDocument/2006/relationships/hyperlink" Id="rId156" Target="https://doi.org/10.1126/science.1194585" TargetMode="External" /><Relationship Type="http://schemas.openxmlformats.org/officeDocument/2006/relationships/hyperlink" Id="rId210" Target="https://doi.org/10.1126/science.1239431" TargetMode="External" /><Relationship Type="http://schemas.openxmlformats.org/officeDocument/2006/relationships/hyperlink" Id="rId261" Target="https://doi.org/10.1126/science.aba6853" TargetMode="External" /><Relationship Type="http://schemas.openxmlformats.org/officeDocument/2006/relationships/hyperlink" Id="rId81" Target="https://doi.org/10.1126/science.adu0704" TargetMode="External" /><Relationship Type="http://schemas.openxmlformats.org/officeDocument/2006/relationships/hyperlink" Id="rId154" Target="https://doi.org/10.1130/0091-7613(1995)023&lt;0237:ATAACF&gt;2.3.CO;2" TargetMode="External" /><Relationship Type="http://schemas.openxmlformats.org/officeDocument/2006/relationships/hyperlink" Id="rId127" Target="https://doi.org/10.1130/B30660.1" TargetMode="External" /><Relationship Type="http://schemas.openxmlformats.org/officeDocument/2006/relationships/hyperlink" Id="rId117" Target="https://doi.org/10.1144/jgs2020-188" TargetMode="External" /><Relationship Type="http://schemas.openxmlformats.org/officeDocument/2006/relationships/hyperlink" Id="rId141" Target="https://doi.org/10.1146/annurev.ecolsys.28.1.129" TargetMode="External" /><Relationship Type="http://schemas.openxmlformats.org/officeDocument/2006/relationships/hyperlink" Id="rId173" Target="https://doi.org/10.1146/annurev.ecolsys.31.1.33" TargetMode="External" /><Relationship Type="http://schemas.openxmlformats.org/officeDocument/2006/relationships/hyperlink" Id="rId175" Target="https://doi.org/10.1206/0003-0090-363.1.1" TargetMode="External" /><Relationship Type="http://schemas.openxmlformats.org/officeDocument/2006/relationships/hyperlink" Id="rId143" Target="https://doi.org/10.1590/1809-4392202103601" TargetMode="External" /><Relationship Type="http://schemas.openxmlformats.org/officeDocument/2006/relationships/hyperlink" Id="rId62" Target="https://doi.org/10.1671/0272-4634(2001)021[0172:DTEOTR]2.0.CO;2" TargetMode="External" /><Relationship Type="http://schemas.openxmlformats.org/officeDocument/2006/relationships/hyperlink" Id="rId103" Target="https://doi.org/10.18814/epiiugs/2025/025001" TargetMode="External" /><Relationship Type="http://schemas.openxmlformats.org/officeDocument/2006/relationships/hyperlink" Id="rId79" Target="https://doi.org/10.5252/geodiversitas2019v41a4" TargetMode="External" /><Relationship Type="http://schemas.openxmlformats.org/officeDocument/2006/relationships/hyperlink" Id="rId247" Target="https://doi.org/10.5281/zenodo.18135819" TargetMode="External" /><Relationship Type="http://schemas.openxmlformats.org/officeDocument/2006/relationships/hyperlink" Id="rId193" Target="https://doi.org/10.5710/AMGH.07.07.2023.3551" TargetMode="External" /><Relationship Type="http://schemas.openxmlformats.org/officeDocument/2006/relationships/hyperlink" Id="rId135" Target="https://doi.org/10.5710/PEAPA.01.11.2019.309" TargetMode="External" /><Relationship Type="http://schemas.openxmlformats.org/officeDocument/2006/relationships/hyperlink" Id="rId71" Target="https://doi.org/10.7717/peerj.6088" TargetMode="External" /><Relationship Type="http://schemas.openxmlformats.org/officeDocument/2006/relationships/hyperlink" Id="rId204" Target="https://press.uchicago.edu/ucp/books/book/chicago/M/bo18553844.html" TargetMode="External" /><Relationship Type="http://schemas.openxmlformats.org/officeDocument/2006/relationships/hyperlink" Id="rId183" Target="https://www.jstor.org/stable/1688046" TargetMode="External" /><Relationship Type="http://schemas.openxmlformats.org/officeDocument/2006/relationships/hyperlink" Id="rId133" Target="https://www.jstor.org/stable/26519218" TargetMode="External" /><Relationship Type="http://schemas.openxmlformats.org/officeDocument/2006/relationships/hyperlink" Id="rId270"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Boivin²*, Alicia Álvarez², Fabien L. Condamine¹, Laurent Marivaux¹</dc:creator>
  <cp:keywords/>
  <dcterms:created xsi:type="dcterms:W3CDTF">2026-03-06T15:59:25Z</dcterms:created>
  <dcterms:modified xsi:type="dcterms:W3CDTF">2026-03-06T15:59:25Z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