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6.png" ContentType="image/png"/>
  <Override PartName="/word/media/rId144.png" ContentType="image/png"/>
  <Override PartName="/word/media/rId132.png" ContentType="image/png"/>
  <Override PartName="/word/media/rId1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1,6,9</w:t>
      </w:r>
      <w:r>
        <w:t xml:space="preserve">. However, during the Quaternary, the ability of migrant lineages to maintain and diversify in the foreign continent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bookmarkEnd w:id="22"/>
    <w:bookmarkStart w:id="26" w:name="results"/>
    <w:p>
      <w:pPr>
        <w:pStyle w:val="Heading1"/>
      </w:pPr>
      <w:r>
        <w:t xml:space="preserve">Results</w:t>
      </w:r>
    </w:p>
    <w:bookmarkStart w:id="23" w:name="Xfb36bcde79b6ee4f4fdf1c41b43e2de14e60110"/>
    <w:p>
      <w:pPr>
        <w:pStyle w:val="Heading2"/>
      </w:pPr>
      <w:r>
        <w:t xml:space="preserve">Climate would have favoured an inverted asymmetry for transcontinental faunal exchanges across the Americas</w:t>
      </w:r>
    </w:p>
    <w:p>
      <w:pPr>
        <w:pStyle w:val="FirstParagraph"/>
      </w:pPr>
      <w:r>
        <w:t xml:space="preserve">The contribution of palaeoclimate to the biogeographic asymmetry of the Great American Biotic Interchange (GABI) was tested in a simulation-based framework relying on gen3sis v1.5.11</w:t>
      </w:r>
      <w:r>
        <w:rPr>
          <w:vertAlign w:val="superscript"/>
        </w:rPr>
        <w:t xml:space="preserve">27</w:t>
      </w:r>
      <w:r>
        <w:t xml:space="preserve">, a mechanistic eco-evolutionary simulator, incorporating palaeoclimatic layers (annual temperature and precipitation) covering the last 5 million years generated by the PALEO-PGEM emulator</w:t>
      </w:r>
      <w:r>
        <w:rPr>
          <w:vertAlign w:val="superscript"/>
        </w:rPr>
        <w:t xml:space="preserve">34,35</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strikingly going against our expectations,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w:t>
      </w:r>
    </w:p>
    <w:p>
      <w:pPr>
        <w:pStyle w:val="BodyText"/>
      </w:pPr>
      <w:r>
        <w:t xml:space="preserve">Besides, contrary to the proportion of colonised area, for a given ancestral continent, colonised</w:t>
      </w:r>
      <w:r>
        <w:t xml:space="preserve"> </w:t>
      </w:r>
      <m:oMath>
        <m:r>
          <m:t>α</m:t>
        </m:r>
      </m:oMath>
      <w:r>
        <w:t xml:space="preserve">-diversity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w:t>
      </w:r>
      <w:hyperlink w:anchor="fig-metrics">
        <w:r>
          <w:rPr>
            <w:rStyle w:val="Hyperlink"/>
          </w:rPr>
          <w:t xml:space="preserve">Figure 3</w:t>
        </w:r>
      </w:hyperlink>
      <w:r>
        <w:t xml:space="preserve"> </w:t>
      </w:r>
      <w:r>
        <w:t xml:space="preserve">B). However, given a model, we do retrieve changes in mean colonised</w:t>
      </w:r>
      <w:r>
        <w:t xml:space="preserve"> </w:t>
      </w:r>
      <m:oMath>
        <m:r>
          <m:t>α</m:t>
        </m:r>
      </m:oMath>
      <w:r>
        <w:t xml:space="preserve">-diversity across ancestral continents, with higher values achieved for simulation starting from South America than from North America – although no difference is retrieved from simulations generated under</w:t>
      </w:r>
      <w:r>
        <w:t xml:space="preserve"> </w:t>
      </w:r>
      <m:oMath>
        <m:r>
          <m:t>M</m:t>
        </m:r>
        <m:r>
          <m:t>0</m:t>
        </m:r>
      </m:oMath>
      <w:r>
        <w:t xml:space="preserve"> </w:t>
      </w:r>
      <w:r>
        <w:t xml:space="preserve">().</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SX).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36</w:t>
      </w:r>
      <w:r>
        <w:t xml:space="preserve"> </w:t>
      </w:r>
      <w:r>
        <w:t xml:space="preserve">and Galván et al.</w:t>
      </w:r>
      <w:r>
        <w:rPr>
          <w:vertAlign w:val="superscript"/>
        </w:rPr>
        <w:t xml:space="preserve">37</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w:t>
      </w:r>
    </w:p>
    <w:p>
      <w:pPr>
        <w:pStyle w:val="BodyText"/>
      </w:pPr>
      <w:r>
        <w:t xml:space="preserve">Due to the unequal representativity of each biome between the two continents, the number of simulations starting within each biome was largely uneven across biome classes and continents (Figure S10). Indeed, the majority of North American ancestral species originated in the cold biome (</w:t>
      </w:r>
      <m:oMath>
        <m:r>
          <m:rPr>
            <m:sty m:val="p"/>
          </m:rPr>
          <m:t>≈</m:t>
        </m:r>
        <m:r>
          <m:t>57</m:t>
        </m:r>
        <m:r>
          <m:rPr>
            <m:sty m:val="p"/>
          </m:rPr>
          <m:t>%</m:t>
        </m:r>
      </m:oMath>
      <w:r>
        <w:t xml:space="preserve">), whereas the tropical biome recorded the largest proportion of ancestral species origination in South America (</w:t>
      </w:r>
      <m:oMath>
        <m:r>
          <m:rPr>
            <m:sty m:val="p"/>
          </m:rPr>
          <m:t>≈</m:t>
        </m:r>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rPr>
            <m:sty m:val="p"/>
          </m:rPr>
          <m:t>≈</m:t>
        </m:r>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rPr>
            <m:sty m:val="p"/>
          </m:rPr>
          <m:t>≈</m:t>
        </m:r>
        <m:r>
          <m:t>16</m:t>
        </m:r>
        <m:r>
          <m:rPr>
            <m:sty m:val="p"/>
          </m:rPr>
          <m:t>%</m:t>
        </m:r>
      </m:oMath>
      <w:r>
        <w:t xml:space="preserve"> </w:t>
      </w:r>
      <w:r>
        <w:t xml:space="preserve">to</w:t>
      </w:r>
      <w:r>
        <w:t xml:space="preserve"> </w:t>
      </w:r>
      <m:oMath>
        <m:r>
          <m:t>26</m:t>
        </m:r>
        <m:r>
          <m:rPr>
            <m:sty m:val="p"/>
          </m:rPr>
          <m:t>%</m:t>
        </m:r>
      </m:oMath>
      <w:r>
        <w:t xml:space="preserve">) biomes to the detriment of the cold (from</w:t>
      </w:r>
      <w:r>
        <w:t xml:space="preserve"> </w:t>
      </w:r>
      <m:oMath>
        <m:r>
          <m:rPr>
            <m:sty m:val="p"/>
          </m:rPr>
          <m:t>≈</m:t>
        </m:r>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rPr>
            <m:sty m:val="p"/>
          </m:rPr>
          <m:t>≈</m:t>
        </m:r>
        <m:r>
          <m:t>4</m:t>
        </m:r>
        <m:r>
          <m:rPr>
            <m:sty m:val="p"/>
          </m:rPr>
          <m:t>%</m:t>
        </m:r>
      </m:oMath>
      <w:r>
        <w:t xml:space="preserve"> </w:t>
      </w:r>
      <w:r>
        <w:t xml:space="preserve">to</w:t>
      </w:r>
      <w:r>
        <w:t xml:space="preserve"> </w:t>
      </w:r>
      <m:oMath>
        <m:r>
          <m:t>2</m:t>
        </m:r>
        <m:r>
          <m:rPr>
            <m:sty m:val="p"/>
          </m:rPr>
          <m:t>%</m:t>
        </m:r>
      </m:oMath>
      <w:r>
        <w:t xml:space="preserve">) ones in North America (Figure S10).</w:t>
      </w:r>
    </w:p>
    <w:p>
      <w:pPr>
        <w:pStyle w:val="BodyText"/>
      </w:pPr>
      <w:r>
        <w:t xml:space="preserve">Despite this initial imbalance, our results suggest similar proportions of successful simulations per biome between simulations starting from North and South America in the zero-adaptationist model (</w:t>
      </w:r>
      <m:oMath>
        <m:r>
          <m:t>M</m:t>
        </m:r>
        <m:r>
          <m:t>0</m:t>
        </m:r>
      </m:oMath>
      <w:r>
        <w:t xml:space="preserve">,</w:t>
      </w:r>
      <w:r>
        <w:t xml:space="preserve"> </w:t>
      </w:r>
      <w:hyperlink w:anchor="fig-biome">
        <w:r>
          <w:rPr>
            <w:rStyle w:val="Hyperlink"/>
          </w:rPr>
          <w:t xml:space="preserve">Figure 4</w:t>
        </w:r>
      </w:hyperlink>
      <w:r>
        <w:t xml:space="preserve"> </w:t>
      </w:r>
      <w:r>
        <w:t xml:space="preserve">B</w:t>
      </w:r>
      <w:r>
        <w:t xml:space="preserve"> </w:t>
      </w:r>
      <w:r>
        <w:rPr>
          <w:i/>
          <w:iCs/>
        </w:rPr>
        <w:t xml:space="preserve">first row</w:t>
      </w:r>
      <w:r>
        <w:t xml:space="preserve">). In that case,</w:t>
      </w:r>
    </w:p>
    <w:p>
      <w:pPr>
        <w:pStyle w:val="BodyText"/>
      </w:pPr>
      <w:r>
        <w:t xml:space="preserve">Similar proportions of successful simulations that started from</w:t>
      </w:r>
    </w:p>
    <w:p>
      <w:pPr>
        <w:pStyle w:val="BodyText"/>
      </w:pPr>
      <m:oMath>
        <m:r>
          <m:t>M</m:t>
        </m:r>
        <m:r>
          <m:t>3</m:t>
        </m:r>
      </m:oMath>
      <w:r>
        <w:t xml:space="preserve"> </w:t>
      </w:r>
      <w:r>
        <w:t xml:space="preserve">more permissive towards South American species migrating northwards than the other way around</w:t>
      </w:r>
    </w:p>
    <w:p>
      <w:r>
        <w:br w:type="page"/>
      </w:r>
    </w:p>
    <w:bookmarkEnd w:id="25"/>
    <w:bookmarkEnd w:id="26"/>
    <w:bookmarkStart w:id="31" w:name="discussion"/>
    <w:p>
      <w:pPr>
        <w:pStyle w:val="Heading1"/>
      </w:pPr>
      <w:r>
        <w:t xml:space="preserve">Discussion</w:t>
      </w:r>
    </w:p>
    <w:p>
      <w:pPr>
        <w:pStyle w:val="FirstParagraph"/>
      </w:pPr>
      <w:r>
        <w:t xml:space="preserve">Smoothing asymmetry =&gt; echo to birds</w:t>
      </w:r>
      <w:r>
        <w:rPr>
          <w:vertAlign w:val="superscript"/>
        </w:rPr>
        <w:t xml:space="preserve">38</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39</w:t>
      </w:r>
      <w:r>
        <w:t xml:space="preserve"> </w:t>
      </w:r>
      <w:r>
        <w:t xml:space="preserve">– than in North America, though see Vrba.</w:t>
      </w:r>
    </w:p>
    <w:bookmarkStart w:id="27" w:name="climate"/>
    <w:p>
      <w:pPr>
        <w:pStyle w:val="Heading2"/>
      </w:pPr>
      <w:r>
        <w:t xml:space="preserve">Climate</w:t>
      </w:r>
    </w:p>
    <w:p>
      <w:pPr>
        <w:pStyle w:val="FirstParagraph"/>
      </w:pPr>
      <w:r>
        <w:t xml:space="preserve">Our results suggests that, under abiotic constraints, alone North America would have been easier to reach by South American species than the other way around (</w:t>
      </w:r>
      <w:hyperlink w:anchor="fig-propsuccess">
        <w:r>
          <w:rPr>
            <w:rStyle w:val="Hyperlink"/>
          </w:rPr>
          <w:t xml:space="preserve">Figure 2</w:t>
        </w:r>
      </w:hyperlink>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40</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40</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 not recovered, with tropical meeting the gighest success</w:t>
      </w:r>
    </w:p>
    <w:p>
      <w:pPr>
        <w:pStyle w:val="BodyText"/>
      </w:pPr>
      <w:r>
        <w:t xml:space="preserve">Tropics as a</w:t>
      </w:r>
      <w:r>
        <w:t xml:space="preserve"> </w:t>
      </w:r>
      <w:r>
        <w:t xml:space="preserve">“</w:t>
      </w:r>
      <w:r>
        <w:t xml:space="preserve">holding pen</w:t>
      </w:r>
      <w:r>
        <w:t xml:space="preserve">”</w:t>
      </w:r>
      <w:r>
        <w:rPr>
          <w:vertAlign w:val="superscript"/>
        </w:rPr>
        <w:t xml:space="preserve">6</w:t>
      </w:r>
      <w:r>
        <w:t xml:space="preserve"> </w:t>
      </w:r>
      <w:r>
        <w:t xml:space="preserve">– read more this paper</w:t>
      </w:r>
    </w:p>
    <w:p>
      <w:pPr>
        <w:pStyle w:val="BodyText"/>
      </w:pPr>
      <w:r>
        <w:t xml:space="preserve">Biome pattern (Figure S6)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bookmarkEnd w:id="27"/>
    <w:bookmarkStart w:id="2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41</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8"/>
    <w:bookmarkStart w:id="29" w:name="X0160ffd22f787d001a7841291dc9859bf7a1aab"/>
    <w:p>
      <w:pPr>
        <w:pStyle w:val="Heading2"/>
      </w:pPr>
      <w:r>
        <w:t xml:space="preserve">On the drivers behind the asymmetry of the GABI</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13</w:t>
      </w:r>
      <w:r>
        <w:t xml:space="preserve"> </w:t>
      </w:r>
      <w:r>
        <w:t xml:space="preserve">or sparassodonts – metatherian predators</w:t>
      </w:r>
      <w:r>
        <w:rPr>
          <w:vertAlign w:val="superscript"/>
        </w:rPr>
        <w:t xml:space="preserve">42</w:t>
      </w:r>
      <w:r>
        <w:t xml:space="preserve"> </w:t>
      </w:r>
      <w:r>
        <w:t xml:space="preserve">– that followed the establishment of northern lineages</w:t>
      </w:r>
      <w:r>
        <w:rPr>
          <w:vertAlign w:val="superscript"/>
        </w:rPr>
        <w:t xml:space="preserve">15</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recent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16</w:t>
      </w:r>
      <w:r>
        <w:t xml:space="preserve">. Moreover, using phylogenetic regressions, Faurby et al.</w:t>
      </w:r>
      <w:r>
        <w:rPr>
          <w:vertAlign w:val="superscript"/>
        </w:rPr>
        <w:t xml:space="preserve">18</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21,22</w:t>
      </w:r>
      <w:r>
        <w:t xml:space="preserve">. Incorporating biotic compounds in mechanistic frameworks such as the one we have implemented here would be a nice way-to-go for future studies tackling the asymmetry behind the GABI.</w:t>
      </w:r>
    </w:p>
    <w:p>
      <w:pPr>
        <w:pStyle w:val="BodyText"/>
      </w:pPr>
      <w:r>
        <w:t xml:space="preserve">Temporality (red queen vs. court jester, Benton 2001) =&gt; favouring biotic ?</w:t>
      </w:r>
    </w:p>
    <w:p>
      <w:pPr>
        <w:pStyle w:val="BodyText"/>
      </w:pPr>
      <w:r>
        <w:t xml:space="preserve">Fortuitous experiment ?</w:t>
      </w:r>
    </w:p>
    <w:bookmarkEnd w:id="29"/>
    <w:bookmarkStart w:id="30" w:name="limitations-perspectives"/>
    <w:p>
      <w:pPr>
        <w:pStyle w:val="Heading2"/>
      </w:pPr>
      <w:r>
        <w:t xml:space="preserve">Limitations &amp; perspectives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43,44</w:t>
      </w:r>
      <w:r>
        <w:t xml:space="preserve">. Although over-water dispersal has long been regarded as the prevailing mechanism</w:t>
      </w:r>
      <w:r>
        <w:rPr>
          <w:vertAlign w:val="superscript"/>
        </w:rPr>
        <w:t xml:space="preserve">43</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45</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46</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30"/>
    <w:bookmarkEnd w:id="31"/>
    <w:bookmarkStart w:id="32" w:name="acknowledgements"/>
    <w:p>
      <w:pPr>
        <w:pStyle w:val="Heading1"/>
      </w:pPr>
      <w:r>
        <w:t xml:space="preserve">Acknowledgements</w:t>
      </w:r>
    </w:p>
    <w:p>
      <w:pPr>
        <w:pStyle w:val="FirstParagraph"/>
      </w:pPr>
      <w:r>
        <w:t xml:space="preserve">We thank Céline Devaux for her useful comments and feedbacks on the present work.</w:t>
      </w:r>
    </w:p>
    <w:bookmarkEnd w:id="32"/>
    <w:bookmarkStart w:id="33"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48</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33"/>
    <w:bookmarkStart w:id="131" w:name="references"/>
    <w:p>
      <w:pPr>
        <w:pStyle w:val="Heading1"/>
      </w:pPr>
      <w:r>
        <w:t xml:space="preserve">References</w:t>
      </w:r>
    </w:p>
    <w:bookmarkStart w:id="130" w:name="refs"/>
    <w:bookmarkStart w:id="35" w:name="ref-marshall1982"/>
    <w:p>
      <w:pPr>
        <w:pStyle w:val="Bibliography"/>
      </w:pPr>
      <w:r>
        <w:t xml:space="preserve">1.</w:t>
      </w:r>
      <w:r>
        <w:t xml:space="preserve"> </w:t>
      </w:r>
      <w:r>
        <w:t xml:space="preserve">	</w:t>
      </w:r>
      <w:r>
        <w:t xml:space="preserve">Marshall, L.G., Webb, S.D., Sepkoski, J.J., and Raup, D.M. (1982).</w:t>
      </w:r>
      <w:r>
        <w:t xml:space="preserve"> </w:t>
      </w:r>
      <w:hyperlink r:id="rId34">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5"/>
    <w:bookmarkStart w:id="37"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6">
        <w:r>
          <w:rPr>
            <w:rStyle w:val="Hyperlink"/>
          </w:rPr>
          <w:t xml:space="preserve">https://doi.org/10.1126/science.aaa2815</w:t>
        </w:r>
      </w:hyperlink>
      <w:r>
        <w:t xml:space="preserve">.</w:t>
      </w:r>
    </w:p>
    <w:bookmarkEnd w:id="37"/>
    <w:bookmarkStart w:id="39" w:name="ref-jaramillo2018"/>
    <w:p>
      <w:pPr>
        <w:pStyle w:val="Bibliography"/>
      </w:pPr>
      <w:r>
        <w:t xml:space="preserve">3.</w:t>
      </w:r>
      <w:r>
        <w:t xml:space="preserve"> </w:t>
      </w:r>
      <w:r>
        <w:t xml:space="preserve">	</w:t>
      </w:r>
      <w:r>
        <w:t xml:space="preserve">Jaramillo, C.A. (2018).</w:t>
      </w:r>
      <w:r>
        <w:t xml:space="preserve"> </w:t>
      </w:r>
      <w:hyperlink r:id="rId38">
        <w:r>
          <w:rPr>
            <w:rStyle w:val="Hyperlink"/>
          </w:rPr>
          <w:t xml:space="preserve">Evolution of the isthmus of panama: Biological, paleoceanographic and paleoclimatological implications</w:t>
        </w:r>
      </w:hyperlink>
      <w:r>
        <w:t xml:space="preserve">. In (John Wiley &amp; Sons).</w:t>
      </w:r>
    </w:p>
    <w:bookmarkEnd w:id="39"/>
    <w:bookmarkStart w:id="41"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0">
        <w:r>
          <w:rPr>
            <w:rStyle w:val="Hyperlink"/>
          </w:rPr>
          <w:t xml:space="preserve">https://doi.org/10.1126/sciadv.1600883</w:t>
        </w:r>
      </w:hyperlink>
      <w:r>
        <w:t xml:space="preserve">.</w:t>
      </w:r>
    </w:p>
    <w:bookmarkEnd w:id="41"/>
    <w:bookmarkStart w:id="43"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2">
        <w:r>
          <w:rPr>
            <w:rStyle w:val="Hyperlink"/>
          </w:rPr>
          <w:t xml:space="preserve">https://doi.org/10.1016/j.geobios.2006.09.005</w:t>
        </w:r>
      </w:hyperlink>
      <w:r>
        <w:t xml:space="preserve">.</w:t>
      </w:r>
    </w:p>
    <w:bookmarkEnd w:id="43"/>
    <w:bookmarkStart w:id="45"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44">
        <w:r>
          <w:rPr>
            <w:rStyle w:val="Hyperlink"/>
          </w:rPr>
          <w:t xml:space="preserve">https://doi.org/10.1007/s10914-010-9144-8</w:t>
        </w:r>
      </w:hyperlink>
      <w:r>
        <w:t xml:space="preserve">.</w:t>
      </w:r>
    </w:p>
    <w:bookmarkEnd w:id="45"/>
    <w:bookmarkStart w:id="47"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46">
        <w:r>
          <w:rPr>
            <w:rStyle w:val="Hyperlink"/>
          </w:rPr>
          <w:t xml:space="preserve">https://doi.org/10.1073/pnas.1423853112</w:t>
        </w:r>
      </w:hyperlink>
      <w:r>
        <w:t xml:space="preserve">.</w:t>
      </w:r>
    </w:p>
    <w:bookmarkEnd w:id="47"/>
    <w:bookmarkStart w:id="49"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48">
        <w:r>
          <w:rPr>
            <w:rStyle w:val="Hyperlink"/>
          </w:rPr>
          <w:t xml:space="preserve">https://doi.org/10.1130/G37624.1</w:t>
        </w:r>
      </w:hyperlink>
      <w:r>
        <w:t xml:space="preserve">.</w:t>
      </w:r>
    </w:p>
    <w:bookmarkEnd w:id="49"/>
    <w:bookmarkStart w:id="51" w:name="ref-webb1976"/>
    <w:p>
      <w:pPr>
        <w:pStyle w:val="Bibliography"/>
      </w:pPr>
      <w:r>
        <w:t xml:space="preserve">9.</w:t>
      </w:r>
      <w:r>
        <w:t xml:space="preserve"> </w:t>
      </w:r>
      <w:r>
        <w:t xml:space="preserve">	</w:t>
      </w:r>
      <w:r>
        <w:t xml:space="preserve">Webb, S.D. (1976).</w:t>
      </w:r>
      <w:r>
        <w:t xml:space="preserve"> </w:t>
      </w:r>
      <w:hyperlink r:id="rId50">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1"/>
    <w:bookmarkStart w:id="53"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2">
        <w:r>
          <w:rPr>
            <w:rStyle w:val="Hyperlink"/>
          </w:rPr>
          <w:t xml:space="preserve">https://doi.org/10.1017/S0094837300010605</w:t>
        </w:r>
      </w:hyperlink>
      <w:r>
        <w:t xml:space="preserve">.</w:t>
      </w:r>
    </w:p>
    <w:bookmarkEnd w:id="53"/>
    <w:bookmarkStart w:id="55"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54">
        <w:r>
          <w:rPr>
            <w:rStyle w:val="Hyperlink"/>
          </w:rPr>
          <w:t xml:space="preserve">The Great American Biotic Interchange: A South American Perspective</w:t>
        </w:r>
      </w:hyperlink>
      <w:r>
        <w:t xml:space="preserve"> </w:t>
      </w:r>
      <w:r>
        <w:t xml:space="preserve">(Springer Netherlands).</w:t>
      </w:r>
    </w:p>
    <w:bookmarkEnd w:id="55"/>
    <w:bookmarkStart w:id="57"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56">
        <w:r>
          <w:rPr>
            <w:rStyle w:val="Hyperlink"/>
          </w:rPr>
          <w:t xml:space="preserve">https://doi.org/10.1073/pnas.2009397117</w:t>
        </w:r>
      </w:hyperlink>
      <w:r>
        <w:t xml:space="preserve">.</w:t>
      </w:r>
    </w:p>
    <w:bookmarkEnd w:id="57"/>
    <w:bookmarkStart w:id="59"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58">
        <w:r>
          <w:rPr>
            <w:rStyle w:val="Hyperlink"/>
          </w:rPr>
          <w:t xml:space="preserve">https://doi.org/10.1146/annurev-earth-072619-060126</w:t>
        </w:r>
      </w:hyperlink>
      <w:r>
        <w:t xml:space="preserve">.</w:t>
      </w:r>
    </w:p>
    <w:bookmarkEnd w:id="59"/>
    <w:bookmarkStart w:id="61"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0">
        <w:r>
          <w:rPr>
            <w:rStyle w:val="Hyperlink"/>
          </w:rPr>
          <w:t xml:space="preserve">https://doi.org/10.1126/science.adu0704</w:t>
        </w:r>
      </w:hyperlink>
      <w:r>
        <w:t xml:space="preserve">.</w:t>
      </w:r>
    </w:p>
    <w:bookmarkEnd w:id="61"/>
    <w:bookmarkStart w:id="62"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62"/>
    <w:bookmarkStart w:id="64"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3">
        <w:r>
          <w:rPr>
            <w:rStyle w:val="Hyperlink"/>
          </w:rPr>
          <w:t xml:space="preserve">https://doi.org/10.1038/s41598-020-58575-6</w:t>
        </w:r>
      </w:hyperlink>
      <w:r>
        <w:t xml:space="preserve">.</w:t>
      </w:r>
    </w:p>
    <w:bookmarkEnd w:id="64"/>
    <w:bookmarkStart w:id="65"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65"/>
    <w:bookmarkStart w:id="67"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66">
        <w:r>
          <w:rPr>
            <w:rStyle w:val="Hyperlink"/>
          </w:rPr>
          <w:t xml:space="preserve">https://doi.org/10.1111/geb.12504</w:t>
        </w:r>
      </w:hyperlink>
      <w:r>
        <w:t xml:space="preserve">.</w:t>
      </w:r>
    </w:p>
    <w:bookmarkEnd w:id="67"/>
    <w:bookmarkStart w:id="69"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68">
        <w:r>
          <w:rPr>
            <w:rStyle w:val="Hyperlink"/>
          </w:rPr>
          <w:t xml:space="preserve">https://doi.org/10.1111/pala.70012</w:t>
        </w:r>
      </w:hyperlink>
      <w:r>
        <w:t xml:space="preserve">.</w:t>
      </w:r>
    </w:p>
    <w:bookmarkEnd w:id="69"/>
    <w:bookmarkStart w:id="71"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0">
        <w:r>
          <w:rPr>
            <w:rStyle w:val="Hyperlink"/>
          </w:rPr>
          <w:t xml:space="preserve">https://doi.org/10.2307/1381862</w:t>
        </w:r>
      </w:hyperlink>
      <w:r>
        <w:t xml:space="preserve">.</w:t>
      </w:r>
    </w:p>
    <w:bookmarkEnd w:id="71"/>
    <w:bookmarkStart w:id="73"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2">
        <w:r>
          <w:rPr>
            <w:rStyle w:val="Hyperlink"/>
          </w:rPr>
          <w:t xml:space="preserve">https://doi.org/10.1007/s10914-011-9175-9</w:t>
        </w:r>
      </w:hyperlink>
      <w:r>
        <w:t xml:space="preserve">.</w:t>
      </w:r>
    </w:p>
    <w:bookmarkEnd w:id="73"/>
    <w:bookmarkStart w:id="75"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74">
        <w:r>
          <w:rPr>
            <w:rStyle w:val="Hyperlink"/>
          </w:rPr>
          <w:t xml:space="preserve">https://doi.org/10.1038/s41598-022-05266-z</w:t>
        </w:r>
      </w:hyperlink>
      <w:r>
        <w:t xml:space="preserve">.</w:t>
      </w:r>
    </w:p>
    <w:bookmarkEnd w:id="75"/>
    <w:bookmarkStart w:id="77"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76">
        <w:r>
          <w:rPr>
            <w:rStyle w:val="Hyperlink"/>
          </w:rPr>
          <w:t xml:space="preserve">https://doi.org/10.3390/d17030153</w:t>
        </w:r>
      </w:hyperlink>
      <w:r>
        <w:t xml:space="preserve">.</w:t>
      </w:r>
    </w:p>
    <w:bookmarkEnd w:id="77"/>
    <w:bookmarkStart w:id="79"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78">
        <w:r>
          <w:rPr>
            <w:rStyle w:val="Hyperlink"/>
          </w:rPr>
          <w:t xml:space="preserve">https://doi.org/10.1038/s44185-024-00045-7</w:t>
        </w:r>
      </w:hyperlink>
      <w:r>
        <w:t xml:space="preserve">.</w:t>
      </w:r>
    </w:p>
    <w:bookmarkEnd w:id="79"/>
    <w:bookmarkStart w:id="81"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0">
        <w:r>
          <w:rPr>
            <w:rStyle w:val="Hyperlink"/>
          </w:rPr>
          <w:t xml:space="preserve">https://doi.org/10.1126/sciadv.abj2271</w:t>
        </w:r>
      </w:hyperlink>
      <w:r>
        <w:t xml:space="preserve">.</w:t>
      </w:r>
    </w:p>
    <w:bookmarkEnd w:id="81"/>
    <w:bookmarkStart w:id="83"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2">
        <w:r>
          <w:rPr>
            <w:rStyle w:val="Hyperlink"/>
          </w:rPr>
          <w:t xml:space="preserve">https://doi.org/10.1111/ecog.06132</w:t>
        </w:r>
      </w:hyperlink>
      <w:r>
        <w:t xml:space="preserve">.</w:t>
      </w:r>
    </w:p>
    <w:bookmarkEnd w:id="83"/>
    <w:bookmarkStart w:id="85"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84">
        <w:r>
          <w:rPr>
            <w:rStyle w:val="Hyperlink"/>
          </w:rPr>
          <w:t xml:space="preserve">https://doi.org/10.1371/journal.pbio.3001340</w:t>
        </w:r>
      </w:hyperlink>
      <w:r>
        <w:t xml:space="preserve">.</w:t>
      </w:r>
    </w:p>
    <w:bookmarkEnd w:id="85"/>
    <w:bookmarkStart w:id="87"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86">
        <w:r>
          <w:rPr>
            <w:rStyle w:val="Hyperlink"/>
          </w:rPr>
          <w:t xml:space="preserve">https://doi.org/10.1371/journal.pone.0332766</w:t>
        </w:r>
      </w:hyperlink>
      <w:r>
        <w:t xml:space="preserve">.</w:t>
      </w:r>
    </w:p>
    <w:bookmarkEnd w:id="87"/>
    <w:bookmarkStart w:id="89"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88">
        <w:r>
          <w:rPr>
            <w:rStyle w:val="Hyperlink"/>
          </w:rPr>
          <w:t xml:space="preserve">https://doi.org/10.1073/pnas.2026347118</w:t>
        </w:r>
      </w:hyperlink>
      <w:r>
        <w:t xml:space="preserve">.</w:t>
      </w:r>
    </w:p>
    <w:bookmarkEnd w:id="89"/>
    <w:bookmarkStart w:id="91"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0">
        <w:r>
          <w:rPr>
            <w:rStyle w:val="Hyperlink"/>
          </w:rPr>
          <w:t xml:space="preserve">https://doi.org/10.1126/science.adf7122</w:t>
        </w:r>
      </w:hyperlink>
      <w:r>
        <w:t xml:space="preserve">.</w:t>
      </w:r>
    </w:p>
    <w:bookmarkEnd w:id="91"/>
    <w:bookmarkStart w:id="93"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2">
        <w:r>
          <w:rPr>
            <w:rStyle w:val="Hyperlink"/>
          </w:rPr>
          <w:t xml:space="preserve">https://doi.org/10.1038/s41559-023-02220-8</w:t>
        </w:r>
      </w:hyperlink>
      <w:r>
        <w:t xml:space="preserve">.</w:t>
      </w:r>
    </w:p>
    <w:bookmarkEnd w:id="93"/>
    <w:bookmarkStart w:id="95"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94">
        <w:r>
          <w:rPr>
            <w:rStyle w:val="Hyperlink"/>
          </w:rPr>
          <w:t xml:space="preserve">https://doi.org/10.1093/sysbio/syac048</w:t>
        </w:r>
      </w:hyperlink>
      <w:r>
        <w:t xml:space="preserve">.</w:t>
      </w:r>
    </w:p>
    <w:bookmarkEnd w:id="95"/>
    <w:bookmarkStart w:id="97"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96">
        <w:r>
          <w:rPr>
            <w:rStyle w:val="Hyperlink"/>
          </w:rPr>
          <w:t xml:space="preserve">https://doi.org/10.1126/science.adi0833</w:t>
        </w:r>
      </w:hyperlink>
      <w:r>
        <w:t xml:space="preserve">.</w:t>
      </w:r>
    </w:p>
    <w:bookmarkEnd w:id="97"/>
    <w:bookmarkStart w:id="99"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98">
        <w:r>
          <w:rPr>
            <w:rStyle w:val="Hyperlink"/>
          </w:rPr>
          <w:t xml:space="preserve">https://doi.org/10.5194/gmd-12-5137-2019</w:t>
        </w:r>
      </w:hyperlink>
      <w:r>
        <w:t xml:space="preserve">.</w:t>
      </w:r>
    </w:p>
    <w:bookmarkEnd w:id="99"/>
    <w:bookmarkStart w:id="101" w:name="ref-barreto2023"/>
    <w:p>
      <w:pPr>
        <w:pStyle w:val="Bibliography"/>
      </w:pPr>
      <w:r>
        <w:t xml:space="preserve">35.</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0">
        <w:r>
          <w:rPr>
            <w:rStyle w:val="Hyperlink"/>
          </w:rPr>
          <w:t xml:space="preserve">https://doi.org/10.1111/geb.13683</w:t>
        </w:r>
      </w:hyperlink>
      <w:r>
        <w:t xml:space="preserve">.</w:t>
      </w:r>
    </w:p>
    <w:bookmarkEnd w:id="101"/>
    <w:bookmarkStart w:id="103" w:name="ref-beck2018"/>
    <w:p>
      <w:pPr>
        <w:pStyle w:val="Bibliography"/>
      </w:pPr>
      <w:r>
        <w:t xml:space="preserve">36.</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2">
        <w:r>
          <w:rPr>
            <w:rStyle w:val="Hyperlink"/>
          </w:rPr>
          <w:t xml:space="preserve">https://doi.org/10.1038/sdata.2018.214</w:t>
        </w:r>
      </w:hyperlink>
      <w:r>
        <w:t xml:space="preserve">.</w:t>
      </w:r>
    </w:p>
    <w:bookmarkEnd w:id="103"/>
    <w:bookmarkStart w:id="105" w:name="ref-galván2023"/>
    <w:p>
      <w:pPr>
        <w:pStyle w:val="Bibliography"/>
      </w:pPr>
      <w:r>
        <w:t xml:space="preserve">37.</w:t>
      </w:r>
      <w:r>
        <w:t xml:space="preserve"> </w:t>
      </w:r>
      <w:r>
        <w:t xml:space="preserve">	</w:t>
      </w:r>
      <w:r>
        <w:t xml:space="preserve">Galván, S., Gamboa, S., and Varela, S. (2023).</w:t>
      </w:r>
      <w:r>
        <w:t xml:space="preserve"> </w:t>
      </w:r>
      <w:hyperlink r:id="rId104">
        <w:r>
          <w:rPr>
            <w:rStyle w:val="Hyperlink"/>
          </w:rPr>
          <w:t xml:space="preserve">Köppen Geiger climatic classification for R users.</w:t>
        </w:r>
      </w:hyperlink>
    </w:p>
    <w:bookmarkEnd w:id="105"/>
    <w:bookmarkStart w:id="107" w:name="ref-weir2009"/>
    <w:p>
      <w:pPr>
        <w:pStyle w:val="Bibliography"/>
      </w:pPr>
      <w:r>
        <w:t xml:space="preserve">38.</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06">
        <w:r>
          <w:rPr>
            <w:rStyle w:val="Hyperlink"/>
          </w:rPr>
          <w:t xml:space="preserve">https://doi.org/10.1073/pnas.0903811106</w:t>
        </w:r>
      </w:hyperlink>
      <w:r>
        <w:t xml:space="preserve">.</w:t>
      </w:r>
    </w:p>
    <w:bookmarkEnd w:id="107"/>
    <w:bookmarkStart w:id="109" w:name="ref-antonelli2018"/>
    <w:p>
      <w:pPr>
        <w:pStyle w:val="Bibliography"/>
      </w:pPr>
      <w:r>
        <w:t xml:space="preserve">39.</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08">
        <w:r>
          <w:rPr>
            <w:rStyle w:val="Hyperlink"/>
          </w:rPr>
          <w:t xml:space="preserve">https://doi.org/10.1038/s41561-018-0236-z</w:t>
        </w:r>
      </w:hyperlink>
      <w:r>
        <w:t xml:space="preserve">.</w:t>
      </w:r>
    </w:p>
    <w:bookmarkEnd w:id="109"/>
    <w:bookmarkStart w:id="111" w:name="ref-haffer1969"/>
    <w:p>
      <w:pPr>
        <w:pStyle w:val="Bibliography"/>
      </w:pPr>
      <w:r>
        <w:t xml:space="preserve">40.</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0">
        <w:r>
          <w:rPr>
            <w:rStyle w:val="Hyperlink"/>
          </w:rPr>
          <w:t xml:space="preserve">https://doi.org/10.1126/science.165.3889.131</w:t>
        </w:r>
      </w:hyperlink>
      <w:r>
        <w:t xml:space="preserve">.</w:t>
      </w:r>
    </w:p>
    <w:bookmarkEnd w:id="111"/>
    <w:bookmarkStart w:id="113" w:name="ref-motta2025"/>
    <w:p>
      <w:pPr>
        <w:pStyle w:val="Bibliography"/>
      </w:pPr>
      <w:r>
        <w:t xml:space="preserve">41.</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12">
        <w:r>
          <w:rPr>
            <w:rStyle w:val="Hyperlink"/>
          </w:rPr>
          <w:t xml:space="preserve">https://doi.org/10.1016/j.palaeo.2025.112905</w:t>
        </w:r>
      </w:hyperlink>
      <w:r>
        <w:t xml:space="preserve">.</w:t>
      </w:r>
    </w:p>
    <w:bookmarkEnd w:id="113"/>
    <w:bookmarkStart w:id="115" w:name="ref-pino2022"/>
    <w:p>
      <w:pPr>
        <w:pStyle w:val="Bibliography"/>
      </w:pPr>
      <w:r>
        <w:t xml:space="preserve">42.</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14">
        <w:r>
          <w:rPr>
            <w:rStyle w:val="Hyperlink"/>
          </w:rPr>
          <w:t xml:space="preserve">https://doi.org/10.1016/j.gloplacha.2022.103758</w:t>
        </w:r>
      </w:hyperlink>
      <w:r>
        <w:t xml:space="preserve">.</w:t>
      </w:r>
    </w:p>
    <w:bookmarkEnd w:id="115"/>
    <w:bookmarkStart w:id="117" w:name="ref-morgan1993"/>
    <w:p>
      <w:pPr>
        <w:pStyle w:val="Bibliography"/>
      </w:pPr>
      <w:r>
        <w:t xml:space="preserve">43.</w:t>
      </w:r>
      <w:r>
        <w:t xml:space="preserve"> </w:t>
      </w:r>
      <w:r>
        <w:t xml:space="preserve">	</w:t>
      </w:r>
      <w:r>
        <w:t xml:space="preserve">Morgan, G.S. (1993). Quaternary land vertebrates of jamaica. In, R. M. Wright and E. Robinson, eds. (Geological Society of America), p. 0.</w:t>
      </w:r>
      <w:r>
        <w:t xml:space="preserve"> </w:t>
      </w:r>
      <w:hyperlink r:id="rId116">
        <w:r>
          <w:rPr>
            <w:rStyle w:val="Hyperlink"/>
          </w:rPr>
          <w:t xml:space="preserve">https://doi.org/10.1130/MEM182-p417</w:t>
        </w:r>
      </w:hyperlink>
      <w:r>
        <w:t xml:space="preserve">.</w:t>
      </w:r>
    </w:p>
    <w:bookmarkEnd w:id="117"/>
    <w:bookmarkStart w:id="119" w:name="ref-ali2021b"/>
    <w:p>
      <w:pPr>
        <w:pStyle w:val="Bibliography"/>
      </w:pPr>
      <w:r>
        <w:t xml:space="preserve">44.</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18">
        <w:r>
          <w:rPr>
            <w:rStyle w:val="Hyperlink"/>
          </w:rPr>
          <w:t xml:space="preserve">https://doi.org/10.1111/jbi.14234</w:t>
        </w:r>
      </w:hyperlink>
      <w:r>
        <w:t xml:space="preserve">.</w:t>
      </w:r>
    </w:p>
    <w:bookmarkEnd w:id="119"/>
    <w:bookmarkStart w:id="121" w:name="ref-cornée2021"/>
    <w:p>
      <w:pPr>
        <w:pStyle w:val="Bibliography"/>
      </w:pPr>
      <w:r>
        <w:t xml:space="preserve">45.</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20">
        <w:r>
          <w:rPr>
            <w:rStyle w:val="Hyperlink"/>
          </w:rPr>
          <w:t xml:space="preserve">https://doi.org/10.1016/j.earscirev.2021.103617</w:t>
        </w:r>
      </w:hyperlink>
      <w:r>
        <w:t xml:space="preserve">.</w:t>
      </w:r>
    </w:p>
    <w:bookmarkEnd w:id="121"/>
    <w:bookmarkStart w:id="123" w:name="ref-warren2015"/>
    <w:p>
      <w:pPr>
        <w:pStyle w:val="Bibliography"/>
      </w:pPr>
      <w:r>
        <w:t xml:space="preserve">46.</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22">
        <w:r>
          <w:rPr>
            <w:rStyle w:val="Hyperlink"/>
          </w:rPr>
          <w:t xml:space="preserve">https://doi.org/10.1111/ele.12398</w:t>
        </w:r>
      </w:hyperlink>
      <w:r>
        <w:t xml:space="preserve">.</w:t>
      </w:r>
    </w:p>
    <w:bookmarkEnd w:id="123"/>
    <w:bookmarkStart w:id="125" w:name="ref-couvreur2011"/>
    <w:p>
      <w:pPr>
        <w:pStyle w:val="Bibliography"/>
      </w:pPr>
      <w:r>
        <w:t xml:space="preserve">47.</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24">
        <w:r>
          <w:rPr>
            <w:rStyle w:val="Hyperlink"/>
          </w:rPr>
          <w:t xml:space="preserve">https://doi.org/10.1111/j.1365-2699.2010.02434.x</w:t>
        </w:r>
      </w:hyperlink>
      <w:r>
        <w:t xml:space="preserve">.</w:t>
      </w:r>
    </w:p>
    <w:bookmarkEnd w:id="125"/>
    <w:bookmarkStart w:id="127" w:name="ref-upchurch2024"/>
    <w:p>
      <w:pPr>
        <w:pStyle w:val="Bibliography"/>
      </w:pPr>
      <w:r>
        <w:t xml:space="preserve">48.</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26">
        <w:r>
          <w:rPr>
            <w:rStyle w:val="Hyperlink"/>
          </w:rPr>
          <w:t xml:space="preserve">https://doi.org/10.1098/rsbl.2024.0429</w:t>
        </w:r>
      </w:hyperlink>
      <w:r>
        <w:t xml:space="preserve">.</w:t>
      </w:r>
    </w:p>
    <w:bookmarkEnd w:id="127"/>
    <w:bookmarkStart w:id="129" w:name="ref-gearty2023"/>
    <w:p>
      <w:pPr>
        <w:pStyle w:val="Bibliography"/>
      </w:pPr>
      <w:r>
        <w:t xml:space="preserve">49.</w:t>
      </w:r>
      <w:r>
        <w:t xml:space="preserve"> </w:t>
      </w:r>
      <w:r>
        <w:t xml:space="preserve">	</w:t>
      </w:r>
      <w:r>
        <w:t xml:space="preserve">Gearty, W. (2023).</w:t>
      </w:r>
      <w:r>
        <w:t xml:space="preserve"> </w:t>
      </w:r>
      <w:hyperlink r:id="rId128">
        <w:r>
          <w:rPr>
            <w:rStyle w:val="Hyperlink"/>
          </w:rPr>
          <w:t xml:space="preserve">Deeptime: Plotting tools for anyone working in deep time. R package version 1.0.1.</w:t>
        </w:r>
      </w:hyperlink>
    </w:p>
    <w:bookmarkEnd w:id="129"/>
    <w:bookmarkEnd w:id="130"/>
    <w:bookmarkEnd w:id="131"/>
    <w:bookmarkStart w:id="14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5" w:name="fig-framework"/>
          <w:p>
            <w:pPr>
              <w:pStyle w:val="Compact"/>
              <w:jc w:val="center"/>
            </w:pPr>
            <w:r>
              <w:drawing>
                <wp:inline>
                  <wp:extent cx="3959999" cy="3959999"/>
                  <wp:effectExtent b="0" l="0" r="0" t="0"/>
                  <wp:docPr descr="" title="" id="133" name="Picture"/>
                  <a:graphic>
                    <a:graphicData uri="http://schemas.openxmlformats.org/drawingml/2006/picture">
                      <pic:pic>
                        <pic:nvPicPr>
                          <pic:cNvPr descr="../Figures/MS/Main/Figure_framework/Figure_framework.png" id="134" name="Picture"/>
                          <pic:cNvPicPr>
                            <a:picLocks noChangeArrowheads="1" noChangeAspect="1"/>
                          </pic:cNvPicPr>
                        </pic:nvPicPr>
                        <pic:blipFill>
                          <a:blip r:embed="rId132"/>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6,8</w:t>
            </w:r>
            <w:r>
              <w:t xml:space="preserve"> </w:t>
            </w:r>
            <w:r>
              <w:t xml:space="preserve">is indicated by the light purple vertical bands. Geological timescale was depicted using the deeptime R package</w:t>
            </w:r>
            <w:r>
              <w:rPr>
                <w:vertAlign w:val="superscript"/>
              </w:rPr>
              <w:t xml:space="preserve">49</w:t>
            </w:r>
            <w:r>
              <w:t xml:space="preserve">. The empirically-derived asymmetry of the transcontinental land mammal exchange is represented by the thickness of the two arrows, the thicker the arrow, the more intense the exchange.</w:t>
            </w:r>
          </w:p>
          <w:bookmarkEnd w:id="135"/>
        </w:tc>
      </w:tr>
    </w:tbl>
    <w:tbl>
      <w:tblPr>
        <w:tblStyle w:val="Table"/>
        <w:tblW w:type="pct" w:w="5000"/>
        <w:tblLayout w:type="fixed"/>
        <w:tblLook w:firstRow="0" w:lastRow="0" w:firstColumn="0" w:lastColumn="0" w:noHBand="0" w:noVBand="0" w:val="0000"/>
      </w:tblPr>
      <w:tblGrid>
        <w:gridCol w:w="7920"/>
      </w:tblGrid>
      <w:tr>
        <w:tc>
          <w:tcPr/>
          <w:bookmarkStart w:id="139" w:name="fig-propsuccess"/>
          <w:p>
            <w:pPr>
              <w:pStyle w:val="Compact"/>
              <w:jc w:val="center"/>
            </w:pPr>
            <w:r>
              <w:drawing>
                <wp:inline>
                  <wp:extent cx="3599999" cy="3779999"/>
                  <wp:effectExtent b="0" l="0" r="0" t="0"/>
                  <wp:docPr descr="" title="" id="137" name="Picture"/>
                  <a:graphic>
                    <a:graphicData uri="http://schemas.openxmlformats.org/drawingml/2006/picture">
                      <pic:pic>
                        <pic:nvPicPr>
                          <pic:cNvPr descr="../Figures/MS/Main/Figure_PropSuccess/Figure_PropSuccess.png" id="138" name="Picture"/>
                          <pic:cNvPicPr>
                            <a:picLocks noChangeArrowheads="1" noChangeAspect="1"/>
                          </pic:cNvPicPr>
                        </pic:nvPicPr>
                        <pic:blipFill>
                          <a:blip r:embed="rId136"/>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39"/>
        </w:tc>
      </w:tr>
    </w:tbl>
    <w:tbl>
      <w:tblPr>
        <w:tblStyle w:val="Table"/>
        <w:tblW w:type="pct" w:w="5000"/>
        <w:tblLayout w:type="fixed"/>
        <w:tblLook w:firstRow="0" w:lastRow="0" w:firstColumn="0" w:lastColumn="0" w:noHBand="0" w:noVBand="0" w:val="0000"/>
      </w:tblPr>
      <w:tblGrid>
        <w:gridCol w:w="7920"/>
      </w:tblGrid>
      <w:tr>
        <w:tc>
          <w:tcPr/>
          <w:bookmarkStart w:id="143" w:name="fig-metrics"/>
          <w:p>
            <w:pPr>
              <w:pStyle w:val="Compact"/>
              <w:jc w:val="left"/>
            </w:pPr>
            <w:r>
              <w:drawing>
                <wp:inline>
                  <wp:extent cx="5039999" cy="4319999"/>
                  <wp:effectExtent b="0" l="0" r="0" t="0"/>
                  <wp:docPr descr="" title="" id="141" name="Picture"/>
                  <a:graphic>
                    <a:graphicData uri="http://schemas.openxmlformats.org/drawingml/2006/picture">
                      <pic:pic>
                        <pic:nvPicPr>
                          <pic:cNvPr descr="../Figures/MS/Main/Figure_metrics/Figure_metrics.png" id="142" name="Picture"/>
                          <pic:cNvPicPr>
                            <a:picLocks noChangeArrowheads="1" noChangeAspect="1"/>
                          </pic:cNvPicPr>
                        </pic:nvPicPr>
                        <pic:blipFill>
                          <a:blip r:embed="rId140"/>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43"/>
        </w:tc>
      </w:tr>
    </w:tbl>
    <w:tbl>
      <w:tblPr>
        <w:tblStyle w:val="Table"/>
        <w:tblW w:type="pct" w:w="5000"/>
        <w:tblLayout w:type="fixed"/>
        <w:tblLook w:firstRow="0" w:lastRow="0" w:firstColumn="0" w:lastColumn="0" w:noHBand="0" w:noVBand="0" w:val="0000"/>
      </w:tblPr>
      <w:tblGrid>
        <w:gridCol w:w="7920"/>
      </w:tblGrid>
      <w:tr>
        <w:tc>
          <w:tcPr/>
          <w:bookmarkStart w:id="147" w:name="fig-biome"/>
          <w:p>
            <w:pPr>
              <w:pStyle w:val="Compact"/>
              <w:jc w:val="center"/>
            </w:pPr>
            <w:r>
              <w:drawing>
                <wp:inline>
                  <wp:extent cx="5399999" cy="5399999"/>
                  <wp:effectExtent b="0" l="0" r="0" t="0"/>
                  <wp:docPr descr="" title="" id="145" name="Picture"/>
                  <a:graphic>
                    <a:graphicData uri="http://schemas.openxmlformats.org/drawingml/2006/picture">
                      <pic:pic>
                        <pic:nvPicPr>
                          <pic:cNvPr descr="../Figures/MS/Main/Figure_biomes/Figure_biomes.png" id="146" name="Picture"/>
                          <pic:cNvPicPr>
                            <a:picLocks noChangeArrowheads="1" noChangeAspect="1"/>
                          </pic:cNvPicPr>
                        </pic:nvPicPr>
                        <pic:blipFill>
                          <a:blip r:embed="rId144"/>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47"/>
        </w:tc>
      </w:tr>
    </w:tbl>
    <w:bookmarkEnd w:id="14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2025-10-20T09:40:50Z</dcterms:created>
  <dcterms:modified xsi:type="dcterms:W3CDTF">2025-10-20T09:40:50Z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