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Mio-Pliocene closure of the isthmus of Panama. Among mammals, this faunal exchange was asymmetric because it witnessed a greater ability of North American lineages to establish southwards, meanwhile many South Americans went extinct. Here, coupling a mechanistic eco-evolutionary simulator with high-resolution palaeoclimatic reconstructions for the last 5 million years, we explore the extent to which palaeoclimate may have shaped such a biogeographic asymmetry. When climatic variables are the only constraints to virtual species’ ecology, our results indicate that successful interchanges are more frequently achieved when simulations start from South America than from North America, contrasting with empirical observations. In addition, our models fail at explaining the higher representation of temperate-adapted mammals in the fossil record of successfully exchanged mammals, particularly of North American origin, but suggest that successful colonisers from North America occupy larger areas in South America than the other way around. This study offers valuable insights into the processes behind one of the most puzzling macroecological enigmas, suggesting that palaeoclimatic history is not sufficient to explain the imbalanced success of North American migrants in South America following the GABI.</w:t>
      </w:r>
    </w:p>
    <w:bookmarkEnd w:id="20"/>
    <w:bookmarkStart w:id="21" w:name="keywords"/>
    <w:p>
      <w:pPr>
        <w:pStyle w:val="Heading1"/>
      </w:pPr>
      <w:r>
        <w:t xml:space="preserve">Keywords</w:t>
      </w:r>
    </w:p>
    <w:p>
      <w:pPr>
        <w:pStyle w:val="FirstParagraph"/>
      </w:pPr>
      <w:r>
        <w:t xml:space="preserve">Eco-evolutionary simulations; Mammals; Macroecology; Palaeoclimate</w:t>
      </w:r>
    </w:p>
    <w:p>
      <w:r>
        <w:br w:type="page"/>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w:t>
      </w:r>
      <w:r>
        <w:t xml:space="preserve">, the diversity desequilibrium between tropical rainforests across the globe</w:t>
      </w:r>
      <w:r>
        <w:rPr>
          <w:vertAlign w:val="superscript"/>
        </w:rPr>
        <w:t xml:space="preserve">28</w:t>
      </w:r>
      <w:r>
        <w:t xml:space="preserve">, the build-up of the unique biodiversity along the Wallace line</w:t>
      </w:r>
      <w:r>
        <w:rPr>
          <w:vertAlign w:val="superscript"/>
        </w:rPr>
        <w:t xml:space="preserve">29</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30,31,32</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30" w:name="materials-and-methods"/>
    <w:p>
      <w:pPr>
        <w:pStyle w:val="Heading1"/>
      </w:pPr>
      <w:r>
        <w:t xml:space="preserve">Materials and methods</w:t>
      </w:r>
    </w:p>
    <w:p>
      <w:pPr>
        <w:pStyle w:val="FirstParagraph"/>
      </w:pPr>
      <w:r>
        <w:t xml:space="preserve">Beforehand, it has to be noticed that, across the entire study,</w:t>
      </w:r>
      <w:r>
        <w:t xml:space="preserve"> </w:t>
      </w:r>
      <w:r>
        <w:t xml:space="preserve">“</w:t>
      </w:r>
      <w:r>
        <w:t xml:space="preserve">North America</w:t>
      </w:r>
      <w:r>
        <w:t xml:space="preserve">”</w:t>
      </w:r>
      <w:r>
        <w:t xml:space="preserve"> </w:t>
      </w:r>
      <w:r>
        <w:t xml:space="preserve">actually refers to the current North and Central American continents. The delimitation between North and South America was represented as a straight line connecting two points located along the eastern and western coasts of present Panama (</w:t>
      </w:r>
      <m:oMath>
        <m:r>
          <m:rPr>
            <m:sty m:val="p"/>
          </m:rPr>
          <m:t>−</m:t>
        </m:r>
        <m:r>
          <m:t>82.882</m:t>
        </m:r>
        <m:r>
          <m:rPr>
            <m:sty m:val="p"/>
          </m:rPr>
          <m:t>°</m:t>
        </m:r>
      </m:oMath>
      <w:r>
        <w:t xml:space="preserve">lon,</w:t>
      </w:r>
      <w:r>
        <w:t xml:space="preserve"> </w:t>
      </w:r>
      <m:oMath>
        <m:r>
          <m:t>7.138</m:t>
        </m:r>
        <m:r>
          <m:rPr>
            <m:sty m:val="p"/>
          </m:rPr>
          <m:t>°</m:t>
        </m:r>
      </m:oMath>
      <w:r>
        <w:t xml:space="preserve">lat and</w:t>
      </w:r>
      <w:r>
        <w:t xml:space="preserve"> </w:t>
      </w:r>
      <m:oMath>
        <m:r>
          <m:rPr>
            <m:sty m:val="p"/>
          </m:rPr>
          <m:t>−</m:t>
        </m:r>
        <m:r>
          <m:t>81.369</m:t>
        </m:r>
        <m:r>
          <m:rPr>
            <m:sty m:val="p"/>
          </m:rPr>
          <m:t>°</m:t>
        </m:r>
      </m:oMath>
      <w:r>
        <w:t xml:space="preserve">lon and</w:t>
      </w:r>
      <w:r>
        <w:t xml:space="preserve"> </w:t>
      </w:r>
      <m:oMath>
        <m:r>
          <m:t>9.008</m:t>
        </m:r>
        <m:r>
          <m:rPr>
            <m:sty m:val="p"/>
          </m:rPr>
          <m:t>°</m:t>
        </m:r>
      </m:oMath>
      <w:r>
        <w:t xml:space="preserve">lat) (</w:t>
      </w:r>
      <w:hyperlink w:anchor="fig-1">
        <w:r>
          <w:rPr>
            <w:rStyle w:val="Hyperlink"/>
          </w:rPr>
          <w:t xml:space="preserve">Figure 1</w:t>
        </w:r>
      </w:hyperlink>
      <w:r>
        <w:t xml:space="preserve">).</w:t>
      </w:r>
    </w:p>
    <w:bookmarkStart w:id="27" w:name="palaeoclimate-data"/>
    <w:p>
      <w:pPr>
        <w:pStyle w:val="Heading2"/>
      </w:pPr>
      <w:r>
        <w:t xml:space="preserve">Palaeoclimate data</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5587151" cy="5184144"/>
                  <wp:effectExtent b="0" l="0" r="0" t="0"/>
                  <wp:docPr descr="" title="" id="24" name="Picture"/>
                  <a:graphic>
                    <a:graphicData uri="http://schemas.openxmlformats.org/drawingml/2006/picture">
                      <pic:pic>
                        <pic:nvPicPr>
                          <pic:cNvPr descr="../Figures/MS/Main/Figure1/Figure1.png" id="25" name="Picture"/>
                          <pic:cNvPicPr>
                            <a:picLocks noChangeArrowheads="1" noChangeAspect="1"/>
                          </pic:cNvPicPr>
                        </pic:nvPicPr>
                        <pic:blipFill>
                          <a:blip r:embed="rId23"/>
                          <a:stretch>
                            <a:fillRect/>
                          </a:stretch>
                        </pic:blipFill>
                        <pic:spPr bwMode="auto">
                          <a:xfrm>
                            <a:off x="0" y="0"/>
                            <a:ext cx="5587151" cy="51841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33</w:t>
            </w:r>
            <w:r>
              <w:t xml:space="preserve">. The empirically-derived asymmetry of the transcontinental land mammal exchange is represented by the thickness of the two arrows, the thicker the arrow, the more intense the exchange.</w:t>
            </w:r>
          </w:p>
          <w:bookmarkEnd w:id="26"/>
        </w:tc>
      </w:tr>
    </w:tbl>
    <w:p>
      <w:pPr>
        <w:pStyle w:val="BodyText"/>
      </w:pPr>
      <w:r>
        <w:t xml:space="preserve">We used the spatio-temporal terrestrial palaeoclimate series from the PALEO-PGEM atmosphere-ocean general circulation model</w:t>
      </w:r>
      <w:r>
        <w:rPr>
          <w:vertAlign w:val="superscript"/>
        </w:rPr>
        <w:t xml:space="preserve">33</w:t>
      </w:r>
      <w:r>
        <w:t xml:space="preserve">, covering the last 5 Myrs with a 1</w:t>
      </w:r>
      <w:r>
        <w:t xml:space="preserve"> </w:t>
      </w:r>
      <m:oMath>
        <m:r>
          <m:rPr>
            <m:sty m:val="p"/>
          </m:rPr>
          <m:t>×</m:t>
        </m:r>
      </m:oMath>
      <w:r>
        <w:t xml:space="preserve"> </w:t>
      </w:r>
      <w:r>
        <w:t xml:space="preserve">1 ° spatial resolution</w:t>
      </w:r>
      <w:r>
        <w:rPr>
          <w:vertAlign w:val="superscript"/>
        </w:rPr>
        <w:t xml:space="preserve">34</w:t>
      </w:r>
      <w:r>
        <w:t xml:space="preserve">. For the scope of this work, we used two bioclimatic variables: mean annual temperature (MAT, BIO1) and mean annual precipitation (MAP, BIO12). To avoid reaching an overkillingly-high number of simulation steps, we reduced the temporal resolution of the climate simulations from a 1000 years-time step to a 10,000 years time-step.</w:t>
      </w:r>
    </w:p>
    <w:p>
      <w:pPr>
        <w:pStyle w:val="BodyText"/>
      </w:pPr>
      <w:r>
        <w:t xml:space="preserve">Additionally, in order to discriminate simulations on the basis of the biome the initial species starts in, we reclassified monthly palaeoclimate layers for our starting time (</w:t>
      </w:r>
      <m:oMath>
        <m:r>
          <m:t>t</m:t>
        </m:r>
        <m:r>
          <m:rPr>
            <m:sty m:val="p"/>
          </m:rPr>
          <m:t>=</m:t>
        </m:r>
        <m:r>
          <m:t>5</m:t>
        </m:r>
      </m:oMath>
      <w:r>
        <w:t xml:space="preserve"> </w:t>
      </w:r>
      <w:r>
        <w:t xml:space="preserve">Myrs) according to Köppen-Geiger broad climate types</w:t>
      </w:r>
      <w:r>
        <w:rPr>
          <w:vertAlign w:val="superscript"/>
        </w:rPr>
        <w:t xml:space="preserve">35</w:t>
      </w:r>
      <w:r>
        <w:t xml:space="preserve">. This classification divides the world into five broad climatic regions: Polar, Cold, Temperate, Arid and Tropical.</w:t>
      </w:r>
    </w:p>
    <w:bookmarkEnd w:id="27"/>
    <w:bookmarkStart w:id="28"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rPr>
          <w:vertAlign w:val="superscript"/>
        </w:rPr>
        <w:t xml:space="preserve">27</w:t>
      </w:r>
      <w:r>
        <w:t xml:space="preserve">. Simulations, moving forward-in-time with a 10ky time step, tracked the radiation of a clade arising from a single ancestral population, either originating in North or in South America, throughout the last 5 Myr. In gen3sis, virtual species are made up with a set of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We elaborated a gridded landscape made up with the two time-series of the aforementioned palaeoclimatic layers. Within this landscape, virtual species, made up with populations, inhabited a set of connected cells. At each time step, populations could disperse to the surrounding cells with an intensity sampled in a Weibull distribution (of shape and scale respectively termed</w:t>
      </w:r>
      <w:r>
        <w:t xml:space="preserve"> </w:t>
      </w:r>
      <m:oMath>
        <m:r>
          <m:t>ϕ</m:t>
        </m:r>
      </m:oMath>
      <w:r>
        <w:t xml:space="preserve"> </w:t>
      </w:r>
      <w:r>
        <w:t xml:space="preserve">and</w:t>
      </w:r>
      <w:r>
        <w:t xml:space="preserve"> </w:t>
      </w:r>
      <m:oMath>
        <m:r>
          <m:t>ψ</m:t>
        </m:r>
      </m:oMath>
      <w:r>
        <w:t xml:space="preserve">). If, by chance, two populations happened to be disconnected, they would accumulate divergence as long as they get disconnected, at a rate ruled by a divergence factor, here set to</w:t>
      </w:r>
      <w:r>
        <w:t xml:space="preserve"> </w:t>
      </w:r>
      <m:oMath>
        <m:r>
          <m:t>0.05</m:t>
        </m:r>
      </m:oMath>
      <w:r>
        <w:t xml:space="preserve">. Once passed a divergence threshold (</w:t>
      </w:r>
      <m:oMath>
        <m:r>
          <m:t>S</m:t>
        </m:r>
      </m:oMath>
      <w:r>
        <w:t xml:space="preserve">), speciation would occur. Thus, the only mode of speciation allowed by gen3sis is allopatry.</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 population- and species-specific optimum (resp.</w:t>
      </w:r>
      <w:r>
        <w:t xml:space="preserve">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t>
      </w:r>
      <w:r>
        <w:t xml:space="preserve">for the precipitation and temperature optima of the population</w:t>
      </w:r>
      <w:r>
        <w:t xml:space="preserve"> </w:t>
      </w:r>
      <m:oMath>
        <m:r>
          <m:t>k</m:t>
        </m:r>
      </m:oMath>
      <w:r>
        <w:t xml:space="preserve"> </w:t>
      </w:r>
      <w:r>
        <w:t xml:space="preserve">of the species</w:t>
      </w:r>
      <w:r>
        <w:t xml:space="preserve"> </w:t>
      </w:r>
      <m:oMath>
        <m:r>
          <m:t>l</m:t>
        </m:r>
      </m:oMath>
      <w:r>
        <w:t xml:space="preserve">) and a breadth (or tolerance) (resp.</w:t>
      </w:r>
      <w:r>
        <w:t xml:space="preserve"> </w:t>
      </w:r>
      <m:oMath>
        <m:sSub>
          <m:e>
            <m:r>
              <m:t>ω</m:t>
            </m:r>
          </m:e>
          <m:sub>
            <m:r>
              <m:t>P</m:t>
            </m:r>
          </m:sub>
        </m:sSub>
      </m:oMath>
      <w:r>
        <w:t xml:space="preserve"> </w:t>
      </w:r>
      <w:r>
        <w:t xml:space="preserve">and</w:t>
      </w:r>
      <w:r>
        <w:t xml:space="preserve"> </w:t>
      </w:r>
      <m:oMath>
        <m:sSub>
          <m:e>
            <m:r>
              <m:t>ω</m:t>
            </m:r>
          </m:e>
          <m:sub>
            <m:r>
              <m:t>T</m:t>
            </m:r>
          </m:sub>
        </m:sSub>
      </m:oMath>
      <w:r>
        <w:t xml:space="preserve">; within a simulation, breadths were shared across populations and species). A population could maintain in a given cell only if the difference between its optima and local climate (both temperature and precipitation) was below its breadths. Therefore, given a site</w:t>
      </w:r>
      <w:r>
        <w:t xml:space="preserve"> </w:t>
      </w:r>
      <m:oMath>
        <m:r>
          <m:t>i</m:t>
        </m:r>
      </m:oMath>
      <w:r>
        <w:t xml:space="preserve"> </w:t>
      </w:r>
      <w:r>
        <w:t xml:space="preserve">with local precipitation and temperature at time</w:t>
      </w:r>
      <w:r>
        <w:t xml:space="preserve"> </w:t>
      </w:r>
      <m:oMath>
        <m:r>
          <m:t>t</m:t>
        </m:r>
      </m:oMath>
      <w:r>
        <w:t xml:space="preserve"> </w:t>
      </w:r>
      <w:r>
        <w:t xml:space="preserve">being</w:t>
      </w:r>
      <w:r>
        <w:t xml:space="preserve"> </w:t>
      </w:r>
      <m:oMath>
        <m:sSub>
          <m:e>
            <m:r>
              <m:t>P</m:t>
            </m:r>
          </m:e>
          <m:sub>
            <m:r>
              <m:t>i</m:t>
            </m:r>
          </m:sub>
        </m:sSub>
        <m:d>
          <m:dPr>
            <m:begChr m:val="("/>
            <m:endChr m:val=")"/>
            <m:sepChr m:val=""/>
            <m:grow/>
          </m:dPr>
          <m:e>
            <m:r>
              <m:t>t</m:t>
            </m:r>
          </m:e>
        </m:d>
      </m:oMath>
      <w:r>
        <w:t xml:space="preserve"> </w:t>
      </w:r>
      <w:r>
        <w:t xml:space="preserve">and</w:t>
      </w:r>
      <w:r>
        <w:t xml:space="preserve"> </w:t>
      </w:r>
      <m:oMath>
        <m:sSub>
          <m:e>
            <m:r>
              <m:t>T</m:t>
            </m:r>
          </m:e>
          <m:sub>
            <m:r>
              <m:t>i</m:t>
            </m:r>
          </m:sub>
        </m:sSub>
        <m:d>
          <m:dPr>
            <m:begChr m:val="("/>
            <m:endChr m:val=")"/>
            <m:sepChr m:val=""/>
            <m:grow/>
          </m:dPr>
          <m:e>
            <m:r>
              <m:t>t</m:t>
            </m:r>
          </m:e>
        </m:d>
      </m:oMath>
      <w:r>
        <w:t xml:space="preserve">, this translates in</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rPr>
                        <m:sty m:val="p"/>
                      </m:rPr>
                      <m:t>|</m:t>
                    </m:r>
                    <m:sSub>
                      <m:e>
                        <m:r>
                          <m:t>P</m:t>
                        </m:r>
                      </m:e>
                      <m:sub>
                        <m:r>
                          <m:t>i</m:t>
                        </m:r>
                      </m:sub>
                    </m:sSub>
                    <m:d>
                      <m:dPr>
                        <m:begChr m:val="("/>
                        <m:endChr m:val=")"/>
                        <m:sepChr m:val=""/>
                        <m:grow/>
                      </m:dPr>
                      <m:e>
                        <m:r>
                          <m:t>t</m:t>
                        </m:r>
                      </m:e>
                    </m:d>
                    <m:r>
                      <m:rPr>
                        <m:sty m:val="p"/>
                      </m:rPr>
                      <m:t>−</m:t>
                    </m:r>
                    <m:sSub>
                      <m:e>
                        <m:r>
                          <m:t>P</m:t>
                        </m:r>
                      </m:e>
                      <m:sub>
                        <m:r>
                          <m:t>k</m:t>
                        </m:r>
                        <m:r>
                          <m:rPr>
                            <m:sty m:val="p"/>
                          </m:rPr>
                          <m:t>,</m:t>
                        </m:r>
                        <m:r>
                          <m:t>l</m:t>
                        </m:r>
                      </m:sub>
                    </m:sSub>
                    <m:r>
                      <m:rPr>
                        <m:sty m:val="p"/>
                      </m:rPr>
                      <m:t>|</m:t>
                    </m:r>
                    <m:r>
                      <m:rPr>
                        <m:sty m:val="p"/>
                      </m:rPr>
                      <m:t>&lt;</m:t>
                    </m:r>
                    <m:sSub>
                      <m:e>
                        <m:r>
                          <m:t>ω</m:t>
                        </m:r>
                      </m:e>
                      <m:sub>
                        <m:r>
                          <m:t>P</m:t>
                        </m:r>
                      </m:sub>
                    </m:sSub>
                  </m:e>
                </m:mr>
                <m:mr>
                  <m:e>
                    <m:r>
                      <m:rPr>
                        <m:sty m:val="p"/>
                      </m:rPr>
                      <m:t>|</m:t>
                    </m:r>
                    <m:sSub>
                      <m:e>
                        <m:r>
                          <m:t>T</m:t>
                        </m:r>
                      </m:e>
                      <m:sub>
                        <m:r>
                          <m:t>i</m:t>
                        </m:r>
                      </m:sub>
                    </m:sSub>
                    <m:d>
                      <m:dPr>
                        <m:begChr m:val="("/>
                        <m:endChr m:val=")"/>
                        <m:sepChr m:val=""/>
                        <m:grow/>
                      </m:dPr>
                      <m:e>
                        <m:r>
                          <m:t>t</m:t>
                        </m:r>
                      </m:e>
                    </m:d>
                    <m:r>
                      <m:rPr>
                        <m:sty m:val="p"/>
                      </m:rPr>
                      <m:t>−</m:t>
                    </m:r>
                    <m:sSub>
                      <m:e>
                        <m:r>
                          <m:t>T</m:t>
                        </m:r>
                      </m:e>
                      <m:sub>
                        <m:r>
                          <m:t>k</m:t>
                        </m:r>
                        <m:r>
                          <m:rPr>
                            <m:sty m:val="p"/>
                          </m:rPr>
                          <m:t>,</m:t>
                        </m:r>
                        <m:r>
                          <m:t>l</m:t>
                        </m:r>
                      </m:sub>
                    </m:sSub>
                    <m:r>
                      <m:rPr>
                        <m:sty m:val="p"/>
                      </m:rPr>
                      <m:t>|</m:t>
                    </m:r>
                    <m:r>
                      <m:rPr>
                        <m:sty m:val="p"/>
                      </m:rPr>
                      <m:t>&lt;</m:t>
                    </m:r>
                    <m:sSub>
                      <m:e>
                        <m:r>
                          <m:t>ω</m:t>
                        </m:r>
                      </m:e>
                      <m:sub>
                        <m:r>
                          <m:t>T</m:t>
                        </m:r>
                      </m:sub>
                    </m:sSub>
                  </m:e>
                </m:mr>
              </m:m>
            </m:e>
          </m:d>
        </m:oMath>
      </m:oMathPara>
    </w:p>
    <w:p>
      <w:pPr>
        <w:pStyle w:val="FirstParagraph"/>
      </w:pPr>
      <w:r>
        <w:t xml:space="preserve">Each simulation started with a single ancestral species. The range of this ancestral species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rPr>
          <w:vertAlign w:val="superscript"/>
        </w:rPr>
        <w:t xml:space="preserve">36</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A total of 500 replicates was made under each modelling scheme (detailed in the next paragraph), both with North and South America as ancestral area. Across replicates, we varied 6 key parameters: (1) the divergence threshold above which speciation occurred (</w:t>
      </w:r>
      <m:oMath>
        <m:r>
          <m:t>S</m:t>
        </m:r>
      </m:oMath>
      <w:r>
        <w:t xml:space="preserve">, range =</w:t>
      </w:r>
      <w:r>
        <w:t xml:space="preserve"> </w:t>
      </w:r>
      <m:oMath>
        <m:d>
          <m:dPr>
            <m:begChr m:val="["/>
            <m:endChr m:val="]"/>
            <m:sepChr m:val=""/>
            <m:grow/>
          </m:dPr>
          <m:e>
            <m:r>
              <m:t>1</m:t>
            </m:r>
            <m:r>
              <m:rPr>
                <m:sty m:val="p"/>
              </m:rPr>
              <m:t>,</m:t>
            </m:r>
            <m:r>
              <m:t>3</m:t>
            </m:r>
          </m:e>
        </m:d>
      </m:oMath>
      <w:r>
        <w:t xml:space="preserve">), (2) the rate of environmental niche evolution – only in models where we allowed climatic niche to evolve (</w:t>
      </w:r>
      <m:oMath>
        <m:sSub>
          <m:e>
            <m:r>
              <m:t>σ</m:t>
            </m:r>
          </m:e>
          <m:sub>
            <m:r>
              <m:t>e</m:t>
            </m:r>
          </m:sub>
        </m:sSub>
      </m:oMath>
      <w:r>
        <w:t xml:space="preserve">,</w:t>
      </w:r>
      <w:r>
        <w:t xml:space="preserve"> </w:t>
      </w:r>
      <m:oMath>
        <m:d>
          <m:dPr>
            <m:begChr m:val="["/>
            <m:endChr m:val="]"/>
            <m:sepChr m:val=""/>
            <m:grow/>
          </m:dPr>
          <m:e>
            <m:r>
              <m:t>0.005</m:t>
            </m:r>
            <m:r>
              <m:rPr>
                <m:sty m:val="p"/>
              </m:rPr>
              <m:t>,</m:t>
            </m:r>
            <m:r>
              <m:t>0.15</m:t>
            </m:r>
          </m:e>
        </m:d>
      </m:oMath>
      <w:r>
        <w:t xml:space="preserve">), (3) the shape (</w:t>
      </w:r>
      <m:oMath>
        <m:r>
          <m:t>ϕ</m:t>
        </m:r>
      </m:oMath>
      <w:r>
        <w:t xml:space="preserve">,</w:t>
      </w:r>
      <w:r>
        <w:t xml:space="preserve"> </w:t>
      </w:r>
      <m:oMath>
        <m:d>
          <m:dPr>
            <m:begChr m:val="["/>
            <m:endChr m:val="]"/>
            <m:sepChr m:val=""/>
            <m:grow/>
          </m:dPr>
          <m:e>
            <m:r>
              <m:t>0.5</m:t>
            </m:r>
            <m:r>
              <m:rPr>
                <m:sty m:val="p"/>
              </m:rPr>
              <m:t>,</m:t>
            </m:r>
            <m:r>
              <m:t>3</m:t>
            </m:r>
          </m:e>
        </m:d>
      </m:oMath>
      <w:r>
        <w:t xml:space="preserve">) and (4) scale (</w:t>
      </w:r>
      <m:oMath>
        <m:r>
          <m:t>ψ</m:t>
        </m:r>
      </m:oMath>
      <w:r>
        <w:t xml:space="preserve">,</w:t>
      </w:r>
      <w:r>
        <w:t xml:space="preserve"> </w:t>
      </w:r>
      <m:oMath>
        <m:d>
          <m:dPr>
            <m:begChr m:val="["/>
            <m:endChr m:val="]"/>
            <m:sepChr m:val=""/>
            <m:grow/>
          </m:dPr>
          <m:e>
            <m:r>
              <m:t>0.1</m:t>
            </m:r>
            <m:r>
              <m:rPr>
                <m:sty m:val="p"/>
              </m:rPr>
              <m:t>,</m:t>
            </m:r>
            <m:r>
              <m:t>1</m:t>
            </m:r>
          </m:e>
        </m:d>
      </m:oMath>
      <w:r>
        <w:t xml:space="preserve">) of the Weibull distribution acting as a dispersal kernel, (5) the strength of environmental filtering (</w:t>
      </w:r>
      <w:r>
        <w:rPr>
          <w:i/>
          <w:iCs/>
        </w:rPr>
        <w:t xml:space="preserve">i</w:t>
      </w:r>
      <w:r>
        <w:t xml:space="preserve">.</w:t>
      </w:r>
      <w:r>
        <w:rPr>
          <w:i/>
          <w:iCs/>
        </w:rPr>
        <w:t xml:space="preserve">e</w:t>
      </w:r>
      <w:r>
        <w:t xml:space="preserve">., niche breadth) for temperature (</w:t>
      </w:r>
      <m:oMath>
        <m:sSub>
          <m:e>
            <m:r>
              <m:t>ω</m:t>
            </m:r>
          </m:e>
          <m:sub>
            <m:r>
              <m:t>T</m:t>
            </m:r>
          </m:sub>
        </m:sSub>
      </m:oMath>
      <w:r>
        <w:t xml:space="preserve">,</w:t>
      </w:r>
      <w:r>
        <w:t xml:space="preserve"> </w:t>
      </w:r>
      <m:oMath>
        <m:d>
          <m:dPr>
            <m:begChr m:val="["/>
            <m:endChr m:val="]"/>
            <m:sepChr m:val=""/>
            <m:grow/>
          </m:dPr>
          <m:e>
            <m:r>
              <m:t>0.01</m:t>
            </m:r>
            <m:r>
              <m:rPr>
                <m:sty m:val="p"/>
              </m:rPr>
              <m:t>,</m:t>
            </m:r>
            <m:r>
              <m:t>0.1</m:t>
            </m:r>
          </m:e>
        </m:d>
      </m:oMath>
      <w:r>
        <w:t xml:space="preserve">) and (6) precipitation (</w:t>
      </w:r>
      <m:oMath>
        <m:sSub>
          <m:e>
            <m:r>
              <m:t>ω</m:t>
            </m:r>
          </m:e>
          <m:sub>
            <m:r>
              <m:t>P</m:t>
            </m:r>
          </m:sub>
        </m:sSub>
      </m:oMath>
      <w:r>
        <w:t xml:space="preserve">,</w:t>
      </w:r>
      <w:r>
        <w:t xml:space="preserve"> </w:t>
      </w:r>
      <m:oMath>
        <m:d>
          <m:dPr>
            <m:begChr m:val="["/>
            <m:endChr m:val="]"/>
            <m:sepChr m:val=""/>
            <m:grow/>
          </m:dPr>
          <m:e>
            <m:r>
              <m:t>0.05</m:t>
            </m:r>
            <m:r>
              <m:rPr>
                <m:sty m:val="p"/>
              </m:rPr>
              <m:t>,</m:t>
            </m:r>
            <m:r>
              <m:t>0.3</m:t>
            </m:r>
          </m:e>
        </m:d>
      </m:oMath>
      <w:r>
        <w:t xml:space="preserve">). As done by many authors, we ensured an even sampling of the resulting multidimensional parameter space via a quasirandom sampling technique relying on Sobol’ sequences</w:t>
      </w:r>
      <w:r>
        <w:rPr>
          <w:vertAlign w:val="superscript"/>
        </w:rPr>
        <w:t xml:space="preserve">28,29</w:t>
      </w:r>
      <w:r>
        <w:t xml:space="preserve">. Parameter ranges were determined on the basis of a literature review, allowing to assess their biological relevance, and were further adjusted in order to limit the prevalence of crashing simulations. In addition to these varying parameters, we specified the value of several fixed parameters (Tab. S1)</w:t>
      </w:r>
    </w:p>
    <w:p>
      <w:pPr>
        <w:pStyle w:val="BodyText"/>
      </w:pPr>
      <w:r>
        <w:t xml:space="preserve">We implemented various simulation scenarios where we modulated the ability of species to cope with climate change, and thus, the generalist vs. specialist nature of the simulated species. In the full-adaptationist model (</w:t>
      </w:r>
      <w:r>
        <w:rPr>
          <w:i/>
          <w:iCs/>
        </w:rPr>
        <w:t xml:space="preserve">M1</w:t>
      </w:r>
      <w:r>
        <w:t xml:space="preserve">, generalist), climatic optima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were able to evolve in the direction of local climate change. To isolate the effect of a single environmental covariate on the resulting simulated biodiversity pattern, alternative versions of this model consisted of either removing the temperature (</w:t>
      </w:r>
      <w:r>
        <w:rPr>
          <w:i/>
          <w:iCs/>
        </w:rPr>
        <w:t xml:space="preserve">M2</w:t>
      </w:r>
      <w:r>
        <w:t xml:space="preserve">) or the precipitation (</w:t>
      </w:r>
      <w:r>
        <w:rPr>
          <w:i/>
          <w:iCs/>
        </w:rPr>
        <w:t xml:space="preserve">M3</w:t>
      </w:r>
      <w:r>
        <w:t xml:space="preserve">) constraint on species ecology. Besides, we also implemented a zero-adaptationist model (</w:t>
      </w:r>
      <w:r>
        <w:rPr>
          <w:i/>
          <w:iCs/>
        </w:rPr>
        <w:t xml:space="preserve">M0</w:t>
      </w:r>
      <w:r>
        <w:t xml:space="preserve">, specialist), where niche optima could not evolve and were therefore held constant (to their initial value) across all simulations.</w:t>
      </w:r>
    </w:p>
    <w:p>
      <w:pPr>
        <w:pStyle w:val="BodyText"/>
      </w:pPr>
      <w:r>
        <w:t xml:space="preserve">Last, it is important to notice that, since the palaeoclimate reconstructions that we used ignored tectonic plate motion – a reasonable assumption for a 5-Myr time frame – continental position in our landscapes was held constant across simulations. Therefore, in that framework, changes in connectivity between North and South America could only arise from the environment.</w:t>
      </w:r>
    </w:p>
    <w:bookmarkEnd w:id="28"/>
    <w:bookmarkStart w:id="29" w:name="postprocessing-and-quantifications"/>
    <w:p>
      <w:pPr>
        <w:pStyle w:val="Heading2"/>
      </w:pPr>
      <w:r>
        <w:t xml:space="preserve">Postprocessing and quantifications</w:t>
      </w:r>
    </w:p>
    <w:p>
      <w:pPr>
        <w:pStyle w:val="FirstParagraph"/>
      </w:pPr>
      <w:r>
        <w:t xml:space="preserve">At every time step, for each run of each simulation, we used a function released by Skeels et al.</w:t>
      </w:r>
      <w:r>
        <w:rPr>
          <w:vertAlign w:val="superscript"/>
        </w:rPr>
        <w:t xml:space="preserve">29</w:t>
      </w:r>
      <w:r>
        <w:t xml:space="preserve"> </w:t>
      </w:r>
      <w:r>
        <w:t xml:space="preserve">to save presence-absence matrices. Given a time</w:t>
      </w:r>
      <w:r>
        <w:t xml:space="preserve"> </w:t>
      </w:r>
      <m:oMath>
        <m:r>
          <m:t>t</m:t>
        </m:r>
      </m:oMath>
      <w:r>
        <w:t xml:space="preserve">, those matrices stored on their columns the presence of each simulated species that have existed from the onset of the simulation to</w:t>
      </w:r>
      <w:r>
        <w:t xml:space="preserve"> </w:t>
      </w:r>
      <m:oMath>
        <m:r>
          <m:t>t</m:t>
        </m:r>
      </m:oMath>
      <w:r>
        <w:t xml:space="preserve"> </w:t>
      </w:r>
      <w:r>
        <w:t xml:space="preserve">within each cell of the landscape (rows of the matrix) as a binary variable –</w:t>
      </w:r>
      <w:r>
        <w:t xml:space="preserve"> </w:t>
      </w:r>
      <m:oMath>
        <m:r>
          <m:t>1</m:t>
        </m:r>
      </m:oMath>
      <w:r>
        <w:t xml:space="preserve">: the species inhabits that cell,</w:t>
      </w:r>
      <w:r>
        <w:t xml:space="preserve"> </w:t>
      </w:r>
      <m:oMath>
        <m:r>
          <m:t>0</m:t>
        </m:r>
      </m:oMath>
      <w:r>
        <w:t xml:space="preserve">: it does not.</w:t>
      </w:r>
    </w:p>
    <w:p>
      <w:pPr>
        <w:pStyle w:val="BodyText"/>
      </w:pPr>
      <w:r>
        <w:t xml:space="preserve">Given a batch of simulations, after discarding those that crashed –</w:t>
      </w:r>
      <w:r>
        <w:t xml:space="preserve"> </w:t>
      </w:r>
      <w:r>
        <w:rPr>
          <w:i/>
          <w:iCs/>
        </w:rPr>
        <w:t xml:space="preserve">i</w:t>
      </w:r>
      <w:r>
        <w:t xml:space="preserve">.</w:t>
      </w:r>
      <w:r>
        <w:rPr>
          <w:i/>
          <w:iCs/>
        </w:rPr>
        <w:t xml:space="preserve">e</w:t>
      </w:r>
      <w:r>
        <w:t xml:space="preserve">., that lead to no living representative – we quantified four metrics reflecting the occurrence, magnitude and efficiency of an eventual transcontinental exchange based on the presence-absence matrix of the last time step of each successful run (hereafter called</w:t>
      </w:r>
      <w:r>
        <w:t xml:space="preserve"> </w:t>
      </w:r>
      <m:oMath>
        <m:sSub>
          <m:e>
            <m:r>
              <m:t>t</m:t>
            </m:r>
          </m:e>
          <m:sub>
            <m:r>
              <m:t>e</m:t>
            </m:r>
            <m:r>
              <m:t>n</m:t>
            </m:r>
            <m:r>
              <m:t>d</m:t>
            </m:r>
          </m:sub>
        </m:sSub>
      </m:oMath>
      <w:r>
        <w:t xml:space="preserve">). First, we assessed the exchange success, a binary variable set to one if at least one pixel of the area to colonise (hereafter called</w:t>
      </w:r>
      <w:r>
        <w:t xml:space="preserve"> </w:t>
      </w:r>
      <m:oMath>
        <m:sSub>
          <m:e>
            <m:r>
              <m:rPr>
                <m:sty m:val="p"/>
                <m:scr m:val="script"/>
              </m:rPr>
              <m:t>A</m:t>
            </m:r>
          </m:e>
          <m:sub>
            <m:r>
              <m:t>c</m:t>
            </m:r>
            <m:r>
              <m:t>o</m:t>
            </m:r>
            <m:r>
              <m:t>l</m:t>
            </m:r>
          </m:sub>
        </m:sSub>
      </m:oMath>
      <w:r>
        <w:t xml:space="preserve">,</w:t>
      </w:r>
      <w:r>
        <w:t xml:space="preserve"> </w:t>
      </w:r>
      <w:r>
        <w:rPr>
          <w:i/>
          <w:iCs/>
        </w:rPr>
        <w:t xml:space="preserve">e</w:t>
      </w:r>
      <w:r>
        <w:t xml:space="preserve">.</w:t>
      </w:r>
      <w:r>
        <w:rPr>
          <w:i/>
          <w:iCs/>
        </w:rPr>
        <w:t xml:space="preserve">g</w:t>
      </w:r>
      <w:r>
        <w:t xml:space="preserve">., South America if the simulation started in North America) recorded a presence. Then, we recorded the biome in which the initial ancestor occurs (</w:t>
      </w:r>
      <w:r>
        <w:rPr>
          <w:i/>
          <w:iCs/>
        </w:rPr>
        <w:t xml:space="preserve">i</w:t>
      </w:r>
      <w:r>
        <w:t xml:space="preserve">.</w:t>
      </w:r>
      <w:r>
        <w:rPr>
          <w:i/>
          <w:iCs/>
        </w:rPr>
        <w:t xml:space="preserve">e</w:t>
      </w:r>
      <w:r>
        <w:t xml:space="preserve">., Tropical, Arid, Temperate, Cold, Polar) as well as the distance of this initial ancestor to a point arbitrarily located on the zone of the isthmus of Panama, (</w:t>
      </w:r>
      <m:oMath>
        <m:r>
          <m:rPr>
            <m:sty m:val="p"/>
          </m:rPr>
          <m:t>−</m:t>
        </m:r>
        <m:r>
          <m:t>84</m:t>
        </m:r>
        <m:r>
          <m:rPr>
            <m:sty m:val="p"/>
          </m:rPr>
          <m:t>°</m:t>
        </m:r>
      </m:oMath>
      <w:r>
        <w:t xml:space="preserve">lon,</w:t>
      </w:r>
      <w:r>
        <w:t xml:space="preserve"> </w:t>
      </w:r>
      <m:oMath>
        <m:r>
          <m:t>10</m:t>
        </m:r>
        <m:r>
          <m:rPr>
            <m:sty m:val="p"/>
          </m:rPr>
          <m:t>°</m:t>
        </m:r>
      </m:oMath>
      <w:r>
        <w:t xml:space="preserve">lat). Last, in the case of a successful exchange, we quantified the number of virtual taxa recorded in</w:t>
      </w:r>
      <w:r>
        <w:t xml:space="preserve"> </w:t>
      </w:r>
      <m:oMath>
        <m:sSub>
          <m:e>
            <m:r>
              <m:rPr>
                <m:sty m:val="p"/>
                <m:scr m:val="script"/>
              </m:rPr>
              <m:t>A</m:t>
            </m:r>
          </m:e>
          <m:sub>
            <m:r>
              <m:t>c</m:t>
            </m:r>
            <m:r>
              <m:t>o</m:t>
            </m:r>
            <m:r>
              <m:t>l</m:t>
            </m:r>
          </m:sub>
        </m:sSub>
      </m:oMath>
      <w:r>
        <w:t xml:space="preserve"> </w:t>
      </w:r>
      <w:r>
        <w:t xml:space="preserve">at</w:t>
      </w:r>
      <w:r>
        <w:t xml:space="preserve"> </w:t>
      </w:r>
      <m:oMath>
        <m:sSub>
          <m:e>
            <m:r>
              <m:t>t</m:t>
            </m:r>
          </m:e>
          <m:sub>
            <m:r>
              <m:t>e</m:t>
            </m:r>
            <m:r>
              <m:t>n</m:t>
            </m:r>
            <m:r>
              <m:t>d</m:t>
            </m:r>
          </m:sub>
        </m:sSub>
      </m:oMath>
      <w:r>
        <w:t xml:space="preserve"> </w:t>
      </w:r>
      <w:r>
        <w:t xml:space="preserve">and the proportion of</w:t>
      </w:r>
      <w:r>
        <w:t xml:space="preserve"> </w:t>
      </w:r>
      <m:oMath>
        <m:sSub>
          <m:e>
            <m:r>
              <m:rPr>
                <m:sty m:val="p"/>
                <m:scr m:val="script"/>
              </m:rPr>
              <m:t>A</m:t>
            </m:r>
          </m:e>
          <m:sub>
            <m:r>
              <m:t>c</m:t>
            </m:r>
            <m:r>
              <m:t>o</m:t>
            </m:r>
            <m:r>
              <m:t>l</m:t>
            </m:r>
          </m:sub>
        </m:sSub>
      </m:oMath>
      <w:r>
        <w:t xml:space="preserve"> </w:t>
      </w:r>
      <w:r>
        <w:t xml:space="preserve">actually colonised at</w:t>
      </w:r>
      <w:r>
        <w:t xml:space="preserve"> </w:t>
      </w:r>
      <m:oMath>
        <m:sSub>
          <m:e>
            <m:r>
              <m:t>t</m:t>
            </m:r>
          </m:e>
          <m:sub>
            <m:r>
              <m:t>e</m:t>
            </m:r>
            <m:r>
              <m:t>n</m:t>
            </m:r>
            <m:r>
              <m:t>d</m:t>
            </m:r>
          </m:sub>
        </m:sSub>
      </m:oMath>
      <w:r>
        <w:t xml:space="preserve"> </w:t>
      </w:r>
      <w:r>
        <w:t xml:space="preserve">as the ratio between the number of cells occupied by the colonisers and the total number of available cells (</w:t>
      </w:r>
      <w:r>
        <w:rPr>
          <w:i/>
          <w:iCs/>
        </w:rPr>
        <w:t xml:space="preserve">i</w:t>
      </w:r>
      <w:r>
        <w:t xml:space="preserve">.</w:t>
      </w:r>
      <w:r>
        <w:rPr>
          <w:i/>
          <w:iCs/>
        </w:rPr>
        <w:t xml:space="preserve">e</w:t>
      </w:r>
      <w:r>
        <w:t xml:space="preserve">., surface of</w:t>
      </w:r>
      <w:r>
        <w:t xml:space="preserve"> </w:t>
      </w:r>
      <m:oMath>
        <m:sSub>
          <m:e>
            <m:r>
              <m:rPr>
                <m:sty m:val="p"/>
                <m:scr m:val="script"/>
              </m:rPr>
              <m:t>A</m:t>
            </m:r>
          </m:e>
          <m:sub>
            <m:r>
              <m:t>c</m:t>
            </m:r>
            <m:r>
              <m:t>o</m:t>
            </m:r>
            <m:r>
              <m:t>l</m:t>
            </m:r>
          </m:sub>
        </m:sSub>
      </m:oMath>
      <w:r>
        <w:t xml:space="preserve">).</w:t>
      </w:r>
    </w:p>
    <w:bookmarkEnd w:id="29"/>
    <w:bookmarkEnd w:id="30"/>
    <w:bookmarkStart w:id="38" w:name="results"/>
    <w:p>
      <w:pPr>
        <w:pStyle w:val="Heading1"/>
      </w:pPr>
      <w:r>
        <w:t xml:space="preserve">Results</w:t>
      </w:r>
    </w:p>
    <w:bookmarkStart w:id="35" w:name="Xed4bd03a92b5751ca77f2e414fb8e8b12710b4e"/>
    <w:p>
      <w:pPr>
        <w:pStyle w:val="Heading2"/>
      </w:pPr>
      <w:r>
        <w:t xml:space="preserve">Climate makes it easier to reach North America from South America than the other way around</w:t>
      </w:r>
    </w:p>
    <w:p>
      <w:pPr>
        <w:pStyle w:val="FirstParagraph"/>
      </w:pPr>
      <w:r>
        <w:t xml:space="preserve">The contribution of palaeoclimate in the biogeographic asymmetry of the Great American Biotic Interchange (GABI) was tested in a simulation-based framework relying on gen3sis v1.5.11, a mechanistic eco-evolutionary simulator</w:t>
      </w:r>
      <w:r>
        <w:rPr>
          <w:vertAlign w:val="superscript"/>
        </w:rPr>
        <w:t xml:space="preserve">27</w:t>
      </w:r>
      <w:r>
        <w:t xml:space="preserve"> </w:t>
      </w:r>
      <w:r>
        <w:t xml:space="preserve">and palaeoclimatic layers (annual temperature and precipitation) covering the last 5 million years generated by the PALEO-PGEM emulator</w:t>
      </w:r>
      <w:r>
        <w:rPr>
          <w:vertAlign w:val="superscript"/>
        </w:rPr>
        <w:t xml:space="preserve">33,34</w:t>
      </w:r>
      <w:r>
        <w:t xml:space="preserve">. Each set of simulations tracked the radiation of a clade either originating in North or in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when starting from South America than from North America (</w:t>
      </w:r>
      <w:hyperlink w:anchor="fig-2">
        <w:r>
          <w:rPr>
            <w:rStyle w:val="Hyperlink"/>
          </w:rPr>
          <w:t xml:space="preserve">Figure 2</w:t>
        </w:r>
      </w:hyperlink>
      <w:r>
        <w:t xml:space="preserve"> </w:t>
      </w:r>
      <w:r>
        <w:t xml:space="preserve">A). This imbalance, strikingly going against our expectations, is maintained whether we allow species climatic niche to evolve following climatic change (44% vs. 87%, model</w:t>
      </w:r>
      <w:r>
        <w:t xml:space="preserve"> </w:t>
      </w:r>
      <m:oMath>
        <m:r>
          <m:t>M</m:t>
        </m:r>
        <m:r>
          <m:t>1</m:t>
        </m:r>
      </m:oMath>
      <w:r>
        <w:t xml:space="preserve">) or not (29% vs 59%,</w:t>
      </w:r>
      <w:r>
        <w:t xml:space="preserve"> </w:t>
      </w:r>
      <m:oMath>
        <m:r>
          <m:t>M</m:t>
        </m:r>
        <m:r>
          <m:t>0</m:t>
        </m:r>
      </m:oMath>
      <w:r>
        <w:t xml:space="preserve">). Amputation of either the temperature (47% vs. 88%,</w:t>
      </w:r>
      <w:r>
        <w:t xml:space="preserve"> </w:t>
      </w:r>
      <m:oMath>
        <m:r>
          <m:t>M</m:t>
        </m:r>
        <m:r>
          <m:t>2</m:t>
        </m:r>
      </m:oMath>
      <w:r>
        <w:t xml:space="preserve">) or the precipitation (38% vs. 89%,</w:t>
      </w:r>
      <w:r>
        <w:t xml:space="preserve"> </w:t>
      </w:r>
      <m:oMath>
        <m:r>
          <m:t>M</m:t>
        </m:r>
        <m:r>
          <m:t>3</m:t>
        </m:r>
      </m:oMath>
      <w:r>
        <w:t xml:space="preserve">) compound of the climatic niche does not seem to alter the pattern.</w:t>
      </w:r>
      <w:r>
        <w:t xml:space="preserve"> </w:t>
      </w:r>
      <w:r>
        <w:t xml:space="preserve">That being said, the proportion of simulations resulting in no living representative (=crash) was on average twice higher for simulations starting in North America, except for model</w:t>
      </w:r>
      <w:r>
        <w:t xml:space="preserve"> </w:t>
      </w:r>
      <m:oMath>
        <m:r>
          <m:t>M</m:t>
        </m:r>
        <m:r>
          <m:t>3</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4" w:name="fig-2"/>
          <w:p>
            <w:pPr>
              <w:pStyle w:val="Compact"/>
              <w:jc w:val="left"/>
            </w:pPr>
            <w:r>
              <w:drawing>
                <wp:inline>
                  <wp:extent cx="5521510" cy="7258717"/>
                  <wp:effectExtent b="0" l="0" r="0" t="0"/>
                  <wp:docPr descr="" title="" id="32" name="Picture"/>
                  <a:graphic>
                    <a:graphicData uri="http://schemas.openxmlformats.org/drawingml/2006/picture">
                      <pic:pic>
                        <pic:nvPicPr>
                          <pic:cNvPr descr="../Figures/MS/Main/Figure2/Figure2.png" id="33" name="Picture"/>
                          <pic:cNvPicPr>
                            <a:picLocks noChangeArrowheads="1" noChangeAspect="1"/>
                          </pic:cNvPicPr>
                        </pic:nvPicPr>
                        <pic:blipFill>
                          <a:blip r:embed="rId31"/>
                          <a:stretch>
                            <a:fillRect/>
                          </a:stretch>
                        </pic:blipFill>
                        <pic:spPr bwMode="auto">
                          <a:xfrm>
                            <a:off x="0" y="0"/>
                            <a:ext cx="5521510" cy="7258717"/>
                          </a:xfrm>
                          <a:prstGeom prst="rect">
                            <a:avLst/>
                          </a:prstGeom>
                          <a:noFill/>
                          <a:ln w="9525">
                            <a:noFill/>
                            <a:headEnd/>
                            <a:tailEnd/>
                          </a:ln>
                        </pic:spPr>
                      </pic:pic>
                    </a:graphicData>
                  </a:graphic>
                </wp:inline>
              </w:drawing>
            </w:r>
          </w:p>
          <w:p>
            <w:pPr>
              <w:jc w:val="left"/>
            </w:pPr>
            <w:pPr>
              <w:jc w:val="start"/>
              <w:spacing w:before="200"/>
              <w:pStyle w:val="ImageCaption"/>
            </w:pPr>
            <w:r>
              <w:t xml:space="preserve">Figure 2: A few metrics summarising climate-mediated interchange. From left to right are depicted the results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w:t>
            </w:r>
            <w:r>
              <w:t xml:space="preserve"> </w:t>
            </w:r>
            <w:r>
              <w:rPr>
                <w:b/>
                <w:bCs/>
              </w:rPr>
              <w:t xml:space="preserve">(A)</w:t>
            </w:r>
            <w:r>
              <w:t xml:space="preserve"> </w:t>
            </w:r>
            <w:r>
              <w:t xml:space="preserve">Proportion of simulations leading to a successful exchange to the other continent.</w:t>
            </w:r>
            <w:r>
              <w:t xml:space="preserve"> </w:t>
            </w:r>
            <w:r>
              <w:rPr>
                <w:b/>
                <w:bCs/>
              </w:rPr>
              <w:t xml:space="preserve">(B)</w:t>
            </w:r>
            <w:r>
              <w:t xml:space="preserve"> </w:t>
            </w:r>
            <w:r>
              <w:t xml:space="preserve">Proportion of colonised area.</w:t>
            </w:r>
            <w:r>
              <w:t xml:space="preserve"> </w:t>
            </w:r>
            <w:r>
              <w:rPr>
                <w:b/>
                <w:bCs/>
              </w:rPr>
              <w:t xml:space="preserve">(C)</w:t>
            </w:r>
            <w:r>
              <w:t xml:space="preserve"> </w:t>
            </w:r>
            <w:r>
              <w:t xml:space="preserve">Distance to the isthmus. The last two metrics have been computed out of successful simulations,</w:t>
            </w:r>
            <w:r>
              <w:t xml:space="preserve"> </w:t>
            </w:r>
            <w:r>
              <w:rPr>
                <w:i/>
                <w:iCs/>
              </w:rPr>
              <w:t xml:space="preserve">i</w:t>
            </w:r>
            <w:r>
              <w:t xml:space="preserve">.</w:t>
            </w:r>
            <w:r>
              <w:rPr>
                <w:i/>
                <w:iCs/>
              </w:rPr>
              <w:t xml:space="preserve">e</w:t>
            </w:r>
            <w:r>
              <w:t xml:space="preserve">., that resulted in a transcontinental faunal exchange.</w:t>
            </w:r>
          </w:p>
          <w:bookmarkEnd w:id="34"/>
        </w:tc>
      </w:tr>
    </w:tbl>
    <w:bookmarkEnd w:id="35"/>
    <w:bookmarkStart w:id="36" w:name="success-on-the-foreign-continent"/>
    <w:p>
      <w:pPr>
        <w:pStyle w:val="Heading2"/>
      </w:pPr>
      <w:r>
        <w:t xml:space="preserve">Success on the foreign continent</w:t>
      </w:r>
    </w:p>
    <w:p>
      <w:pPr>
        <w:pStyle w:val="FirstParagraph"/>
      </w:pPr>
      <w:r>
        <w:t xml:space="preserve">Our findings reveal that successful simulations starting from North America result in a higher proportion of colonised area, except for the</w:t>
      </w:r>
      <w:r>
        <w:t xml:space="preserve"> </w:t>
      </w:r>
      <m:oMath>
        <m:r>
          <m:t>M</m:t>
        </m:r>
        <m:r>
          <m:t>3</m:t>
        </m:r>
      </m:oMath>
      <w:r>
        <w:t xml:space="preserve"> </w:t>
      </w:r>
      <w:r>
        <w:t xml:space="preserve">model, relaxing the precipitation constraint on virtual species’ niche (</w:t>
      </w:r>
      <w:hyperlink w:anchor="fig-2">
        <w:r>
          <w:rPr>
            <w:rStyle w:val="Hyperlink"/>
          </w:rPr>
          <w:t xml:space="preserve">Figure 2</w:t>
        </w:r>
      </w:hyperlink>
      <w:r>
        <w:t xml:space="preserve"> </w:t>
      </w:r>
      <w:r>
        <w:t xml:space="preserve">B). In addition, successful simulations starting from North America generally started from an ancestor located closer to the isthmus than those starting from South America (</w:t>
      </w:r>
      <w:hyperlink w:anchor="fig-2">
        <w:r>
          <w:rPr>
            <w:rStyle w:val="Hyperlink"/>
          </w:rPr>
          <w:t xml:space="preserve">Figure 2</w:t>
        </w:r>
      </w:hyperlink>
      <w:r>
        <w:t xml:space="preserve"> </w:t>
      </w:r>
      <w:r>
        <w:t xml:space="preserve">C), again except for simulation generated under</w:t>
      </w:r>
      <w:r>
        <w:t xml:space="preserve"> </w:t>
      </w:r>
      <m:oMath>
        <m:r>
          <m:t>M</m:t>
        </m:r>
        <m:r>
          <m:t>3</m:t>
        </m:r>
      </m:oMath>
      <w:r>
        <w:t xml:space="preserve">. Also, we can highlight a general trend that the ancestral species originated closer to the isthmus in the case of successful simulations compared to unsuccessful ones (Supp. Figure 3-4).</w:t>
      </w:r>
    </w:p>
    <w:p>
      <w:pPr>
        <w:pStyle w:val="BodyText"/>
      </w:pPr>
      <w:r>
        <w:t xml:space="preserve">Last, no difference in the diversity reached on the colonised area could be characterised between simulations based on their area of origin (Supp. Figure 1).</w:t>
      </w:r>
    </w:p>
    <w:bookmarkEnd w:id="36"/>
    <w:bookmarkStart w:id="37" w:name="biome"/>
    <w:p>
      <w:pPr>
        <w:pStyle w:val="Heading2"/>
      </w:pPr>
      <w:r>
        <w:t xml:space="preserve">Biome</w:t>
      </w:r>
    </w:p>
    <w:p>
      <w:r>
        <w:br w:type="page"/>
      </w:r>
    </w:p>
    <w:bookmarkEnd w:id="37"/>
    <w:bookmarkEnd w:id="38"/>
    <w:bookmarkStart w:id="42" w:name="discussion"/>
    <w:p>
      <w:pPr>
        <w:pStyle w:val="Heading1"/>
      </w:pPr>
      <w:r>
        <w:t xml:space="preserve">Discussion</w:t>
      </w:r>
    </w:p>
    <w:p>
      <w:pPr>
        <w:pStyle w:val="FirstParagraph"/>
      </w:pPr>
      <w:r>
        <w:t xml:space="preserve">Smoothing asymmetry =&gt; echo to birds</w:t>
      </w:r>
      <w:r>
        <w:rPr>
          <w:vertAlign w:val="superscript"/>
        </w:rPr>
        <w:t xml:space="preserve">37</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31</w:t>
      </w:r>
      <w:r>
        <w:t xml:space="preserve">. But here, we expect to find more species in South America, encompassing one of earth’s major and long-standing biodiversity hotspot – Amazonia</w:t>
      </w:r>
      <w:r>
        <w:rPr>
          <w:vertAlign w:val="superscript"/>
        </w:rPr>
        <w:t xml:space="preserve">38</w:t>
      </w:r>
      <w:r>
        <w:t xml:space="preserve"> </w:t>
      </w:r>
      <w:r>
        <w:t xml:space="preserve">– than in North America, though see Vrba.</w:t>
      </w:r>
    </w:p>
    <w:bookmarkStart w:id="39" w:name="climate"/>
    <w:p>
      <w:pPr>
        <w:pStyle w:val="Heading2"/>
      </w:pPr>
      <w:r>
        <w:t xml:space="preserve">Climate</w:t>
      </w:r>
    </w:p>
    <w:p>
      <w:pPr>
        <w:pStyle w:val="FirstParagraph"/>
      </w:pPr>
      <w:r>
        <w:t xml:space="preserve">One of the predictions of Vrba’s ressource-use hypotheses formulated in the framework of the habitat theory</w:t>
      </w:r>
      <w:r>
        <w:rPr>
          <w:vertAlign w:val="superscript"/>
        </w:rPr>
        <w:t xml:space="preserve">20</w:t>
      </w:r>
      <w:r>
        <w:t xml:space="preserve"> </w:t>
      </w:r>
      <w:r>
        <w:t xml:space="preserve">applied to the GABI is that tropical specialists, in the aftermath of the global cooling occurring in the Plio-Pleistocene boundary, would have naturally been attracted towards the equator, in turn actively promoting some North American mammal’s establishment in South America. On the other hand, fewer mammals – only biome generalists or open-habitat specialists – from South America are expected to roam the other way round. Our virtual experiments partially corroborate with these predictions, in the sense that tropical-adapted taxa of North American origin have a higher prevalence of crossing the isthmus than species belonging to other biomes (Figure X [biomes], model M0).</w:t>
      </w:r>
    </w:p>
    <w:p>
      <w:pPr>
        <w:pStyle w:val="BodyText"/>
      </w:pPr>
      <w:r>
        <w:t xml:space="preserve">Success in South America for temperate-adapted species, posited as the most successful, not recovered, with tropical meeting the gighest success</w:t>
      </w:r>
    </w:p>
    <w:p>
      <w:pPr>
        <w:pStyle w:val="BodyText"/>
      </w:pPr>
      <w:r>
        <w:t xml:space="preserve">Precipitation niche</w:t>
      </w:r>
      <w:r>
        <w:rPr>
          <w:vertAlign w:val="superscript"/>
        </w:rPr>
        <w:t xml:space="preserve">29</w:t>
      </w:r>
      <w:r>
        <w:t xml:space="preserve">.</w:t>
      </w:r>
      <w:r>
        <w:t xml:space="preserve"> </w:t>
      </w:r>
      <w:r>
        <w:t xml:space="preserve">Result of Figure 2C for</w:t>
      </w:r>
      <w:r>
        <w:t xml:space="preserve"> </w:t>
      </w:r>
      <m:oMath>
        <m:r>
          <m:t>M</m:t>
        </m:r>
        <m:r>
          <m:t>3</m:t>
        </m:r>
      </m:oMath>
      <w:r>
        <w:t xml:space="preserve"> </w:t>
      </w:r>
      <w:r>
        <w:t xml:space="preserve">can be related to tropical biome</w:t>
      </w:r>
    </w:p>
    <w:p>
      <w:pPr>
        <w:pStyle w:val="BodyText"/>
      </w:pPr>
      <w:r>
        <w:t xml:space="preserve">Tropical Niche Conservatism</w:t>
      </w:r>
    </w:p>
    <w:bookmarkEnd w:id="39"/>
    <w:bookmarkStart w:id="40"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39</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Temporality (red queen vs. court jester, Benton 2001) =&gt; favouring biotic ?</w:t>
      </w:r>
    </w:p>
    <w:p>
      <w:pPr>
        <w:pStyle w:val="BodyText"/>
      </w:pPr>
      <w:r>
        <w:t xml:space="preserve">Fortuitous experiment ?</w:t>
      </w:r>
    </w:p>
    <w:bookmarkEnd w:id="40"/>
    <w:bookmarkStart w:id="41" w:name="limitations-perspectives"/>
    <w:p>
      <w:pPr>
        <w:pStyle w:val="Heading2"/>
      </w:pPr>
      <w:r>
        <w:t xml:space="preserve">Limitations &amp; perspectives</w:t>
      </w:r>
    </w:p>
    <w:p>
      <w:pPr>
        <w:pStyle w:val="FirstParagraph"/>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41"/>
    <w:bookmarkEnd w:id="42"/>
    <w:bookmarkStart w:id="4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41</w:t>
      </w:r>
      <w:r>
        <w:t xml:space="preserve">.</w:t>
      </w:r>
    </w:p>
    <w:p>
      <w:pPr>
        <w:pStyle w:val="BodyText"/>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22,42</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43"/>
    <w:bookmarkStart w:id="127" w:name="references"/>
    <w:p>
      <w:pPr>
        <w:pStyle w:val="Heading1"/>
      </w:pPr>
      <w:r>
        <w:t xml:space="preserve">References</w:t>
      </w:r>
    </w:p>
    <w:bookmarkStart w:id="126" w:name="refs"/>
    <w:bookmarkStart w:id="45" w:name="ref-marshall1982"/>
    <w:p>
      <w:pPr>
        <w:pStyle w:val="Bibliography"/>
      </w:pPr>
      <w:r>
        <w:t xml:space="preserve">1.</w:t>
      </w:r>
      <w:r>
        <w:t xml:space="preserve"> </w:t>
      </w:r>
      <w:r>
        <w:t xml:space="preserve">	</w:t>
      </w:r>
      <w:r>
        <w:t xml:space="preserve">Marshall, L.G., Webb, S.D., Sepkoski, J.J., and Raup, D.M. (1982).</w:t>
      </w:r>
      <w:r>
        <w:t xml:space="preserve"> </w:t>
      </w:r>
      <w:hyperlink r:id="rId4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45"/>
    <w:bookmarkStart w:id="4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6">
        <w:r>
          <w:rPr>
            <w:rStyle w:val="Hyperlink"/>
          </w:rPr>
          <w:t xml:space="preserve">https://doi.org/10.1126/science.aaa2815</w:t>
        </w:r>
      </w:hyperlink>
      <w:r>
        <w:t xml:space="preserve">.</w:t>
      </w:r>
    </w:p>
    <w:bookmarkEnd w:id="47"/>
    <w:bookmarkStart w:id="49" w:name="ref-jaramillo2018"/>
    <w:p>
      <w:pPr>
        <w:pStyle w:val="Bibliography"/>
      </w:pPr>
      <w:r>
        <w:t xml:space="preserve">3.</w:t>
      </w:r>
      <w:r>
        <w:t xml:space="preserve"> </w:t>
      </w:r>
      <w:r>
        <w:t xml:space="preserve">	</w:t>
      </w:r>
      <w:r>
        <w:t xml:space="preserve">Jaramillo, C.A. (2018).</w:t>
      </w:r>
      <w:r>
        <w:t xml:space="preserve"> </w:t>
      </w:r>
      <w:hyperlink r:id="rId48">
        <w:r>
          <w:rPr>
            <w:rStyle w:val="Hyperlink"/>
          </w:rPr>
          <w:t xml:space="preserve">Evolution of the isthmus of panama: Biological, paleoceanographic and paleoclimatological implications</w:t>
        </w:r>
      </w:hyperlink>
      <w:r>
        <w:t xml:space="preserve">. In (John Wiley &amp; Sons).</w:t>
      </w:r>
    </w:p>
    <w:bookmarkEnd w:id="49"/>
    <w:bookmarkStart w:id="5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50">
        <w:r>
          <w:rPr>
            <w:rStyle w:val="Hyperlink"/>
          </w:rPr>
          <w:t xml:space="preserve">https://doi.org/10.1126/sciadv.1600883</w:t>
        </w:r>
      </w:hyperlink>
      <w:r>
        <w:t xml:space="preserve">.</w:t>
      </w:r>
    </w:p>
    <w:bookmarkEnd w:id="51"/>
    <w:bookmarkStart w:id="5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52">
        <w:r>
          <w:rPr>
            <w:rStyle w:val="Hyperlink"/>
          </w:rPr>
          <w:t xml:space="preserve">https://doi.org/10.1016/j.geobios.2006.09.005</w:t>
        </w:r>
      </w:hyperlink>
      <w:r>
        <w:t xml:space="preserve">.</w:t>
      </w:r>
    </w:p>
    <w:bookmarkEnd w:id="53"/>
    <w:bookmarkStart w:id="5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4">
        <w:r>
          <w:rPr>
            <w:rStyle w:val="Hyperlink"/>
          </w:rPr>
          <w:t xml:space="preserve">https://doi.org/10.1007/s10914-010-9144-8</w:t>
        </w:r>
      </w:hyperlink>
      <w:r>
        <w:t xml:space="preserve">.</w:t>
      </w:r>
    </w:p>
    <w:bookmarkEnd w:id="55"/>
    <w:bookmarkStart w:id="5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6">
        <w:r>
          <w:rPr>
            <w:rStyle w:val="Hyperlink"/>
          </w:rPr>
          <w:t xml:space="preserve">https://doi.org/10.1073/pnas.1423853112</w:t>
        </w:r>
      </w:hyperlink>
      <w:r>
        <w:t xml:space="preserve">.</w:t>
      </w:r>
    </w:p>
    <w:bookmarkEnd w:id="57"/>
    <w:bookmarkStart w:id="5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8">
        <w:r>
          <w:rPr>
            <w:rStyle w:val="Hyperlink"/>
          </w:rPr>
          <w:t xml:space="preserve">https://doi.org/10.1130/G37624.1</w:t>
        </w:r>
      </w:hyperlink>
      <w:r>
        <w:t xml:space="preserve">.</w:t>
      </w:r>
    </w:p>
    <w:bookmarkEnd w:id="59"/>
    <w:bookmarkStart w:id="61" w:name="ref-webb1976"/>
    <w:p>
      <w:pPr>
        <w:pStyle w:val="Bibliography"/>
      </w:pPr>
      <w:r>
        <w:t xml:space="preserve">9.</w:t>
      </w:r>
      <w:r>
        <w:t xml:space="preserve"> </w:t>
      </w:r>
      <w:r>
        <w:t xml:space="preserve">	</w:t>
      </w:r>
      <w:r>
        <w:t xml:space="preserve">Webb, S.D. (1976).</w:t>
      </w:r>
      <w:r>
        <w:t xml:space="preserve"> </w:t>
      </w:r>
      <w:hyperlink r:id="rId6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61"/>
    <w:bookmarkStart w:id="6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2">
        <w:r>
          <w:rPr>
            <w:rStyle w:val="Hyperlink"/>
          </w:rPr>
          <w:t xml:space="preserve">https://doi.org/10.1017/S0094837300010605</w:t>
        </w:r>
      </w:hyperlink>
      <w:r>
        <w:t xml:space="preserve">.</w:t>
      </w:r>
    </w:p>
    <w:bookmarkEnd w:id="63"/>
    <w:bookmarkStart w:id="6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64">
        <w:r>
          <w:rPr>
            <w:rStyle w:val="Hyperlink"/>
          </w:rPr>
          <w:t xml:space="preserve">The Great American Biotic Interchange: A South American Perspective</w:t>
        </w:r>
      </w:hyperlink>
      <w:r>
        <w:t xml:space="preserve"> </w:t>
      </w:r>
      <w:r>
        <w:t xml:space="preserve">(Springer Netherlands).</w:t>
      </w:r>
    </w:p>
    <w:bookmarkEnd w:id="65"/>
    <w:bookmarkStart w:id="6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6">
        <w:r>
          <w:rPr>
            <w:rStyle w:val="Hyperlink"/>
          </w:rPr>
          <w:t xml:space="preserve">https://doi.org/10.1073/pnas.2009397117</w:t>
        </w:r>
      </w:hyperlink>
      <w:r>
        <w:t xml:space="preserve">.</w:t>
      </w:r>
    </w:p>
    <w:bookmarkEnd w:id="67"/>
    <w:bookmarkStart w:id="6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8">
        <w:r>
          <w:rPr>
            <w:rStyle w:val="Hyperlink"/>
          </w:rPr>
          <w:t xml:space="preserve">https://doi.org/10.1146/annurev-earth-072619-060126</w:t>
        </w:r>
      </w:hyperlink>
      <w:r>
        <w:t xml:space="preserve">.</w:t>
      </w:r>
    </w:p>
    <w:bookmarkEnd w:id="69"/>
    <w:bookmarkStart w:id="7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70">
        <w:r>
          <w:rPr>
            <w:rStyle w:val="Hyperlink"/>
          </w:rPr>
          <w:t xml:space="preserve">https://doi.org/10.1126/science.adu0704</w:t>
        </w:r>
      </w:hyperlink>
      <w:r>
        <w:t xml:space="preserve">.</w:t>
      </w:r>
    </w:p>
    <w:bookmarkEnd w:id="71"/>
    <w:bookmarkStart w:id="7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72"/>
    <w:bookmarkStart w:id="7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3">
        <w:r>
          <w:rPr>
            <w:rStyle w:val="Hyperlink"/>
          </w:rPr>
          <w:t xml:space="preserve">https://doi.org/10.1038/s41598-020-58575-6</w:t>
        </w:r>
      </w:hyperlink>
      <w:r>
        <w:t xml:space="preserve">.</w:t>
      </w:r>
    </w:p>
    <w:bookmarkEnd w:id="74"/>
    <w:bookmarkStart w:id="7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5"/>
    <w:bookmarkStart w:id="7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6">
        <w:r>
          <w:rPr>
            <w:rStyle w:val="Hyperlink"/>
          </w:rPr>
          <w:t xml:space="preserve">https://doi.org/10.1111/geb.12504</w:t>
        </w:r>
      </w:hyperlink>
      <w:r>
        <w:t xml:space="preserve">.</w:t>
      </w:r>
    </w:p>
    <w:bookmarkEnd w:id="77"/>
    <w:bookmarkStart w:id="7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8">
        <w:r>
          <w:rPr>
            <w:rStyle w:val="Hyperlink"/>
          </w:rPr>
          <w:t xml:space="preserve">https://doi.org/10.1111/pala.70012</w:t>
        </w:r>
      </w:hyperlink>
      <w:r>
        <w:t xml:space="preserve">.</w:t>
      </w:r>
    </w:p>
    <w:bookmarkEnd w:id="79"/>
    <w:bookmarkStart w:id="8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80">
        <w:r>
          <w:rPr>
            <w:rStyle w:val="Hyperlink"/>
          </w:rPr>
          <w:t xml:space="preserve">https://doi.org/10.2307/1381862</w:t>
        </w:r>
      </w:hyperlink>
      <w:r>
        <w:t xml:space="preserve">.</w:t>
      </w:r>
    </w:p>
    <w:bookmarkEnd w:id="81"/>
    <w:bookmarkStart w:id="8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2">
        <w:r>
          <w:rPr>
            <w:rStyle w:val="Hyperlink"/>
          </w:rPr>
          <w:t xml:space="preserve">https://doi.org/10.1007/s10914-011-9175-9</w:t>
        </w:r>
      </w:hyperlink>
      <w:r>
        <w:t xml:space="preserve">.</w:t>
      </w:r>
    </w:p>
    <w:bookmarkEnd w:id="83"/>
    <w:bookmarkStart w:id="8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4">
        <w:r>
          <w:rPr>
            <w:rStyle w:val="Hyperlink"/>
          </w:rPr>
          <w:t xml:space="preserve">https://doi.org/10.1038/s41598-022-05266-z</w:t>
        </w:r>
      </w:hyperlink>
      <w:r>
        <w:t xml:space="preserve">.</w:t>
      </w:r>
    </w:p>
    <w:bookmarkEnd w:id="85"/>
    <w:bookmarkStart w:id="8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6">
        <w:r>
          <w:rPr>
            <w:rStyle w:val="Hyperlink"/>
          </w:rPr>
          <w:t xml:space="preserve">https://doi.org/10.3390/d17030153</w:t>
        </w:r>
      </w:hyperlink>
      <w:r>
        <w:t xml:space="preserve">.</w:t>
      </w:r>
    </w:p>
    <w:bookmarkEnd w:id="87"/>
    <w:bookmarkStart w:id="8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8">
        <w:r>
          <w:rPr>
            <w:rStyle w:val="Hyperlink"/>
          </w:rPr>
          <w:t xml:space="preserve">https://doi.org/10.1038/s44185-024-00045-7</w:t>
        </w:r>
      </w:hyperlink>
      <w:r>
        <w:t xml:space="preserve">.</w:t>
      </w:r>
    </w:p>
    <w:bookmarkEnd w:id="89"/>
    <w:bookmarkStart w:id="9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0">
        <w:r>
          <w:rPr>
            <w:rStyle w:val="Hyperlink"/>
          </w:rPr>
          <w:t xml:space="preserve">https://doi.org/10.1126/sciadv.abj2271</w:t>
        </w:r>
      </w:hyperlink>
      <w:r>
        <w:t xml:space="preserve">.</w:t>
      </w:r>
    </w:p>
    <w:bookmarkEnd w:id="91"/>
    <w:bookmarkStart w:id="9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2">
        <w:r>
          <w:rPr>
            <w:rStyle w:val="Hyperlink"/>
          </w:rPr>
          <w:t xml:space="preserve">https://doi.org/10.1111/ecog.06132</w:t>
        </w:r>
      </w:hyperlink>
      <w:r>
        <w:t xml:space="preserve">.</w:t>
      </w:r>
    </w:p>
    <w:bookmarkEnd w:id="93"/>
    <w:bookmarkStart w:id="9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4">
        <w:r>
          <w:rPr>
            <w:rStyle w:val="Hyperlink"/>
          </w:rPr>
          <w:t xml:space="preserve">https://doi.org/10.1371/journal.pbio.3001340</w:t>
        </w:r>
      </w:hyperlink>
      <w:r>
        <w:t xml:space="preserve">.</w:t>
      </w:r>
    </w:p>
    <w:bookmarkEnd w:id="95"/>
    <w:bookmarkStart w:id="97" w:name="ref-hagen2021b"/>
    <w:p>
      <w:pPr>
        <w:pStyle w:val="Bibliography"/>
      </w:pPr>
      <w:r>
        <w:t xml:space="preserve">28.</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6">
        <w:r>
          <w:rPr>
            <w:rStyle w:val="Hyperlink"/>
          </w:rPr>
          <w:t xml:space="preserve">https://doi.org/10.1073/pnas.2026347118</w:t>
        </w:r>
      </w:hyperlink>
      <w:r>
        <w:t xml:space="preserve">.</w:t>
      </w:r>
    </w:p>
    <w:bookmarkEnd w:id="97"/>
    <w:bookmarkStart w:id="99" w:name="ref-skeels2023b"/>
    <w:p>
      <w:pPr>
        <w:pStyle w:val="Bibliography"/>
      </w:pPr>
      <w:r>
        <w:t xml:space="preserve">29.</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8">
        <w:r>
          <w:rPr>
            <w:rStyle w:val="Hyperlink"/>
          </w:rPr>
          <w:t xml:space="preserve">https://doi.org/10.1126/science.adf7122</w:t>
        </w:r>
      </w:hyperlink>
      <w:r>
        <w:t xml:space="preserve">.</w:t>
      </w:r>
    </w:p>
    <w:bookmarkEnd w:id="99"/>
    <w:bookmarkStart w:id="101" w:name="ref-boschman2023"/>
    <w:p>
      <w:pPr>
        <w:pStyle w:val="Bibliography"/>
      </w:pPr>
      <w:r>
        <w:t xml:space="preserve">30.</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0">
        <w:r>
          <w:rPr>
            <w:rStyle w:val="Hyperlink"/>
          </w:rPr>
          <w:t xml:space="preserve">https://doi.org/10.1038/s41559-023-02220-8</w:t>
        </w:r>
      </w:hyperlink>
      <w:r>
        <w:t xml:space="preserve">.</w:t>
      </w:r>
    </w:p>
    <w:bookmarkEnd w:id="101"/>
    <w:bookmarkStart w:id="103" w:name="ref-skeels2023"/>
    <w:p>
      <w:pPr>
        <w:pStyle w:val="Bibliography"/>
      </w:pPr>
      <w:r>
        <w:t xml:space="preserve">31.</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2">
        <w:r>
          <w:rPr>
            <w:rStyle w:val="Hyperlink"/>
          </w:rPr>
          <w:t xml:space="preserve">https://doi.org/10.1093/sysbio/syac048</w:t>
        </w:r>
      </w:hyperlink>
      <w:r>
        <w:t xml:space="preserve">.</w:t>
      </w:r>
    </w:p>
    <w:bookmarkEnd w:id="103"/>
    <w:bookmarkStart w:id="105" w:name="ref-liu2024"/>
    <w:p>
      <w:pPr>
        <w:pStyle w:val="Bibliography"/>
      </w:pPr>
      <w:r>
        <w:t xml:space="preserve">32.</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4">
        <w:r>
          <w:rPr>
            <w:rStyle w:val="Hyperlink"/>
          </w:rPr>
          <w:t xml:space="preserve">https://doi.org/10.1126/science.adi0833</w:t>
        </w:r>
      </w:hyperlink>
      <w:r>
        <w:t xml:space="preserve">.</w:t>
      </w:r>
    </w:p>
    <w:bookmarkEnd w:id="105"/>
    <w:bookmarkStart w:id="107" w:name="ref-holden2019"/>
    <w:p>
      <w:pPr>
        <w:pStyle w:val="Bibliography"/>
      </w:pPr>
      <w:r>
        <w:t xml:space="preserve">33.</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6">
        <w:r>
          <w:rPr>
            <w:rStyle w:val="Hyperlink"/>
          </w:rPr>
          <w:t xml:space="preserve">https://doi.org/10.5194/gmd-12-5137-2019</w:t>
        </w:r>
      </w:hyperlink>
      <w:r>
        <w:t xml:space="preserve">.</w:t>
      </w:r>
    </w:p>
    <w:bookmarkEnd w:id="107"/>
    <w:bookmarkStart w:id="109" w:name="ref-barreto2023"/>
    <w:p>
      <w:pPr>
        <w:pStyle w:val="Bibliography"/>
      </w:pPr>
      <w:r>
        <w:t xml:space="preserve">34.</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8">
        <w:r>
          <w:rPr>
            <w:rStyle w:val="Hyperlink"/>
          </w:rPr>
          <w:t xml:space="preserve">https://doi.org/10.1111/geb.13683</w:t>
        </w:r>
      </w:hyperlink>
      <w:r>
        <w:t xml:space="preserve">.</w:t>
      </w:r>
    </w:p>
    <w:bookmarkEnd w:id="109"/>
    <w:bookmarkStart w:id="111" w:name="ref-galván2023"/>
    <w:p>
      <w:pPr>
        <w:pStyle w:val="Bibliography"/>
      </w:pPr>
      <w:r>
        <w:t xml:space="preserve">35.</w:t>
      </w:r>
      <w:r>
        <w:t xml:space="preserve"> </w:t>
      </w:r>
      <w:r>
        <w:t xml:space="preserve">	</w:t>
      </w:r>
      <w:r>
        <w:t xml:space="preserve">Galván, S., Gamboa, S., and Varela, S. (2023).</w:t>
      </w:r>
      <w:r>
        <w:t xml:space="preserve"> </w:t>
      </w:r>
      <w:hyperlink r:id="rId110">
        <w:r>
          <w:rPr>
            <w:rStyle w:val="Hyperlink"/>
          </w:rPr>
          <w:t xml:space="preserve">Köppen Geiger climatic classification for R users.</w:t>
        </w:r>
      </w:hyperlink>
    </w:p>
    <w:bookmarkEnd w:id="111"/>
    <w:bookmarkStart w:id="113" w:name="ref-obrien2023"/>
    <w:p>
      <w:pPr>
        <w:pStyle w:val="Bibliography"/>
      </w:pPr>
      <w:r>
        <w:t xml:space="preserve">36.</w:t>
      </w:r>
      <w:r>
        <w:t xml:space="preserve"> </w:t>
      </w:r>
      <w:r>
        <w:t xml:space="preserve">	</w:t>
      </w:r>
      <w:r>
        <w:t xml:space="preserve">O’Brien, L. (2023).</w:t>
      </w:r>
      <w:r>
        <w:t xml:space="preserve"> </w:t>
      </w:r>
      <w:hyperlink r:id="rId112">
        <w:r>
          <w:rPr>
            <w:rStyle w:val="Hyperlink"/>
          </w:rPr>
          <w:t xml:space="preserve">h3jsr: Access uber’s H3 library</w:t>
        </w:r>
      </w:hyperlink>
      <w:r>
        <w:t xml:space="preserve">.</w:t>
      </w:r>
    </w:p>
    <w:bookmarkEnd w:id="113"/>
    <w:bookmarkStart w:id="115" w:name="ref-weir2009"/>
    <w:p>
      <w:pPr>
        <w:pStyle w:val="Bibliography"/>
      </w:pPr>
      <w:r>
        <w:t xml:space="preserve">37.</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14">
        <w:r>
          <w:rPr>
            <w:rStyle w:val="Hyperlink"/>
          </w:rPr>
          <w:t xml:space="preserve">https://doi.org/10.1073/pnas.0903811106</w:t>
        </w:r>
      </w:hyperlink>
      <w:r>
        <w:t xml:space="preserve">.</w:t>
      </w:r>
    </w:p>
    <w:bookmarkEnd w:id="115"/>
    <w:bookmarkStart w:id="117" w:name="ref-antonelli2018"/>
    <w:p>
      <w:pPr>
        <w:pStyle w:val="Bibliography"/>
      </w:pPr>
      <w:r>
        <w:t xml:space="preserve">38.</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16">
        <w:r>
          <w:rPr>
            <w:rStyle w:val="Hyperlink"/>
          </w:rPr>
          <w:t xml:space="preserve">https://doi.org/10.1038/s41561-018-0236-z</w:t>
        </w:r>
      </w:hyperlink>
      <w:r>
        <w:t xml:space="preserve">.</w:t>
      </w:r>
    </w:p>
    <w:bookmarkEnd w:id="117"/>
    <w:bookmarkStart w:id="119" w:name="ref-motta2025"/>
    <w:p>
      <w:pPr>
        <w:pStyle w:val="Bibliography"/>
      </w:pPr>
      <w:r>
        <w:t xml:space="preserve">39.</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8">
        <w:r>
          <w:rPr>
            <w:rStyle w:val="Hyperlink"/>
          </w:rPr>
          <w:t xml:space="preserve">https://doi.org/10.1016/j.palaeo.2025.112905</w:t>
        </w:r>
      </w:hyperlink>
      <w:r>
        <w:t xml:space="preserve">.</w:t>
      </w:r>
    </w:p>
    <w:bookmarkEnd w:id="119"/>
    <w:bookmarkStart w:id="121" w:name="ref-couvreur2011"/>
    <w:p>
      <w:pPr>
        <w:pStyle w:val="Bibliography"/>
      </w:pPr>
      <w:r>
        <w:t xml:space="preserve">40.</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0">
        <w:r>
          <w:rPr>
            <w:rStyle w:val="Hyperlink"/>
          </w:rPr>
          <w:t xml:space="preserve">https://doi.org/10.1111/j.1365-2699.2010.02434.x</w:t>
        </w:r>
      </w:hyperlink>
      <w:r>
        <w:t xml:space="preserve">.</w:t>
      </w:r>
    </w:p>
    <w:bookmarkEnd w:id="121"/>
    <w:bookmarkStart w:id="123" w:name="ref-upchurch2024"/>
    <w:p>
      <w:pPr>
        <w:pStyle w:val="Bibliography"/>
      </w:pPr>
      <w:r>
        <w:t xml:space="preserve">41.</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2">
        <w:r>
          <w:rPr>
            <w:rStyle w:val="Hyperlink"/>
          </w:rPr>
          <w:t xml:space="preserve">https://doi.org/10.1098/rsbl.2024.0429</w:t>
        </w:r>
      </w:hyperlink>
      <w:r>
        <w:t xml:space="preserve">.</w:t>
      </w:r>
    </w:p>
    <w:bookmarkEnd w:id="123"/>
    <w:bookmarkStart w:id="125"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24">
        <w:r>
          <w:rPr>
            <w:rStyle w:val="Hyperlink"/>
          </w:rPr>
          <w:t xml:space="preserve">https://doi.org/10.1016/j.gloplacha.2022.103758</w:t>
        </w:r>
      </w:hyperlink>
      <w:r>
        <w:t xml:space="preserve">.</w:t>
      </w:r>
    </w:p>
    <w:bookmarkEnd w:id="125"/>
    <w:bookmarkEnd w:id="126"/>
    <w:bookmarkEnd w:id="127"/>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hyperlink" Id="rId48" Target="http://repository.si.edu/xmlui/handle/10088/35473" TargetMode="External" /><Relationship Type="http://schemas.openxmlformats.org/officeDocument/2006/relationships/hyperlink" Id="rId112" Target="https://CRAN.R-project.org/package=h3jsr" TargetMode="External" /><Relationship Type="http://schemas.openxmlformats.org/officeDocument/2006/relationships/hyperlink" Id="rId54" Target="https://doi.org/10.1007/s10914-010-9144-8" TargetMode="External" /><Relationship Type="http://schemas.openxmlformats.org/officeDocument/2006/relationships/hyperlink" Id="rId82" Target="https://doi.org/10.1007/s10914-011-9175-9" TargetMode="External" /><Relationship Type="http://schemas.openxmlformats.org/officeDocument/2006/relationships/hyperlink" Id="rId52" Target="https://doi.org/10.1016/j.geobios.2006.09.005" TargetMode="External" /><Relationship Type="http://schemas.openxmlformats.org/officeDocument/2006/relationships/hyperlink" Id="rId124" Target="https://doi.org/10.1016/j.gloplacha.2022.103758" TargetMode="External" /><Relationship Type="http://schemas.openxmlformats.org/officeDocument/2006/relationships/hyperlink" Id="rId118" Target="https://doi.org/10.1016/j.palaeo.2025.112905" TargetMode="External" /><Relationship Type="http://schemas.openxmlformats.org/officeDocument/2006/relationships/hyperlink" Id="rId62" Target="https://doi.org/10.1017/S0094837300010605" TargetMode="External" /><Relationship Type="http://schemas.openxmlformats.org/officeDocument/2006/relationships/hyperlink" Id="rId100" Target="https://doi.org/10.1038/s41559-023-02220-8" TargetMode="External" /><Relationship Type="http://schemas.openxmlformats.org/officeDocument/2006/relationships/hyperlink" Id="rId116" Target="https://doi.org/10.1038/s41561-018-0236-z" TargetMode="External" /><Relationship Type="http://schemas.openxmlformats.org/officeDocument/2006/relationships/hyperlink" Id="rId73" Target="https://doi.org/10.1038/s41598-020-58575-6" TargetMode="External" /><Relationship Type="http://schemas.openxmlformats.org/officeDocument/2006/relationships/hyperlink" Id="rId84" Target="https://doi.org/10.1038/s41598-022-05266-z" TargetMode="External" /><Relationship Type="http://schemas.openxmlformats.org/officeDocument/2006/relationships/hyperlink" Id="rId88" Target="https://doi.org/10.1038/s44185-024-00045-7" TargetMode="External" /><Relationship Type="http://schemas.openxmlformats.org/officeDocument/2006/relationships/hyperlink" Id="rId114" Target="https://doi.org/10.1073/pnas.0903811106" TargetMode="External" /><Relationship Type="http://schemas.openxmlformats.org/officeDocument/2006/relationships/hyperlink" Id="rId56" Target="https://doi.org/10.1073/pnas.1423853112" TargetMode="External" /><Relationship Type="http://schemas.openxmlformats.org/officeDocument/2006/relationships/hyperlink" Id="rId66" Target="https://doi.org/10.1073/pnas.2009397117" TargetMode="External" /><Relationship Type="http://schemas.openxmlformats.org/officeDocument/2006/relationships/hyperlink" Id="rId96" Target="https://doi.org/10.1073/pnas.2026347118" TargetMode="External" /><Relationship Type="http://schemas.openxmlformats.org/officeDocument/2006/relationships/hyperlink" Id="rId102" Target="https://doi.org/10.1093/sysbio/syac048" TargetMode="External" /><Relationship Type="http://schemas.openxmlformats.org/officeDocument/2006/relationships/hyperlink" Id="rId122" Target="https://doi.org/10.1098/rsbl.2024.0429" TargetMode="External" /><Relationship Type="http://schemas.openxmlformats.org/officeDocument/2006/relationships/hyperlink" Id="rId92" Target="https://doi.org/10.1111/ecog.06132" TargetMode="External" /><Relationship Type="http://schemas.openxmlformats.org/officeDocument/2006/relationships/hyperlink" Id="rId76" Target="https://doi.org/10.1111/geb.12504" TargetMode="External" /><Relationship Type="http://schemas.openxmlformats.org/officeDocument/2006/relationships/hyperlink" Id="rId108" Target="https://doi.org/10.1111/geb.13683" TargetMode="External" /><Relationship Type="http://schemas.openxmlformats.org/officeDocument/2006/relationships/hyperlink" Id="rId120" Target="https://doi.org/10.1111/j.1365-2699.2010.02434.x" TargetMode="External" /><Relationship Type="http://schemas.openxmlformats.org/officeDocument/2006/relationships/hyperlink" Id="rId78" Target="https://doi.org/10.1111/pala.70012" TargetMode="External" /><Relationship Type="http://schemas.openxmlformats.org/officeDocument/2006/relationships/hyperlink" Id="rId50" Target="https://doi.org/10.1126/sciadv.1600883" TargetMode="External" /><Relationship Type="http://schemas.openxmlformats.org/officeDocument/2006/relationships/hyperlink" Id="rId90" Target="https://doi.org/10.1126/sciadv.abj2271" TargetMode="External" /><Relationship Type="http://schemas.openxmlformats.org/officeDocument/2006/relationships/hyperlink" Id="rId46" Target="https://doi.org/10.1126/science.aaa2815" TargetMode="External" /><Relationship Type="http://schemas.openxmlformats.org/officeDocument/2006/relationships/hyperlink" Id="rId98" Target="https://doi.org/10.1126/science.adf7122" TargetMode="External" /><Relationship Type="http://schemas.openxmlformats.org/officeDocument/2006/relationships/hyperlink" Id="rId104" Target="https://doi.org/10.1126/science.adi0833" TargetMode="External" /><Relationship Type="http://schemas.openxmlformats.org/officeDocument/2006/relationships/hyperlink" Id="rId70" Target="https://doi.org/10.1126/science.adu0704" TargetMode="External" /><Relationship Type="http://schemas.openxmlformats.org/officeDocument/2006/relationships/hyperlink" Id="rId58" Target="https://doi.org/10.1130/G37624.1" TargetMode="External" /><Relationship Type="http://schemas.openxmlformats.org/officeDocument/2006/relationships/hyperlink" Id="rId68" Target="https://doi.org/10.1146/annurev-earth-072619-060126" TargetMode="External" /><Relationship Type="http://schemas.openxmlformats.org/officeDocument/2006/relationships/hyperlink" Id="rId94" Target="https://doi.org/10.1371/journal.pbio.3001340" TargetMode="External" /><Relationship Type="http://schemas.openxmlformats.org/officeDocument/2006/relationships/hyperlink" Id="rId80" Target="https://doi.org/10.2307/1381862" TargetMode="External" /><Relationship Type="http://schemas.openxmlformats.org/officeDocument/2006/relationships/hyperlink" Id="rId86" Target="https://doi.org/10.3390/d17030153" TargetMode="External" /><Relationship Type="http://schemas.openxmlformats.org/officeDocument/2006/relationships/hyperlink" Id="rId106" Target="https://doi.org/10.5194/gmd-12-5137-2019" TargetMode="External" /><Relationship Type="http://schemas.openxmlformats.org/officeDocument/2006/relationships/hyperlink" Id="rId110" Target="https://eartharxiv.org/repository/view/6269/" TargetMode="External" /><Relationship Type="http://schemas.openxmlformats.org/officeDocument/2006/relationships/hyperlink" Id="rId64" Target="https://link.springer.com/10.1007/978-94-017-9792-4" TargetMode="External" /><Relationship Type="http://schemas.openxmlformats.org/officeDocument/2006/relationships/hyperlink" Id="rId44" Target="https://www.jstor.org/stable/1688046" TargetMode="External" /><Relationship Type="http://schemas.openxmlformats.org/officeDocument/2006/relationships/hyperlink" Id="rId6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8" Target="http://repository.si.edu/xmlui/handle/10088/35473" TargetMode="External" /><Relationship Type="http://schemas.openxmlformats.org/officeDocument/2006/relationships/hyperlink" Id="rId112" Target="https://CRAN.R-project.org/package=h3jsr" TargetMode="External" /><Relationship Type="http://schemas.openxmlformats.org/officeDocument/2006/relationships/hyperlink" Id="rId54" Target="https://doi.org/10.1007/s10914-010-9144-8" TargetMode="External" /><Relationship Type="http://schemas.openxmlformats.org/officeDocument/2006/relationships/hyperlink" Id="rId82" Target="https://doi.org/10.1007/s10914-011-9175-9" TargetMode="External" /><Relationship Type="http://schemas.openxmlformats.org/officeDocument/2006/relationships/hyperlink" Id="rId52" Target="https://doi.org/10.1016/j.geobios.2006.09.005" TargetMode="External" /><Relationship Type="http://schemas.openxmlformats.org/officeDocument/2006/relationships/hyperlink" Id="rId124" Target="https://doi.org/10.1016/j.gloplacha.2022.103758" TargetMode="External" /><Relationship Type="http://schemas.openxmlformats.org/officeDocument/2006/relationships/hyperlink" Id="rId118" Target="https://doi.org/10.1016/j.palaeo.2025.112905" TargetMode="External" /><Relationship Type="http://schemas.openxmlformats.org/officeDocument/2006/relationships/hyperlink" Id="rId62" Target="https://doi.org/10.1017/S0094837300010605" TargetMode="External" /><Relationship Type="http://schemas.openxmlformats.org/officeDocument/2006/relationships/hyperlink" Id="rId100" Target="https://doi.org/10.1038/s41559-023-02220-8" TargetMode="External" /><Relationship Type="http://schemas.openxmlformats.org/officeDocument/2006/relationships/hyperlink" Id="rId116" Target="https://doi.org/10.1038/s41561-018-0236-z" TargetMode="External" /><Relationship Type="http://schemas.openxmlformats.org/officeDocument/2006/relationships/hyperlink" Id="rId73" Target="https://doi.org/10.1038/s41598-020-58575-6" TargetMode="External" /><Relationship Type="http://schemas.openxmlformats.org/officeDocument/2006/relationships/hyperlink" Id="rId84" Target="https://doi.org/10.1038/s41598-022-05266-z" TargetMode="External" /><Relationship Type="http://schemas.openxmlformats.org/officeDocument/2006/relationships/hyperlink" Id="rId88" Target="https://doi.org/10.1038/s44185-024-00045-7" TargetMode="External" /><Relationship Type="http://schemas.openxmlformats.org/officeDocument/2006/relationships/hyperlink" Id="rId114" Target="https://doi.org/10.1073/pnas.0903811106" TargetMode="External" /><Relationship Type="http://schemas.openxmlformats.org/officeDocument/2006/relationships/hyperlink" Id="rId56" Target="https://doi.org/10.1073/pnas.1423853112" TargetMode="External" /><Relationship Type="http://schemas.openxmlformats.org/officeDocument/2006/relationships/hyperlink" Id="rId66" Target="https://doi.org/10.1073/pnas.2009397117" TargetMode="External" /><Relationship Type="http://schemas.openxmlformats.org/officeDocument/2006/relationships/hyperlink" Id="rId96" Target="https://doi.org/10.1073/pnas.2026347118" TargetMode="External" /><Relationship Type="http://schemas.openxmlformats.org/officeDocument/2006/relationships/hyperlink" Id="rId102" Target="https://doi.org/10.1093/sysbio/syac048" TargetMode="External" /><Relationship Type="http://schemas.openxmlformats.org/officeDocument/2006/relationships/hyperlink" Id="rId122" Target="https://doi.org/10.1098/rsbl.2024.0429" TargetMode="External" /><Relationship Type="http://schemas.openxmlformats.org/officeDocument/2006/relationships/hyperlink" Id="rId92" Target="https://doi.org/10.1111/ecog.06132" TargetMode="External" /><Relationship Type="http://schemas.openxmlformats.org/officeDocument/2006/relationships/hyperlink" Id="rId76" Target="https://doi.org/10.1111/geb.12504" TargetMode="External" /><Relationship Type="http://schemas.openxmlformats.org/officeDocument/2006/relationships/hyperlink" Id="rId108" Target="https://doi.org/10.1111/geb.13683" TargetMode="External" /><Relationship Type="http://schemas.openxmlformats.org/officeDocument/2006/relationships/hyperlink" Id="rId120" Target="https://doi.org/10.1111/j.1365-2699.2010.02434.x" TargetMode="External" /><Relationship Type="http://schemas.openxmlformats.org/officeDocument/2006/relationships/hyperlink" Id="rId78" Target="https://doi.org/10.1111/pala.70012" TargetMode="External" /><Relationship Type="http://schemas.openxmlformats.org/officeDocument/2006/relationships/hyperlink" Id="rId50" Target="https://doi.org/10.1126/sciadv.1600883" TargetMode="External" /><Relationship Type="http://schemas.openxmlformats.org/officeDocument/2006/relationships/hyperlink" Id="rId90" Target="https://doi.org/10.1126/sciadv.abj2271" TargetMode="External" /><Relationship Type="http://schemas.openxmlformats.org/officeDocument/2006/relationships/hyperlink" Id="rId46" Target="https://doi.org/10.1126/science.aaa2815" TargetMode="External" /><Relationship Type="http://schemas.openxmlformats.org/officeDocument/2006/relationships/hyperlink" Id="rId98" Target="https://doi.org/10.1126/science.adf7122" TargetMode="External" /><Relationship Type="http://schemas.openxmlformats.org/officeDocument/2006/relationships/hyperlink" Id="rId104" Target="https://doi.org/10.1126/science.adi0833" TargetMode="External" /><Relationship Type="http://schemas.openxmlformats.org/officeDocument/2006/relationships/hyperlink" Id="rId70" Target="https://doi.org/10.1126/science.adu0704" TargetMode="External" /><Relationship Type="http://schemas.openxmlformats.org/officeDocument/2006/relationships/hyperlink" Id="rId58" Target="https://doi.org/10.1130/G37624.1" TargetMode="External" /><Relationship Type="http://schemas.openxmlformats.org/officeDocument/2006/relationships/hyperlink" Id="rId68" Target="https://doi.org/10.1146/annurev-earth-072619-060126" TargetMode="External" /><Relationship Type="http://schemas.openxmlformats.org/officeDocument/2006/relationships/hyperlink" Id="rId94" Target="https://doi.org/10.1371/journal.pbio.3001340" TargetMode="External" /><Relationship Type="http://schemas.openxmlformats.org/officeDocument/2006/relationships/hyperlink" Id="rId80" Target="https://doi.org/10.2307/1381862" TargetMode="External" /><Relationship Type="http://schemas.openxmlformats.org/officeDocument/2006/relationships/hyperlink" Id="rId86" Target="https://doi.org/10.3390/d17030153" TargetMode="External" /><Relationship Type="http://schemas.openxmlformats.org/officeDocument/2006/relationships/hyperlink" Id="rId106" Target="https://doi.org/10.5194/gmd-12-5137-2019" TargetMode="External" /><Relationship Type="http://schemas.openxmlformats.org/officeDocument/2006/relationships/hyperlink" Id="rId110" Target="https://eartharxiv.org/repository/view/6269/" TargetMode="External" /><Relationship Type="http://schemas.openxmlformats.org/officeDocument/2006/relationships/hyperlink" Id="rId64" Target="https://link.springer.com/10.1007/978-94-017-9792-4" TargetMode="External" /><Relationship Type="http://schemas.openxmlformats.org/officeDocument/2006/relationships/hyperlink" Id="rId44" Target="https://www.jstor.org/stable/1688046" TargetMode="External" /><Relationship Type="http://schemas.openxmlformats.org/officeDocument/2006/relationships/hyperlink" Id="rId6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2025-09-19T13:19:36Z</dcterms:created>
  <dcterms:modified xsi:type="dcterms:W3CDTF">2025-09-19T13:19:36Z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