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136.png" ContentType="image/png"/>
  <Override PartName="/word/media/rId140.png" ContentType="image/png"/>
  <Override PartName="/word/media/rId1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contrasting with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rPr>
          <w:vertAlign w:val="superscript"/>
        </w:rPr>
        <w:t xml:space="preserve">1</w:t>
      </w:r>
      <w:r>
        <w:t xml:space="preserve">. Though the exact timing of the closure of the isthmus is still debated</w:t>
      </w:r>
      <w:r>
        <w:rPr>
          <w:vertAlign w:val="superscript"/>
        </w:rP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Million years ago (Ma) onwards</w:t>
      </w:r>
      <w:r>
        <w:rPr>
          <w:vertAlign w:val="superscript"/>
        </w:rP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1,9</w:t>
      </w:r>
      <w:r>
        <w:t xml:space="preserve">. However, during the Quaternary, the ability of migrant lineages to maintain in the foreign area became greater in South America, and many native South American mammal lineages concomitantly declined, some of which even going totally extinct</w:t>
      </w:r>
      <w:r>
        <w:rPr>
          <w:vertAlign w:val="superscript"/>
        </w:rP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9,15,16</w:t>
      </w:r>
      <w:r>
        <w:t xml:space="preserve"> </w:t>
      </w:r>
      <w:r>
        <w:t xml:space="preserve">or predation of predator-naive preys</w:t>
      </w:r>
      <w:r>
        <w:rPr>
          <w:vertAlign w:val="superscript"/>
        </w:rPr>
        <w:t xml:space="preserve">9,17–19</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20,21–23</w:t>
      </w:r>
      <w:r>
        <w:t xml:space="preserve">. On the other hand, several studies proposed or found support for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rPr>
          <w:vertAlign w:val="superscript"/>
        </w:rPr>
        <w:t xml:space="preserve">8,10,</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17,20,24</w:t>
      </w:r>
      <w:r>
        <w:t xml:space="preserve">. However, so far, most of these works have only relied on statistical analyses of the fossil record, and there is a lack of studies tackling the issue from a mechanistic perspective.</w:t>
      </w:r>
    </w:p>
    <w:p>
      <w:pPr>
        <w:pStyle w:val="BodyText"/>
      </w:pPr>
      <w:r>
        <w:t xml:space="preserve">Recent improvements in process-explicit modelling have marked a turning point in the study of biodiversity</w:t>
      </w:r>
      <w:r>
        <w:rPr>
          <w:vertAlign w:val="superscript"/>
        </w:rP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26</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27,28</w:t>
      </w:r>
      <w:r>
        <w:t xml:space="preserve">, the diversity desequilibrium between tropical rainforests across the globe</w:t>
      </w:r>
      <w:r>
        <w:rPr>
          <w:vertAlign w:val="superscript"/>
        </w:rPr>
        <w:t xml:space="preserve">29</w:t>
      </w:r>
      <w:r>
        <w:t xml:space="preserve">, the build-up of the unique biodiversity along the Wallace line</w:t>
      </w:r>
      <w:r>
        <w:rPr>
          <w:vertAlign w:val="superscript"/>
        </w:rPr>
        <w:t xml:space="preserve">30</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31,32,33</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round, (ii) successful simulations starting from a North American ancestor would result in a more diverse and spatially spread radiation in the foreign continent and (iii) temperate-adapted species from North America would be the more successful, according to the historical predictions of Webb, Marshall and Simpson.</w:t>
      </w:r>
    </w:p>
    <w:p>
      <w:r>
        <w:br w:type="page"/>
      </w:r>
    </w:p>
    <w:bookmarkEnd w:id="22"/>
    <w:bookmarkStart w:id="26" w:name="results"/>
    <w:p>
      <w:pPr>
        <w:pStyle w:val="Heading1"/>
      </w:pPr>
      <w:r>
        <w:t xml:space="preserve">Results</w:t>
      </w:r>
    </w:p>
    <w:bookmarkStart w:id="23" w:name="Xed4bd03a92b5751ca77f2e414fb8e8b12710b4e"/>
    <w:p>
      <w:pPr>
        <w:pStyle w:val="Heading2"/>
      </w:pPr>
      <w:r>
        <w:t xml:space="preserve">Climate makes it easier to reach North America from South America than the other way around</w:t>
      </w:r>
    </w:p>
    <w:p>
      <w:pPr>
        <w:pStyle w:val="FirstParagraph"/>
      </w:pPr>
      <w:r>
        <w:t xml:space="preserve">The contribution of palaeoclimate to the biogeographic asymmetry of the Great American Biotic Interchange (GABI) was tested in a simulation-based framework relying on gen3sis v1.5.11, a mechanistic eco-evolutionary simulator</w:t>
      </w:r>
      <w:r>
        <w:rPr>
          <w:vertAlign w:val="superscript"/>
        </w:rPr>
        <w:t xml:space="preserve">27</w:t>
      </w:r>
      <w:r>
        <w:t xml:space="preserve">, incorporating palaeoclimatic layers (annual temperature and precipitation) covering the last 5 million years generated by the PALEO-PGEM emulator</w:t>
      </w:r>
      <w:r>
        <w:rPr>
          <w:vertAlign w:val="superscript"/>
        </w:rPr>
        <w:t xml:space="preserve">34,35</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that the proportion of simulations successfully reaching the other continent is always higher when starting from South America than from North America (</w:t>
      </w:r>
      <w:hyperlink w:anchor="fig-propsuccess">
        <w:r>
          <w:rPr>
            <w:rStyle w:val="Hyperlink"/>
          </w:rPr>
          <w:t xml:space="preserve">Figure 2</w:t>
        </w:r>
      </w:hyperlink>
      <w:r>
        <w:t xml:space="preserve">). This imbalance, strikingly going against our expectations, is maintained whether we allow species climatic niche to evolve following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When climatic niches were able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This pattern was maintained when standardising distances between the location where ancestral species originated and the isthmus of Panama across simulations starting from North and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was meant to control for the bias according to which simulations starting from South America originated on average closer to the isthmus than those starting from North America (see</w:t>
      </w:r>
      <w:r>
        <w:t xml:space="preserve"> </w:t>
      </w:r>
      <w:r>
        <w:rPr>
          <w:i/>
          <w:iCs/>
        </w:rPr>
        <w:t xml:space="preserve">STAR Methods</w:t>
      </w:r>
      <w:r>
        <w:t xml:space="preserve">, Figure S1).</w:t>
      </w:r>
    </w:p>
    <w:p>
      <w:pPr>
        <w:pStyle w:val="BodyText"/>
      </w:pPr>
      <w:r>
        <w:t xml:space="preserve">That being said, out of the 500 runs carried out for each landmass-scenario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w:t>
      </w:r>
      <w:r>
        <w:t xml:space="preserve">(Table S2). This difference, although attenuated, persisted after our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reveal that successful simulations starting in North America resulted in a higher proportion of colonised area, quantified as the ratio between the number of pixels recording a presence in the landmass to colonise and the total number of pixels offered by this landmass (</w:t>
      </w:r>
      <w:hyperlink w:anchor="fig-metrics">
        <w:r>
          <w:rPr>
            <w:rStyle w:val="Hyperlink"/>
          </w:rPr>
          <w:t xml:space="preserve">Figure 3</w:t>
        </w:r>
      </w:hyperlink>
      <w:r>
        <w:t xml:space="preserve"> </w:t>
      </w:r>
      <w:r>
        <w:t xml:space="preserve">B). The pattern holds for all but the</w:t>
      </w:r>
      <w:r>
        <w:t xml:space="preserve"> </w:t>
      </w:r>
      <m:oMath>
        <m:r>
          <m:t>M</m:t>
        </m:r>
        <m:r>
          <m:t>3</m:t>
        </m:r>
      </m:oMath>
      <w:r>
        <w:t xml:space="preserve"> </w:t>
      </w:r>
      <w:r>
        <w:t xml:space="preserve">model – relaxing the precipitation constraint on virtual species’ niche (</w:t>
      </w:r>
      <w:hyperlink w:anchor="fig-metrics">
        <w:r>
          <w:rPr>
            <w:rStyle w:val="Hyperlink"/>
          </w:rPr>
          <w:t xml:space="preserve">Figure 3</w:t>
        </w:r>
      </w:hyperlink>
      <w:r>
        <w:t xml:space="preserve"> </w:t>
      </w:r>
      <w:r>
        <w:t xml:space="preserve">B). In addition, successful simulations starting in North America generally started from an ancestor located closer to the isthmus than those starting in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originates closer to the isthmus in the case of successful simulations compared to unsuccessful ones (Figure S4-5). Also, no difference in the diversity reached on the colonised area could be characterised between simulations based on their area of origin (Figure S2).</w:t>
      </w:r>
    </w:p>
    <w:bookmarkEnd w:id="24"/>
    <w:bookmarkStart w:id="25" w:name="biome"/>
    <w:p>
      <w:pPr>
        <w:pStyle w:val="Heading2"/>
      </w:pPr>
      <w:r>
        <w:t xml:space="preserve">Biome</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36</w:t>
      </w:r>
      <w:r>
        <w:t xml:space="preserve"> </w:t>
      </w:r>
      <w:r>
        <w:t xml:space="preserve">and Galván et al.</w:t>
      </w:r>
      <w:r>
        <w:rPr>
          <w:vertAlign w:val="superscript"/>
        </w:rPr>
        <w:t xml:space="preserve">37</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w:t>
      </w:r>
    </w:p>
    <w:p>
      <w:pPr>
        <w:pStyle w:val="BodyText"/>
      </w:pPr>
      <w:r>
        <w:t xml:space="preserve">Initial biome distribution –</w:t>
      </w:r>
      <w:r>
        <w:t xml:space="preserve"> </w:t>
      </w:r>
      <w:r>
        <w:rPr>
          <w:i/>
          <w:iCs/>
        </w:rPr>
        <w:t xml:space="preserve">i</w:t>
      </w:r>
      <w:r>
        <w:t xml:space="preserve">.</w:t>
      </w:r>
      <w:r>
        <w:rPr>
          <w:i/>
          <w:iCs/>
        </w:rPr>
        <w:t xml:space="preserve">e</w:t>
      </w:r>
      <w:r>
        <w:t xml:space="preserve">., the number of simulations starting within each biome – were very uneven across biome classes and continents. Indeed, the majority of North American ancestral species originated in the cold biome, whereas the tropical biome recorded the largest proportion of ancestral species origination in South America (Figure S6). Besides,</w:t>
      </w:r>
    </w:p>
    <w:p>
      <w:pPr>
        <w:pStyle w:val="BodyText"/>
      </w:pPr>
      <w:r>
        <w:t xml:space="preserve">Similar proportions of successful simulations that started from</w:t>
      </w:r>
    </w:p>
    <w:p>
      <w:pPr>
        <w:pStyle w:val="BodyText"/>
      </w:pPr>
      <m:oMath>
        <m:r>
          <m:t>M</m:t>
        </m:r>
        <m:r>
          <m:t>3</m:t>
        </m:r>
      </m:oMath>
      <w:r>
        <w:t xml:space="preserve"> </w:t>
      </w:r>
      <w:r>
        <w:t xml:space="preserve">more permissive towards South American species migrating northwards than the other way around</w:t>
      </w:r>
    </w:p>
    <w:p>
      <w:r>
        <w:br w:type="page"/>
      </w:r>
    </w:p>
    <w:bookmarkEnd w:id="25"/>
    <w:bookmarkEnd w:id="26"/>
    <w:bookmarkStart w:id="31" w:name="discussion"/>
    <w:p>
      <w:pPr>
        <w:pStyle w:val="Heading1"/>
      </w:pPr>
      <w:r>
        <w:t xml:space="preserve">Discussion</w:t>
      </w:r>
    </w:p>
    <w:p>
      <w:pPr>
        <w:pStyle w:val="FirstParagraph"/>
      </w:pPr>
      <w:r>
        <w:t xml:space="preserve">Smoothing asymmetry =&gt; echo to birds</w:t>
      </w:r>
      <w:r>
        <w:rPr>
          <w:vertAlign w:val="superscript"/>
        </w:rPr>
        <w:t xml:space="preserve">38</w:t>
      </w:r>
      <w:r>
        <w:t xml:space="preserve">, flying behaviour relaxing constraints applied to land mammals ?</w:t>
      </w:r>
    </w:p>
    <w:p>
      <w:pPr>
        <w:pStyle w:val="BodyText"/>
      </w:pPr>
      <w:r>
        <w:t xml:space="preserve">Species pool proved relevant in the case of the interchange along the Wallacea</w:t>
      </w:r>
      <w:r>
        <w:rPr>
          <w:vertAlign w:val="superscript"/>
        </w:rPr>
        <w:t xml:space="preserve">32</w:t>
      </w:r>
      <w:r>
        <w:t xml:space="preserve">. But here, we expect to find more species in South America, encompassing one of earth’s major and long-standing biodiversity hotspot – Amazonia</w:t>
      </w:r>
      <w:r>
        <w:rPr>
          <w:vertAlign w:val="superscript"/>
        </w:rPr>
        <w:t xml:space="preserve">39</w:t>
      </w:r>
      <w:r>
        <w:t xml:space="preserve"> </w:t>
      </w:r>
      <w:r>
        <w:t xml:space="preserve">– than in North America, though see Vrba.</w:t>
      </w:r>
    </w:p>
    <w:bookmarkStart w:id="27" w:name="climate"/>
    <w:p>
      <w:pPr>
        <w:pStyle w:val="Heading2"/>
      </w:pPr>
      <w:r>
        <w:t xml:space="preserve">Climate</w:t>
      </w:r>
    </w:p>
    <w:p>
      <w:pPr>
        <w:pStyle w:val="FirstParagraph"/>
      </w:pPr>
      <w:r>
        <w:t xml:space="preserve">One of the predictions of Vrba’s resource-use hypotheses formulated in the framework of the habitat theory applied to the GABI is that tropical specialists, in the aftermath of the global cooling occurring in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20</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40</w:t>
      </w:r>
      <w:r>
        <w:t xml:space="preserve"> </w:t>
      </w:r>
      <w:r>
        <w:t xml:space="preserve">a few decades earlier. The latter views the high diversity in the (Neo)tropics as a result of past climatic fragmentation of the tropical climatic region, generating discontinuities within populations of tropical-specialist species. In case of climatic disruption, tropical specialists would therefore follow the contraction-expansion of their habitat, in turn driving speciation by vicariance on evolutionary timescales</w:t>
      </w:r>
      <w:r>
        <w:rPr>
          <w:vertAlign w:val="superscript"/>
        </w:rPr>
        <w:t xml:space="preserve">40</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biome">
        <w:r>
          <w:rPr>
            <w:rStyle w:val="Hyperlink"/>
          </w:rPr>
          <w:t xml:space="preserve">Figure 4</w:t>
        </w:r>
      </w:hyperlink>
      <w:r>
        <w:t xml:space="preserve"> </w:t>
      </w:r>
      <w:r>
        <w:t xml:space="preserve">B, model</w:t>
      </w:r>
      <w:r>
        <w:t xml:space="preserve"> </w:t>
      </w:r>
      <m:oMath>
        <m:r>
          <m:t>M</m:t>
        </m:r>
        <m:r>
          <m:t>0</m:t>
        </m:r>
      </m:oMath>
      <w:r>
        <w:t xml:space="preserve">).</w:t>
      </w:r>
    </w:p>
    <w:p>
      <w:pPr>
        <w:pStyle w:val="BodyText"/>
      </w:pPr>
      <w:r>
        <w:t xml:space="preserve">Success in South America for temperate-adapted species, posited as the most successful, not recovered, with tropical meeting the gighest success</w:t>
      </w:r>
    </w:p>
    <w:p>
      <w:pPr>
        <w:pStyle w:val="BodyText"/>
      </w:pPr>
      <w:r>
        <w:t xml:space="preserve">Tropics as a</w:t>
      </w:r>
      <w:r>
        <w:t xml:space="preserve"> </w:t>
      </w:r>
      <w:r>
        <w:t xml:space="preserve">“</w:t>
      </w:r>
      <w:r>
        <w:t xml:space="preserve">holding pen</w:t>
      </w:r>
      <w:r>
        <w:t xml:space="preserve">”</w:t>
      </w:r>
      <w:r>
        <w:rPr>
          <w:vertAlign w:val="superscript"/>
        </w:rPr>
        <w:t xml:space="preserve">6</w:t>
      </w:r>
      <w:r>
        <w:t xml:space="preserve"> </w:t>
      </w:r>
      <w:r>
        <w:t xml:space="preserve">– read more this paper</w:t>
      </w:r>
    </w:p>
    <w:p>
      <w:pPr>
        <w:pStyle w:val="BodyText"/>
      </w:pPr>
      <w:r>
        <w:t xml:space="preserve">Biome pattern (Figure S6) directly reflects the diffencial amount of surface that each biome represents in the two continents.</w:t>
      </w:r>
    </w:p>
    <w:p>
      <w:pPr>
        <w:pStyle w:val="BodyText"/>
      </w:pPr>
      <w:r>
        <w:t xml:space="preserve">Precipitation niche</w:t>
      </w:r>
      <w:r>
        <w:rPr>
          <w:vertAlign w:val="superscript"/>
        </w:rPr>
        <w:t xml:space="preserve">30</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bookmarkEnd w:id="27"/>
    <w:bookmarkStart w:id="28"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41</w:t>
      </w:r>
      <w:r>
        <w:t xml:space="preserve">.</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28"/>
    <w:bookmarkStart w:id="29" w:name="X0160ffd22f787d001a7841291dc9859bf7a1aab"/>
    <w:p>
      <w:pPr>
        <w:pStyle w:val="Heading2"/>
      </w:pPr>
      <w:r>
        <w:t xml:space="preserve">On the drivers behind the asymmetry of the GABI</w:t>
      </w:r>
    </w:p>
    <w:p>
      <w:pPr>
        <w:pStyle w:val="FirstParagraph"/>
      </w:pPr>
      <w:r>
        <w:t xml:space="preserve">Competition involving clades of similar ecology appeared as a likely first-order explanation to the recent demise of South American endemic mammal clades such as native ungulates</w:t>
      </w:r>
      <w:r>
        <w:rPr>
          <w:vertAlign w:val="superscript"/>
        </w:rPr>
        <w:t xml:space="preserve">13</w:t>
      </w:r>
      <w:r>
        <w:t xml:space="preserve"> </w:t>
      </w:r>
      <w:r>
        <w:t xml:space="preserve">or sparassodonts (metatherian predators,</w:t>
      </w:r>
      <w:r>
        <w:rPr>
          <w:vertAlign w:val="superscript"/>
        </w:rPr>
        <w:t xml:space="preserve">22,42</w:t>
      </w:r>
      <w:r>
        <w:t xml:space="preserve">) that followed the establishment of northern lineages</w:t>
      </w:r>
      <w:r>
        <w:rPr>
          <w:vertAlign w:val="superscript"/>
        </w:rPr>
        <w:t xml:space="preserve">15</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rPr>
          <w:vertAlign w:val="superscript"/>
        </w:rPr>
        <w:t xml:space="preserve">21,22</w:t>
      </w:r>
      <w:r>
        <w:t xml:space="preserve">. That being said, using phylogenetic regressions, Faurby et al.</w:t>
      </w:r>
      <w:r>
        <w:rPr>
          <w:vertAlign w:val="superscript"/>
        </w:rPr>
        <w:t xml:space="preserve">18</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rPr>
          <w:vertAlign w:val="superscript"/>
        </w:rPr>
        <w:t xml:space="preserve">16</w:t>
      </w:r>
    </w:p>
    <w:p>
      <w:pPr>
        <w:pStyle w:val="BodyText"/>
      </w:pPr>
      <w:r>
        <w:t xml:space="preserve">Temporality (red queen vs. court jester, Benton 2001) =&gt; favouring biotic ?</w:t>
      </w:r>
    </w:p>
    <w:p>
      <w:pPr>
        <w:pStyle w:val="BodyText"/>
      </w:pPr>
      <w:r>
        <w:t xml:space="preserve">Fortuitous experiment ?</w:t>
      </w:r>
    </w:p>
    <w:bookmarkEnd w:id="29"/>
    <w:bookmarkStart w:id="30" w:name="limitations-perspectives"/>
    <w:p>
      <w:pPr>
        <w:pStyle w:val="Heading2"/>
      </w:pPr>
      <w:r>
        <w:t xml:space="preserve">Limitations &amp; perspectives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43,44</w:t>
      </w:r>
      <w:r>
        <w:t xml:space="preserve">. Although over-water dispersal has long been regarded as the prevailing mechanism</w:t>
      </w:r>
      <w:r>
        <w:rPr>
          <w:vertAlign w:val="superscript"/>
        </w:rPr>
        <w:t xml:space="preserve">43</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45</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46</w:t>
      </w:r>
      <w:r>
        <w:t xml:space="preserve"> </w:t>
      </w:r>
      <w:r>
        <w:t xml:space="preserve">as well as the poor mention of West Indies as a stepping-stone in the literature, we believe that considering this alternative route in the framework of the GABI would rather deserve to be the topic of a study in itself.</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spatial clustering of simulation crashing in temperate/cold North America =&gt; related to biome instability in the zone ?</w:t>
      </w:r>
    </w:p>
    <w:p>
      <w:pPr>
        <w:pStyle w:val="BodyText"/>
      </w:pPr>
      <w:r>
        <w:t xml:space="preserve">Higher proportion of colonised area could come from the different size of the continents, North America being wider both in terms of absolute surface and number of pixels.</w:t>
      </w:r>
    </w:p>
    <w:p>
      <w:pPr>
        <w:pStyle w:val="BodyText"/>
      </w:pPr>
      <w:r>
        <w:t xml:space="preserve">Problem of taxonomic extinctions in Gen3sis!</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assumpltion of fixed palaeogeography.</w:t>
      </w:r>
    </w:p>
    <w:bookmarkEnd w:id="30"/>
    <w:bookmarkEnd w:id="31"/>
    <w:bookmarkStart w:id="32" w:name="acknowledgements"/>
    <w:p>
      <w:pPr>
        <w:pStyle w:val="Heading1"/>
      </w:pPr>
      <w:r>
        <w:t xml:space="preserve">Acknowledgements</w:t>
      </w:r>
    </w:p>
    <w:p>
      <w:pPr>
        <w:pStyle w:val="FirstParagraph"/>
      </w:pPr>
      <w:r>
        <w:t xml:space="preserve">We thank Céline Devaux for her useful comments and feedbacks on the present work.</w:t>
      </w:r>
    </w:p>
    <w:bookmarkEnd w:id="32"/>
    <w:bookmarkStart w:id="33"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48</w:t>
      </w:r>
      <w:r>
        <w:t xml:space="preserve">.</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8,10,17</w:t>
      </w:r>
      <w:r>
        <w:t xml:space="preserve">. Others drew direct relationships between the higher extinction rates of native South American mammal genera and temperature change</w:t>
      </w:r>
      <w:r>
        <w:rPr>
          <w:vertAlign w:val="superscript"/>
        </w:rPr>
        <w:t xml:space="preserve">24</w:t>
      </w:r>
      <w:r>
        <w:t xml:space="preserve">.</w:t>
      </w:r>
    </w:p>
    <w:p>
      <w:pPr>
        <w:pStyle w:val="BodyText"/>
      </w:pPr>
      <w:r>
        <w:t xml:space="preserve">several studies proposed that palaeoclimate change shaped unequal dispersal abilities between northern and southern taxa</w:t>
      </w:r>
      <w:r>
        <w:rPr>
          <w:vertAlign w:val="superscript"/>
        </w:rPr>
        <w:t xml:space="preserve">8,10,17,24</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12</w:t>
      </w:r>
      <w:r>
        <w:t xml:space="preserve">.</w:t>
      </w:r>
    </w:p>
    <w:p>
      <w:r>
        <w:br w:type="page"/>
      </w:r>
    </w:p>
    <w:bookmarkEnd w:id="33"/>
    <w:bookmarkStart w:id="131" w:name="references"/>
    <w:p>
      <w:pPr>
        <w:pStyle w:val="Heading1"/>
      </w:pPr>
      <w:r>
        <w:t xml:space="preserve">References</w:t>
      </w:r>
    </w:p>
    <w:bookmarkStart w:id="130" w:name="refs"/>
    <w:bookmarkStart w:id="35" w:name="ref-marshall1982"/>
    <w:p>
      <w:pPr>
        <w:pStyle w:val="Bibliography"/>
      </w:pPr>
      <w:r>
        <w:t xml:space="preserve">1.</w:t>
      </w:r>
      <w:r>
        <w:t xml:space="preserve"> </w:t>
      </w:r>
      <w:r>
        <w:t xml:space="preserve">	</w:t>
      </w:r>
      <w:r>
        <w:t xml:space="preserve">Marshall, L.G., Webb, S.D., Sepkoski, J.J., and Raup, D.M. (1982).</w:t>
      </w:r>
      <w:r>
        <w:t xml:space="preserve"> </w:t>
      </w:r>
      <w:hyperlink r:id="rId34">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5"/>
    <w:bookmarkStart w:id="37"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36">
        <w:r>
          <w:rPr>
            <w:rStyle w:val="Hyperlink"/>
          </w:rPr>
          <w:t xml:space="preserve">https://doi.org/10.1126/science.aaa2815</w:t>
        </w:r>
      </w:hyperlink>
      <w:r>
        <w:t xml:space="preserve">.</w:t>
      </w:r>
    </w:p>
    <w:bookmarkEnd w:id="37"/>
    <w:bookmarkStart w:id="39" w:name="ref-jaramillo2018"/>
    <w:p>
      <w:pPr>
        <w:pStyle w:val="Bibliography"/>
      </w:pPr>
      <w:r>
        <w:t xml:space="preserve">3.</w:t>
      </w:r>
      <w:r>
        <w:t xml:space="preserve"> </w:t>
      </w:r>
      <w:r>
        <w:t xml:space="preserve">	</w:t>
      </w:r>
      <w:r>
        <w:t xml:space="preserve">Jaramillo, C.A. (2018).</w:t>
      </w:r>
      <w:r>
        <w:t xml:space="preserve"> </w:t>
      </w:r>
      <w:hyperlink r:id="rId38">
        <w:r>
          <w:rPr>
            <w:rStyle w:val="Hyperlink"/>
          </w:rPr>
          <w:t xml:space="preserve">Evolution of the isthmus of panama: Biological, paleoceanographic and paleoclimatological implications</w:t>
        </w:r>
      </w:hyperlink>
      <w:r>
        <w:t xml:space="preserve">. In (John Wiley &amp; Sons).</w:t>
      </w:r>
    </w:p>
    <w:bookmarkEnd w:id="39"/>
    <w:bookmarkStart w:id="41"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0">
        <w:r>
          <w:rPr>
            <w:rStyle w:val="Hyperlink"/>
          </w:rPr>
          <w:t xml:space="preserve">https://doi.org/10.1126/sciadv.1600883</w:t>
        </w:r>
      </w:hyperlink>
      <w:r>
        <w:t xml:space="preserve">.</w:t>
      </w:r>
    </w:p>
    <w:bookmarkEnd w:id="41"/>
    <w:bookmarkStart w:id="43"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2">
        <w:r>
          <w:rPr>
            <w:rStyle w:val="Hyperlink"/>
          </w:rPr>
          <w:t xml:space="preserve">https://doi.org/10.1016/j.geobios.2006.09.005</w:t>
        </w:r>
      </w:hyperlink>
      <w:r>
        <w:t xml:space="preserve">.</w:t>
      </w:r>
    </w:p>
    <w:bookmarkEnd w:id="43"/>
    <w:bookmarkStart w:id="45"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44">
        <w:r>
          <w:rPr>
            <w:rStyle w:val="Hyperlink"/>
          </w:rPr>
          <w:t xml:space="preserve">https://doi.org/10.1007/s10914-010-9144-8</w:t>
        </w:r>
      </w:hyperlink>
      <w:r>
        <w:t xml:space="preserve">.</w:t>
      </w:r>
    </w:p>
    <w:bookmarkEnd w:id="45"/>
    <w:bookmarkStart w:id="47" w:name="ref-bacon2015"/>
    <w:p>
      <w:pPr>
        <w:pStyle w:val="Bibliography"/>
      </w:pPr>
      <w:r>
        <w:t xml:space="preserve">7.</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46">
        <w:r>
          <w:rPr>
            <w:rStyle w:val="Hyperlink"/>
          </w:rPr>
          <w:t xml:space="preserve">https://doi.org/10.1073/pnas.1423853112</w:t>
        </w:r>
      </w:hyperlink>
      <w:r>
        <w:t xml:space="preserve">.</w:t>
      </w:r>
    </w:p>
    <w:bookmarkEnd w:id="47"/>
    <w:bookmarkStart w:id="49" w:name="ref-bacon2016"/>
    <w:p>
      <w:pPr>
        <w:pStyle w:val="Bibliography"/>
      </w:pPr>
      <w:r>
        <w:t xml:space="preserve">8.</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48">
        <w:r>
          <w:rPr>
            <w:rStyle w:val="Hyperlink"/>
          </w:rPr>
          <w:t xml:space="preserve">https://doi.org/10.1130/G37624.1</w:t>
        </w:r>
      </w:hyperlink>
      <w:r>
        <w:t xml:space="preserve">.</w:t>
      </w:r>
    </w:p>
    <w:bookmarkEnd w:id="49"/>
    <w:bookmarkStart w:id="51" w:name="ref-webb1976"/>
    <w:p>
      <w:pPr>
        <w:pStyle w:val="Bibliography"/>
      </w:pPr>
      <w:r>
        <w:t xml:space="preserve">9.</w:t>
      </w:r>
      <w:r>
        <w:t xml:space="preserve"> </w:t>
      </w:r>
      <w:r>
        <w:t xml:space="preserve">	</w:t>
      </w:r>
      <w:r>
        <w:t xml:space="preserve">Webb, S.D. (1976).</w:t>
      </w:r>
      <w:r>
        <w:t xml:space="preserve"> </w:t>
      </w:r>
      <w:hyperlink r:id="rId50">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51"/>
    <w:bookmarkStart w:id="53" w:name="ref-webb1991"/>
    <w:p>
      <w:pPr>
        <w:pStyle w:val="Bibliography"/>
      </w:pPr>
      <w:r>
        <w:t xml:space="preserve">10.</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52">
        <w:r>
          <w:rPr>
            <w:rStyle w:val="Hyperlink"/>
          </w:rPr>
          <w:t xml:space="preserve">https://doi.org/10.1017/S0094837300010605</w:t>
        </w:r>
      </w:hyperlink>
      <w:r>
        <w:t xml:space="preserve">.</w:t>
      </w:r>
    </w:p>
    <w:bookmarkEnd w:id="53"/>
    <w:bookmarkStart w:id="55" w:name="ref-cione2015"/>
    <w:p>
      <w:pPr>
        <w:pStyle w:val="Bibliography"/>
      </w:pPr>
      <w:r>
        <w:t xml:space="preserve">11.</w:t>
      </w:r>
      <w:r>
        <w:t xml:space="preserve"> </w:t>
      </w:r>
      <w:r>
        <w:t xml:space="preserve">	</w:t>
      </w:r>
      <w:r>
        <w:t xml:space="preserve">Cione, A.L., Gasparini, G.M., Soibelzon, E., Soibelzon, L.H., and Tonni, E.P. (2015).</w:t>
      </w:r>
      <w:r>
        <w:t xml:space="preserve"> </w:t>
      </w:r>
      <w:hyperlink r:id="rId54">
        <w:r>
          <w:rPr>
            <w:rStyle w:val="Hyperlink"/>
          </w:rPr>
          <w:t xml:space="preserve">The Great American Biotic Interchange: A South American Perspective</w:t>
        </w:r>
      </w:hyperlink>
      <w:r>
        <w:t xml:space="preserve"> </w:t>
      </w:r>
      <w:r>
        <w:t xml:space="preserve">(Springer Netherlands).</w:t>
      </w:r>
    </w:p>
    <w:bookmarkEnd w:id="55"/>
    <w:bookmarkStart w:id="57" w:name="ref-carrillo2020"/>
    <w:p>
      <w:pPr>
        <w:pStyle w:val="Bibliography"/>
      </w:pPr>
      <w:r>
        <w:t xml:space="preserve">12.</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56">
        <w:r>
          <w:rPr>
            <w:rStyle w:val="Hyperlink"/>
          </w:rPr>
          <w:t xml:space="preserve">https://doi.org/10.1073/pnas.2009397117</w:t>
        </w:r>
      </w:hyperlink>
      <w:r>
        <w:t xml:space="preserve">.</w:t>
      </w:r>
    </w:p>
    <w:bookmarkEnd w:id="57"/>
    <w:bookmarkStart w:id="59" w:name="ref-croft2020"/>
    <w:p>
      <w:pPr>
        <w:pStyle w:val="Bibliography"/>
      </w:pPr>
      <w:r>
        <w:t xml:space="preserve">13.</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58">
        <w:r>
          <w:rPr>
            <w:rStyle w:val="Hyperlink"/>
          </w:rPr>
          <w:t xml:space="preserve">https://doi.org/10.1146/annurev-earth-072619-060126</w:t>
        </w:r>
      </w:hyperlink>
      <w:r>
        <w:t xml:space="preserve">.</w:t>
      </w:r>
    </w:p>
    <w:bookmarkEnd w:id="59"/>
    <w:bookmarkStart w:id="61" w:name="ref-boscaini2025"/>
    <w:p>
      <w:pPr>
        <w:pStyle w:val="Bibliography"/>
      </w:pPr>
      <w:r>
        <w:t xml:space="preserve">14.</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0">
        <w:r>
          <w:rPr>
            <w:rStyle w:val="Hyperlink"/>
          </w:rPr>
          <w:t xml:space="preserve">https://doi.org/10.1126/science.adu0704</w:t>
        </w:r>
      </w:hyperlink>
      <w:r>
        <w:t xml:space="preserve">.</w:t>
      </w:r>
    </w:p>
    <w:bookmarkEnd w:id="61"/>
    <w:bookmarkStart w:id="62" w:name="ref-simpson1980"/>
    <w:p>
      <w:pPr>
        <w:pStyle w:val="Bibliography"/>
      </w:pPr>
      <w:r>
        <w:t xml:space="preserve">15.</w:t>
      </w:r>
      <w:r>
        <w:t xml:space="preserve"> </w:t>
      </w:r>
      <w:r>
        <w:t xml:space="preserve">	</w:t>
      </w:r>
      <w:r>
        <w:t xml:space="preserve">Simpson, G.G. (1980). Splendid isolation : The curious history of south american mammals Yale University Press, New Haven.</w:t>
      </w:r>
    </w:p>
    <w:bookmarkEnd w:id="62"/>
    <w:bookmarkStart w:id="64" w:name="ref-domingo2020"/>
    <w:p>
      <w:pPr>
        <w:pStyle w:val="Bibliography"/>
      </w:pPr>
      <w:r>
        <w:t xml:space="preserve">16.</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63">
        <w:r>
          <w:rPr>
            <w:rStyle w:val="Hyperlink"/>
          </w:rPr>
          <w:t xml:space="preserve">https://doi.org/10.1038/s41598-020-58575-6</w:t>
        </w:r>
      </w:hyperlink>
      <w:r>
        <w:t xml:space="preserve">.</w:t>
      </w:r>
    </w:p>
    <w:bookmarkEnd w:id="64"/>
    <w:bookmarkStart w:id="65" w:name="ref-marshall1990"/>
    <w:p>
      <w:pPr>
        <w:pStyle w:val="Bibliography"/>
      </w:pPr>
      <w:r>
        <w:t xml:space="preserve">17.</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65"/>
    <w:bookmarkStart w:id="67" w:name="ref-faurby2016"/>
    <w:p>
      <w:pPr>
        <w:pStyle w:val="Bibliography"/>
      </w:pPr>
      <w:r>
        <w:t xml:space="preserve">18.</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66">
        <w:r>
          <w:rPr>
            <w:rStyle w:val="Hyperlink"/>
          </w:rPr>
          <w:t xml:space="preserve">https://doi.org/10.1111/geb.12504</w:t>
        </w:r>
      </w:hyperlink>
      <w:r>
        <w:t xml:space="preserve">.</w:t>
      </w:r>
    </w:p>
    <w:bookmarkEnd w:id="67"/>
    <w:bookmarkStart w:id="69" w:name="ref-fernández-monescillo2025"/>
    <w:p>
      <w:pPr>
        <w:pStyle w:val="Bibliography"/>
      </w:pPr>
      <w:r>
        <w:t xml:space="preserve">19.</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68">
        <w:r>
          <w:rPr>
            <w:rStyle w:val="Hyperlink"/>
          </w:rPr>
          <w:t xml:space="preserve">https://doi.org/10.1111/pala.70012</w:t>
        </w:r>
      </w:hyperlink>
      <w:r>
        <w:t xml:space="preserve">.</w:t>
      </w:r>
    </w:p>
    <w:bookmarkEnd w:id="69"/>
    <w:bookmarkStart w:id="71" w:name="ref-vrba1992"/>
    <w:p>
      <w:pPr>
        <w:pStyle w:val="Bibliography"/>
      </w:pPr>
      <w:r>
        <w:t xml:space="preserve">20.</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0">
        <w:r>
          <w:rPr>
            <w:rStyle w:val="Hyperlink"/>
          </w:rPr>
          <w:t xml:space="preserve">https://doi.org/10.2307/1381862</w:t>
        </w:r>
      </w:hyperlink>
      <w:r>
        <w:t xml:space="preserve">.</w:t>
      </w:r>
    </w:p>
    <w:bookmarkEnd w:id="71"/>
    <w:bookmarkStart w:id="73" w:name="ref-prevosti2013"/>
    <w:p>
      <w:pPr>
        <w:pStyle w:val="Bibliography"/>
      </w:pPr>
      <w:r>
        <w:t xml:space="preserve">21.</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72">
        <w:r>
          <w:rPr>
            <w:rStyle w:val="Hyperlink"/>
          </w:rPr>
          <w:t xml:space="preserve">https://doi.org/10.1007/s10914-011-9175-9</w:t>
        </w:r>
      </w:hyperlink>
      <w:r>
        <w:t xml:space="preserve">.</w:t>
      </w:r>
    </w:p>
    <w:bookmarkEnd w:id="73"/>
    <w:bookmarkStart w:id="75" w:name="ref-tarquini2022"/>
    <w:p>
      <w:pPr>
        <w:pStyle w:val="Bibliography"/>
      </w:pPr>
      <w:r>
        <w:t xml:space="preserve">22.</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74">
        <w:r>
          <w:rPr>
            <w:rStyle w:val="Hyperlink"/>
          </w:rPr>
          <w:t xml:space="preserve">https://doi.org/10.1038/s41598-022-05266-z</w:t>
        </w:r>
      </w:hyperlink>
      <w:r>
        <w:t xml:space="preserve">.</w:t>
      </w:r>
    </w:p>
    <w:bookmarkEnd w:id="75"/>
    <w:bookmarkStart w:id="77" w:name="ref-marsà2025"/>
    <w:p>
      <w:pPr>
        <w:pStyle w:val="Bibliography"/>
      </w:pPr>
      <w:r>
        <w:t xml:space="preserve">23.</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76">
        <w:r>
          <w:rPr>
            <w:rStyle w:val="Hyperlink"/>
          </w:rPr>
          <w:t xml:space="preserve">https://doi.org/10.3390/d17030153</w:t>
        </w:r>
      </w:hyperlink>
      <w:r>
        <w:t xml:space="preserve">.</w:t>
      </w:r>
    </w:p>
    <w:bookmarkEnd w:id="77"/>
    <w:bookmarkStart w:id="79" w:name="ref-freitas-oliveira2024"/>
    <w:p>
      <w:pPr>
        <w:pStyle w:val="Bibliography"/>
      </w:pPr>
      <w:r>
        <w:t xml:space="preserve">24.</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78">
        <w:r>
          <w:rPr>
            <w:rStyle w:val="Hyperlink"/>
          </w:rPr>
          <w:t xml:space="preserve">https://doi.org/10.1038/s44185-024-00045-7</w:t>
        </w:r>
      </w:hyperlink>
      <w:r>
        <w:t xml:space="preserve">.</w:t>
      </w:r>
    </w:p>
    <w:bookmarkEnd w:id="79"/>
    <w:bookmarkStart w:id="81" w:name="ref-pilowsky2022"/>
    <w:p>
      <w:pPr>
        <w:pStyle w:val="Bibliography"/>
      </w:pPr>
      <w:r>
        <w:t xml:space="preserve">25.</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80">
        <w:r>
          <w:rPr>
            <w:rStyle w:val="Hyperlink"/>
          </w:rPr>
          <w:t xml:space="preserve">https://doi.org/10.1126/sciadv.abj2271</w:t>
        </w:r>
      </w:hyperlink>
      <w:r>
        <w:t xml:space="preserve">.</w:t>
      </w:r>
    </w:p>
    <w:bookmarkEnd w:id="81"/>
    <w:bookmarkStart w:id="83"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82">
        <w:r>
          <w:rPr>
            <w:rStyle w:val="Hyperlink"/>
          </w:rPr>
          <w:t xml:space="preserve">https://doi.org/10.1111/ecog.06132</w:t>
        </w:r>
      </w:hyperlink>
      <w:r>
        <w:t xml:space="preserve">.</w:t>
      </w:r>
    </w:p>
    <w:bookmarkEnd w:id="83"/>
    <w:bookmarkStart w:id="85" w:name="ref-hagen2021"/>
    <w:p>
      <w:pPr>
        <w:pStyle w:val="Bibliography"/>
      </w:pPr>
      <w:r>
        <w:t xml:space="preserve">27.</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84">
        <w:r>
          <w:rPr>
            <w:rStyle w:val="Hyperlink"/>
          </w:rPr>
          <w:t xml:space="preserve">https://doi.org/10.1371/journal.pbio.3001340</w:t>
        </w:r>
      </w:hyperlink>
      <w:r>
        <w:t xml:space="preserve">.</w:t>
      </w:r>
    </w:p>
    <w:bookmarkEnd w:id="85"/>
    <w:bookmarkStart w:id="87" w:name="ref-lorcery2025"/>
    <w:p>
      <w:pPr>
        <w:pStyle w:val="Bibliography"/>
      </w:pPr>
      <w:r>
        <w:t xml:space="preserve">28.</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86">
        <w:r>
          <w:rPr>
            <w:rStyle w:val="Hyperlink"/>
          </w:rPr>
          <w:t xml:space="preserve">https://doi.org/10.1371/journal.pone.0332766</w:t>
        </w:r>
      </w:hyperlink>
      <w:r>
        <w:t xml:space="preserve">.</w:t>
      </w:r>
    </w:p>
    <w:bookmarkEnd w:id="87"/>
    <w:bookmarkStart w:id="89" w:name="ref-hagen2021b"/>
    <w:p>
      <w:pPr>
        <w:pStyle w:val="Bibliography"/>
      </w:pPr>
      <w:r>
        <w:t xml:space="preserve">29.</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88">
        <w:r>
          <w:rPr>
            <w:rStyle w:val="Hyperlink"/>
          </w:rPr>
          <w:t xml:space="preserve">https://doi.org/10.1073/pnas.2026347118</w:t>
        </w:r>
      </w:hyperlink>
      <w:r>
        <w:t xml:space="preserve">.</w:t>
      </w:r>
    </w:p>
    <w:bookmarkEnd w:id="89"/>
    <w:bookmarkStart w:id="91" w:name="ref-skeels2023b"/>
    <w:p>
      <w:pPr>
        <w:pStyle w:val="Bibliography"/>
      </w:pPr>
      <w:r>
        <w:t xml:space="preserve">30.</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90">
        <w:r>
          <w:rPr>
            <w:rStyle w:val="Hyperlink"/>
          </w:rPr>
          <w:t xml:space="preserve">https://doi.org/10.1126/science.adf7122</w:t>
        </w:r>
      </w:hyperlink>
      <w:r>
        <w:t xml:space="preserve">.</w:t>
      </w:r>
    </w:p>
    <w:bookmarkEnd w:id="91"/>
    <w:bookmarkStart w:id="93" w:name="ref-boschman2023"/>
    <w:p>
      <w:pPr>
        <w:pStyle w:val="Bibliography"/>
      </w:pPr>
      <w:r>
        <w:t xml:space="preserve">31.</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92">
        <w:r>
          <w:rPr>
            <w:rStyle w:val="Hyperlink"/>
          </w:rPr>
          <w:t xml:space="preserve">https://doi.org/10.1038/s41559-023-02220-8</w:t>
        </w:r>
      </w:hyperlink>
      <w:r>
        <w:t xml:space="preserve">.</w:t>
      </w:r>
    </w:p>
    <w:bookmarkEnd w:id="93"/>
    <w:bookmarkStart w:id="95" w:name="ref-skeels2023"/>
    <w:p>
      <w:pPr>
        <w:pStyle w:val="Bibliography"/>
      </w:pPr>
      <w:r>
        <w:t xml:space="preserve">32.</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94">
        <w:r>
          <w:rPr>
            <w:rStyle w:val="Hyperlink"/>
          </w:rPr>
          <w:t xml:space="preserve">https://doi.org/10.1093/sysbio/syac048</w:t>
        </w:r>
      </w:hyperlink>
      <w:r>
        <w:t xml:space="preserve">.</w:t>
      </w:r>
    </w:p>
    <w:bookmarkEnd w:id="95"/>
    <w:bookmarkStart w:id="97" w:name="ref-liu2024"/>
    <w:p>
      <w:pPr>
        <w:pStyle w:val="Bibliography"/>
      </w:pPr>
      <w:r>
        <w:t xml:space="preserve">33.</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96">
        <w:r>
          <w:rPr>
            <w:rStyle w:val="Hyperlink"/>
          </w:rPr>
          <w:t xml:space="preserve">https://doi.org/10.1126/science.adi0833</w:t>
        </w:r>
      </w:hyperlink>
      <w:r>
        <w:t xml:space="preserve">.</w:t>
      </w:r>
    </w:p>
    <w:bookmarkEnd w:id="97"/>
    <w:bookmarkStart w:id="99" w:name="ref-holden2019"/>
    <w:p>
      <w:pPr>
        <w:pStyle w:val="Bibliography"/>
      </w:pPr>
      <w:r>
        <w:t xml:space="preserve">34.</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98">
        <w:r>
          <w:rPr>
            <w:rStyle w:val="Hyperlink"/>
          </w:rPr>
          <w:t xml:space="preserve">https://doi.org/10.5194/gmd-12-5137-2019</w:t>
        </w:r>
      </w:hyperlink>
      <w:r>
        <w:t xml:space="preserve">.</w:t>
      </w:r>
    </w:p>
    <w:bookmarkEnd w:id="99"/>
    <w:bookmarkStart w:id="101" w:name="ref-barreto2023"/>
    <w:p>
      <w:pPr>
        <w:pStyle w:val="Bibliography"/>
      </w:pPr>
      <w:r>
        <w:t xml:space="preserve">35.</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00">
        <w:r>
          <w:rPr>
            <w:rStyle w:val="Hyperlink"/>
          </w:rPr>
          <w:t xml:space="preserve">https://doi.org/10.1111/geb.13683</w:t>
        </w:r>
      </w:hyperlink>
      <w:r>
        <w:t xml:space="preserve">.</w:t>
      </w:r>
    </w:p>
    <w:bookmarkEnd w:id="101"/>
    <w:bookmarkStart w:id="103" w:name="ref-beck2018"/>
    <w:p>
      <w:pPr>
        <w:pStyle w:val="Bibliography"/>
      </w:pPr>
      <w:r>
        <w:t xml:space="preserve">36.</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02">
        <w:r>
          <w:rPr>
            <w:rStyle w:val="Hyperlink"/>
          </w:rPr>
          <w:t xml:space="preserve">https://doi.org/10.1038/sdata.2018.214</w:t>
        </w:r>
      </w:hyperlink>
      <w:r>
        <w:t xml:space="preserve">.</w:t>
      </w:r>
    </w:p>
    <w:bookmarkEnd w:id="103"/>
    <w:bookmarkStart w:id="105" w:name="ref-galván2023"/>
    <w:p>
      <w:pPr>
        <w:pStyle w:val="Bibliography"/>
      </w:pPr>
      <w:r>
        <w:t xml:space="preserve">37.</w:t>
      </w:r>
      <w:r>
        <w:t xml:space="preserve"> </w:t>
      </w:r>
      <w:r>
        <w:t xml:space="preserve">	</w:t>
      </w:r>
      <w:r>
        <w:t xml:space="preserve">Galván, S., Gamboa, S., and Varela, S. (2023).</w:t>
      </w:r>
      <w:r>
        <w:t xml:space="preserve"> </w:t>
      </w:r>
      <w:hyperlink r:id="rId104">
        <w:r>
          <w:rPr>
            <w:rStyle w:val="Hyperlink"/>
          </w:rPr>
          <w:t xml:space="preserve">Köppen Geiger climatic classification for R users.</w:t>
        </w:r>
      </w:hyperlink>
    </w:p>
    <w:bookmarkEnd w:id="105"/>
    <w:bookmarkStart w:id="107" w:name="ref-weir2009"/>
    <w:p>
      <w:pPr>
        <w:pStyle w:val="Bibliography"/>
      </w:pPr>
      <w:r>
        <w:t xml:space="preserve">38.</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06">
        <w:r>
          <w:rPr>
            <w:rStyle w:val="Hyperlink"/>
          </w:rPr>
          <w:t xml:space="preserve">https://doi.org/10.1073/pnas.0903811106</w:t>
        </w:r>
      </w:hyperlink>
      <w:r>
        <w:t xml:space="preserve">.</w:t>
      </w:r>
    </w:p>
    <w:bookmarkEnd w:id="107"/>
    <w:bookmarkStart w:id="109" w:name="ref-antonelli2018"/>
    <w:p>
      <w:pPr>
        <w:pStyle w:val="Bibliography"/>
      </w:pPr>
      <w:r>
        <w:t xml:space="preserve">39.</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08">
        <w:r>
          <w:rPr>
            <w:rStyle w:val="Hyperlink"/>
          </w:rPr>
          <w:t xml:space="preserve">https://doi.org/10.1038/s41561-018-0236-z</w:t>
        </w:r>
      </w:hyperlink>
      <w:r>
        <w:t xml:space="preserve">.</w:t>
      </w:r>
    </w:p>
    <w:bookmarkEnd w:id="109"/>
    <w:bookmarkStart w:id="111" w:name="ref-haffer1969"/>
    <w:p>
      <w:pPr>
        <w:pStyle w:val="Bibliography"/>
      </w:pPr>
      <w:r>
        <w:t xml:space="preserve">40.</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10">
        <w:r>
          <w:rPr>
            <w:rStyle w:val="Hyperlink"/>
          </w:rPr>
          <w:t xml:space="preserve">https://doi.org/10.1126/science.165.3889.131</w:t>
        </w:r>
      </w:hyperlink>
      <w:r>
        <w:t xml:space="preserve">.</w:t>
      </w:r>
    </w:p>
    <w:bookmarkEnd w:id="111"/>
    <w:bookmarkStart w:id="113" w:name="ref-motta2025"/>
    <w:p>
      <w:pPr>
        <w:pStyle w:val="Bibliography"/>
      </w:pPr>
      <w:r>
        <w:t xml:space="preserve">41.</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12">
        <w:r>
          <w:rPr>
            <w:rStyle w:val="Hyperlink"/>
          </w:rPr>
          <w:t xml:space="preserve">https://doi.org/10.1016/j.palaeo.2025.112905</w:t>
        </w:r>
      </w:hyperlink>
      <w:r>
        <w:t xml:space="preserve">.</w:t>
      </w:r>
    </w:p>
    <w:bookmarkEnd w:id="113"/>
    <w:bookmarkStart w:id="115" w:name="ref-pino2022"/>
    <w:p>
      <w:pPr>
        <w:pStyle w:val="Bibliography"/>
      </w:pPr>
      <w:r>
        <w:t xml:space="preserve">42.</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14">
        <w:r>
          <w:rPr>
            <w:rStyle w:val="Hyperlink"/>
          </w:rPr>
          <w:t xml:space="preserve">https://doi.org/10.1016/j.gloplacha.2022.103758</w:t>
        </w:r>
      </w:hyperlink>
      <w:r>
        <w:t xml:space="preserve">.</w:t>
      </w:r>
    </w:p>
    <w:bookmarkEnd w:id="115"/>
    <w:bookmarkStart w:id="117" w:name="ref-morgan1993"/>
    <w:p>
      <w:pPr>
        <w:pStyle w:val="Bibliography"/>
      </w:pPr>
      <w:r>
        <w:t xml:space="preserve">43.</w:t>
      </w:r>
      <w:r>
        <w:t xml:space="preserve"> </w:t>
      </w:r>
      <w:r>
        <w:t xml:space="preserve">	</w:t>
      </w:r>
      <w:r>
        <w:t xml:space="preserve">Morgan, G.S. (1993). Quaternary land vertebrates of jamaica. In, R. M. Wright and E. Robinson, eds. (Geological Society of America), p. 0.</w:t>
      </w:r>
      <w:r>
        <w:t xml:space="preserve"> </w:t>
      </w:r>
      <w:hyperlink r:id="rId116">
        <w:r>
          <w:rPr>
            <w:rStyle w:val="Hyperlink"/>
          </w:rPr>
          <w:t xml:space="preserve">https://doi.org/10.1130/MEM182-p417</w:t>
        </w:r>
      </w:hyperlink>
      <w:r>
        <w:t xml:space="preserve">.</w:t>
      </w:r>
    </w:p>
    <w:bookmarkEnd w:id="117"/>
    <w:bookmarkStart w:id="119" w:name="ref-ali2021b"/>
    <w:p>
      <w:pPr>
        <w:pStyle w:val="Bibliography"/>
      </w:pPr>
      <w:r>
        <w:t xml:space="preserve">44.</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18">
        <w:r>
          <w:rPr>
            <w:rStyle w:val="Hyperlink"/>
          </w:rPr>
          <w:t xml:space="preserve">https://doi.org/10.1111/jbi.14234</w:t>
        </w:r>
      </w:hyperlink>
      <w:r>
        <w:t xml:space="preserve">.</w:t>
      </w:r>
    </w:p>
    <w:bookmarkEnd w:id="119"/>
    <w:bookmarkStart w:id="121" w:name="ref-cornée2021"/>
    <w:p>
      <w:pPr>
        <w:pStyle w:val="Bibliography"/>
      </w:pPr>
      <w:r>
        <w:t xml:space="preserve">45.</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20">
        <w:r>
          <w:rPr>
            <w:rStyle w:val="Hyperlink"/>
          </w:rPr>
          <w:t xml:space="preserve">https://doi.org/10.1016/j.earscirev.2021.103617</w:t>
        </w:r>
      </w:hyperlink>
      <w:r>
        <w:t xml:space="preserve">.</w:t>
      </w:r>
    </w:p>
    <w:bookmarkEnd w:id="121"/>
    <w:bookmarkStart w:id="123" w:name="ref-warren2015"/>
    <w:p>
      <w:pPr>
        <w:pStyle w:val="Bibliography"/>
      </w:pPr>
      <w:r>
        <w:t xml:space="preserve">46.</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22">
        <w:r>
          <w:rPr>
            <w:rStyle w:val="Hyperlink"/>
          </w:rPr>
          <w:t xml:space="preserve">https://doi.org/10.1111/ele.12398</w:t>
        </w:r>
      </w:hyperlink>
      <w:r>
        <w:t xml:space="preserve">.</w:t>
      </w:r>
    </w:p>
    <w:bookmarkEnd w:id="123"/>
    <w:bookmarkStart w:id="125" w:name="ref-couvreur2011"/>
    <w:p>
      <w:pPr>
        <w:pStyle w:val="Bibliography"/>
      </w:pPr>
      <w:r>
        <w:t xml:space="preserve">47.</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24">
        <w:r>
          <w:rPr>
            <w:rStyle w:val="Hyperlink"/>
          </w:rPr>
          <w:t xml:space="preserve">https://doi.org/10.1111/j.1365-2699.2010.02434.x</w:t>
        </w:r>
      </w:hyperlink>
      <w:r>
        <w:t xml:space="preserve">.</w:t>
      </w:r>
    </w:p>
    <w:bookmarkEnd w:id="125"/>
    <w:bookmarkStart w:id="127" w:name="ref-upchurch2024"/>
    <w:p>
      <w:pPr>
        <w:pStyle w:val="Bibliography"/>
      </w:pPr>
      <w:r>
        <w:t xml:space="preserve">48.</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26">
        <w:r>
          <w:rPr>
            <w:rStyle w:val="Hyperlink"/>
          </w:rPr>
          <w:t xml:space="preserve">https://doi.org/10.1098/rsbl.2024.0429</w:t>
        </w:r>
      </w:hyperlink>
      <w:r>
        <w:t xml:space="preserve">.</w:t>
      </w:r>
    </w:p>
    <w:bookmarkEnd w:id="127"/>
    <w:bookmarkStart w:id="129" w:name="ref-gearty2023"/>
    <w:p>
      <w:pPr>
        <w:pStyle w:val="Bibliography"/>
      </w:pPr>
      <w:r>
        <w:t xml:space="preserve">49.</w:t>
      </w:r>
      <w:r>
        <w:t xml:space="preserve"> </w:t>
      </w:r>
      <w:r>
        <w:t xml:space="preserve">	</w:t>
      </w:r>
      <w:r>
        <w:t xml:space="preserve">Gearty, W. (2023).</w:t>
      </w:r>
      <w:r>
        <w:t xml:space="preserve"> </w:t>
      </w:r>
      <w:hyperlink r:id="rId128">
        <w:r>
          <w:rPr>
            <w:rStyle w:val="Hyperlink"/>
          </w:rPr>
          <w:t xml:space="preserve">Deeptime: Plotting tools for anyone working in deep time. R package version 1.0.1.</w:t>
        </w:r>
      </w:hyperlink>
    </w:p>
    <w:bookmarkEnd w:id="129"/>
    <w:bookmarkEnd w:id="130"/>
    <w:bookmarkEnd w:id="131"/>
    <w:bookmarkStart w:id="148"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35" w:name="fig-framework"/>
          <w:p>
            <w:pPr>
              <w:pStyle w:val="Compact"/>
              <w:jc w:val="center"/>
            </w:pPr>
            <w:r>
              <w:drawing>
                <wp:inline>
                  <wp:extent cx="3959999" cy="3959999"/>
                  <wp:effectExtent b="0" l="0" r="0" t="0"/>
                  <wp:docPr descr="" title="" id="133" name="Picture"/>
                  <a:graphic>
                    <a:graphicData uri="http://schemas.openxmlformats.org/drawingml/2006/picture">
                      <pic:pic>
                        <pic:nvPicPr>
                          <pic:cNvPr descr="../Figures/MS/Main/Figure1/Figure1.png" id="134" name="Picture"/>
                          <pic:cNvPicPr>
                            <a:picLocks noChangeArrowheads="1" noChangeAspect="1"/>
                          </pic:cNvPicPr>
                        </pic:nvPicPr>
                        <pic:blipFill>
                          <a:blip r:embed="rId132"/>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34</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8</w:t>
            </w:r>
            <w:r>
              <w:t xml:space="preserve"> </w:t>
            </w:r>
            <w:r>
              <w:t xml:space="preserve">is indicated by the light purple vertical bands. Geological timescale was depicted using the deeptime R package</w:t>
            </w:r>
            <w:r>
              <w:rPr>
                <w:vertAlign w:val="superscript"/>
              </w:rPr>
              <w:t xml:space="preserve">49</w:t>
            </w:r>
            <w:r>
              <w:t xml:space="preserve">. The empirically-derived asymmetry of the transcontinental land mammal exchange is represented by the thickness of the two arrows, the thicker the arrow, the more intense the exchange.</w:t>
            </w:r>
          </w:p>
          <w:bookmarkEnd w:id="135"/>
        </w:tc>
      </w:tr>
    </w:tbl>
    <w:tbl>
      <w:tblPr>
        <w:tblStyle w:val="Table"/>
        <w:tblW w:type="pct" w:w="5000"/>
        <w:tblLayout w:type="fixed"/>
        <w:tblLook w:firstRow="0" w:lastRow="0" w:firstColumn="0" w:lastColumn="0" w:noHBand="0" w:noVBand="0" w:val="0000"/>
      </w:tblPr>
      <w:tblGrid>
        <w:gridCol w:w="7920"/>
      </w:tblGrid>
      <w:tr>
        <w:tc>
          <w:tcPr/>
          <w:bookmarkStart w:id="139" w:name="fig-propsuccess"/>
          <w:p>
            <w:pPr>
              <w:pStyle w:val="Compact"/>
              <w:jc w:val="center"/>
            </w:pPr>
            <w:r>
              <w:drawing>
                <wp:inline>
                  <wp:extent cx="3599999" cy="3959999"/>
                  <wp:effectExtent b="0" l="0" r="0" t="0"/>
                  <wp:docPr descr="" title="" id="137" name="Picture"/>
                  <a:graphic>
                    <a:graphicData uri="http://schemas.openxmlformats.org/drawingml/2006/picture">
                      <pic:pic>
                        <pic:nvPicPr>
                          <pic:cNvPr descr="../Figures/MS/Main/Figure2/Figure2.png" id="138" name="Picture"/>
                          <pic:cNvPicPr>
                            <a:picLocks noChangeArrowheads="1" noChangeAspect="1"/>
                          </pic:cNvPicPr>
                        </pic:nvPicPr>
                        <pic:blipFill>
                          <a:blip r:embed="rId136"/>
                          <a:stretch>
                            <a:fillRect/>
                          </a:stretch>
                        </pic:blipFill>
                        <pic:spPr bwMode="auto">
                          <a:xfrm>
                            <a:off x="0" y="0"/>
                            <a:ext cx="359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From left to right and top to bottom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environmental conditions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computed out of the successful simulations (</w:t>
            </w:r>
            <w:r>
              <w:rPr>
                <w:i/>
                <w:iCs/>
              </w:rPr>
              <w:t xml:space="preserve">i</w:t>
            </w:r>
            <w:r>
              <w:t xml:space="preserve">.</w:t>
            </w:r>
            <w:r>
              <w:rPr>
                <w:i/>
                <w:iCs/>
              </w:rPr>
              <w:t xml:space="preserve">e</w:t>
            </w:r>
            <w:r>
              <w:t xml:space="preserve">., leading to a successful transcontinental faunal exchange) and error bars show their associated 95% confidence interval derived from a binomial.</w:t>
            </w:r>
          </w:p>
          <w:bookmarkEnd w:id="139"/>
        </w:tc>
      </w:tr>
    </w:tbl>
    <w:tbl>
      <w:tblPr>
        <w:tblStyle w:val="Table"/>
        <w:tblW w:type="pct" w:w="5000"/>
        <w:tblLayout w:type="fixed"/>
        <w:tblLook w:firstRow="0" w:lastRow="0" w:firstColumn="0" w:lastColumn="0" w:noHBand="0" w:noVBand="0" w:val="0000"/>
      </w:tblPr>
      <w:tblGrid>
        <w:gridCol w:w="7920"/>
      </w:tblGrid>
      <w:tr>
        <w:tc>
          <w:tcPr/>
          <w:bookmarkStart w:id="143" w:name="fig-metrics"/>
          <w:p>
            <w:pPr>
              <w:pStyle w:val="Compact"/>
              <w:jc w:val="left"/>
            </w:pPr>
            <w:r>
              <w:drawing>
                <wp:inline>
                  <wp:extent cx="5039999" cy="4319999"/>
                  <wp:effectExtent b="0" l="0" r="0" t="0"/>
                  <wp:docPr descr="" title="" id="141" name="Picture"/>
                  <a:graphic>
                    <a:graphicData uri="http://schemas.openxmlformats.org/drawingml/2006/picture">
                      <pic:pic>
                        <pic:nvPicPr>
                          <pic:cNvPr descr="../Figures/MS/Main/Figure3/Figure3.png" id="142" name="Picture"/>
                          <pic:cNvPicPr>
                            <a:picLocks noChangeArrowheads="1" noChangeAspect="1"/>
                          </pic:cNvPicPr>
                        </pic:nvPicPr>
                        <pic:blipFill>
                          <a:blip r:embed="rId140"/>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Panel organisation is similar to</w:t>
            </w:r>
            <w:r>
              <w:t xml:space="preserve"> </w:t>
            </w:r>
            <w:hyperlink w:anchor="fig-propsuccess">
              <w:r>
                <w:rPr>
                  <w:rStyle w:val="Hyperlink"/>
                </w:rPr>
                <w:t xml:space="preserve">Figure 2</w:t>
              </w:r>
            </w:hyperlink>
            <w:r>
              <w:t xml:space="preserve">.</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43"/>
        </w:tc>
      </w:tr>
    </w:tbl>
    <w:tbl>
      <w:tblPr>
        <w:tblStyle w:val="Table"/>
        <w:tblW w:type="pct" w:w="5000"/>
        <w:tblLayout w:type="fixed"/>
        <w:tblLook w:firstRow="0" w:lastRow="0" w:firstColumn="0" w:lastColumn="0" w:noHBand="0" w:noVBand="0" w:val="0000"/>
      </w:tblPr>
      <w:tblGrid>
        <w:gridCol w:w="7920"/>
      </w:tblGrid>
      <w:tr>
        <w:tc>
          <w:tcPr/>
          <w:bookmarkStart w:id="147" w:name="fig-biome"/>
          <w:p>
            <w:pPr>
              <w:pStyle w:val="Compact"/>
              <w:jc w:val="left"/>
            </w:pPr>
            <w:r>
              <w:drawing>
                <wp:inline>
                  <wp:extent cx="5039999" cy="3239999"/>
                  <wp:effectExtent b="0" l="0" r="0" t="0"/>
                  <wp:docPr descr="" title="" id="145" name="Picture"/>
                  <a:graphic>
                    <a:graphicData uri="http://schemas.openxmlformats.org/drawingml/2006/picture">
                      <pic:pic>
                        <pic:nvPicPr>
                          <pic:cNvPr descr="../Figures/MS/Main/Figure4/Figure-biome.png" id="146" name="Picture"/>
                          <pic:cNvPicPr>
                            <a:picLocks noChangeArrowheads="1" noChangeAspect="1"/>
                          </pic:cNvPicPr>
                        </pic:nvPicPr>
                        <pic:blipFill>
                          <a:blip r:embed="rId144"/>
                          <a:stretch>
                            <a:fillRect/>
                          </a:stretch>
                        </pic:blipFill>
                        <pic:spPr bwMode="auto">
                          <a:xfrm>
                            <a:off x="0" y="0"/>
                            <a:ext cx="5039999" cy="323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Proportion of successful simulations based on the biome where ancestral species originates, for each scenario-ancestral area combination.</w:t>
            </w:r>
          </w:p>
          <w:bookmarkEnd w:id="147"/>
        </w:tc>
      </w:tr>
    </w:tbl>
    <w:bookmarkEnd w:id="148"/>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hyperlink" Id="rId38" Target="http://repository.si.edu/xmlui/handle/10088/35473" TargetMode="External" /><Relationship Type="http://schemas.openxmlformats.org/officeDocument/2006/relationships/hyperlink" Id="rId128"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0"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4" Target="https://doi.org/10.1016/j.gloplacha.2022.103758" TargetMode="External" /><Relationship Type="http://schemas.openxmlformats.org/officeDocument/2006/relationships/hyperlink" Id="rId112"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6"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2"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4" Target="https://doi.org/10.1111/j.1365-2699.2010.02434.x" TargetMode="External" /><Relationship Type="http://schemas.openxmlformats.org/officeDocument/2006/relationships/hyperlink" Id="rId118"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6"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38" Target="http://repository.si.edu/xmlui/handle/10088/35473" TargetMode="External" /><Relationship Type="http://schemas.openxmlformats.org/officeDocument/2006/relationships/hyperlink" Id="rId128"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0"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4" Target="https://doi.org/10.1016/j.gloplacha.2022.103758" TargetMode="External" /><Relationship Type="http://schemas.openxmlformats.org/officeDocument/2006/relationships/hyperlink" Id="rId112"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6"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2"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4" Target="https://doi.org/10.1111/j.1365-2699.2010.02434.x" TargetMode="External" /><Relationship Type="http://schemas.openxmlformats.org/officeDocument/2006/relationships/hyperlink" Id="rId118"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6"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2025-10-13T15:12:11Z</dcterms:created>
  <dcterms:modified xsi:type="dcterms:W3CDTF">2025-10-13T15:12:11Z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