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6.png" ContentType="image/png"/>
  <Override PartName="/word/media/rId174.png" ContentType="image/png"/>
  <Override PartName="/word/media/rId162.png" ContentType="image/png"/>
  <Override PartName="/word/media/rId1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facilitated by the closure of the isthmus of Panama in the Mio-Pliocene. Among land mammals, this faunal exchange was asymmetric: a greater number of North American lineages established southwards, meanwhile many South Americans went extinct. Despite the unquestionable nature of this macroecological imbalance, the mechanisms underlying such an asymmetry remain debated. Here, coupling a mechanistic eco-evolutionary simulator with palaeoclimatic reconstructions for the last 5 million years, we explore the extent to which palaeoclimate, alone, may have shaped such a biogeographic asymmetry. When climatic variables are the only constraints to species’ dispersal, our results indicate that successful interchanges are more frequently achieved when simulations start from South America than from North America, contrary to what could be expected based on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additional biogeographic and ecological filters were at play. This study offers new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Biotic Interchange; Eco-evolutionary simulations;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biotic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continental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Pleistocene, the ability of migrant lineages to maintain and diversify in the newly-colonised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no clear consensus regarding the drivers underlying this asymmetry has been established yet. On the one hand, biotic interactions involving migrant and native species have often been proposed to explain such an asymmetry.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the role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Proposed by Webb</w:t>
      </w:r>
      <w:r>
        <w:rPr>
          <w:vertAlign w:val="superscript"/>
        </w:rPr>
        <w:t xml:space="preserve">14</w:t>
      </w:r>
      <w:r>
        <w:t xml:space="preserve"> </w:t>
      </w:r>
      <w:r>
        <w:t xml:space="preserve">and Vrba</w:t>
      </w:r>
      <w:r>
        <w:rPr>
          <w:vertAlign w:val="superscript"/>
        </w:rPr>
        <w:t xml:space="preserve">24</w:t>
      </w:r>
      <w:r>
        <w:t xml:space="preserve">, the prevailing view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rPr>
          <w:vertAlign w:val="superscript"/>
        </w:rPr>
        <w:t xml:space="preserve">32</w:t>
      </w:r>
      <w:r>
        <w:t xml:space="preserve">. Recently, this class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test Webb and Vrba’s hypothesis on the role of palaeoclimate dynamics in the asymmetry of the GABI using a spatially-explicit mechanistic biodiversity simulator coupled with palaeoclimate reconstructions across the last 5 million years. Our simulations tracked the diversification of a clade originating either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and (iii) successful interchange would be more frequently achieved among biome generalists, extratropical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w:t>
      </w:r>
      <w:r>
        <w:t xml:space="preserve">(</w:t>
      </w:r>
      <w:hyperlink w:anchor="fig-framework">
        <w:r>
          <w:rPr>
            <w:rStyle w:val="Hyperlink"/>
          </w:rPr>
          <w:t xml:space="preserve">Figure 1</w:t>
        </w:r>
      </w:hyperlink>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2</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This imbalance was also maintained when standardising initial distances to the isthmus of Panama for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of Panama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w:t>
      </w:r>
    </w:p>
    <w:bookmarkEnd w:id="23"/>
    <w:bookmarkStart w:id="24"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 quantified as the ratio between the number of pixels recording a presence in the landmass to colonise and the total number of pixels in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1</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rPr>
          <w:i/>
          <w:iCs/>
        </w:rPr>
        <w:t xml:space="preserve">i</w:t>
      </w:r>
      <w:r>
        <w:t xml:space="preserve">.</w:t>
      </w:r>
      <w:r>
        <w:rPr>
          <w:i/>
          <w:iCs/>
        </w:rPr>
        <w:t xml:space="preserve">e</w:t>
      </w:r>
      <w:r>
        <w:t xml:space="preserve">., the number of taxa within the colonised continent)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For each simulation, the ancestral species was therefore assigned an initial biome based on the location of the site where it originated, randomly drawn within an equal-area grid overlaying our landscape (see</w:t>
      </w:r>
      <w:r>
        <w:t xml:space="preserve"> </w:t>
      </w:r>
      <w:r>
        <w:rPr>
          <w:i/>
          <w:iCs/>
        </w:rPr>
        <w:t xml:space="preserve">STAR Methods</w:t>
      </w:r>
      <w:r>
        <w:t xml:space="preserve">). Simulations generated under the</w:t>
      </w:r>
      <w:r>
        <w:t xml:space="preserve"> </w:t>
      </w:r>
      <m:oMath>
        <m:r>
          <m:t>M</m:t>
        </m:r>
        <m:r>
          <m:t>0</m:t>
        </m:r>
      </m:oMath>
      <w:r>
        <w:t xml:space="preserve"> </w:t>
      </w:r>
      <w:r>
        <w:t xml:space="preserve">model – where climatic niche does not evolve –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of Panama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holds when standardising initial distances to the isthmus of Panama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regardless of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0"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newly-colonised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 exchange that resulted from the GABI must have been shaped by additional factors than climate alone. This result might have broader implications in biogeography, a discipline where climate has been used as the main factor explaining the distribution limits and the range dynamic of species.</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 Marshall et al.</w:t>
      </w:r>
      <w:r>
        <w:rPr>
          <w:vertAlign w:val="superscript"/>
        </w:rPr>
        <w:t xml:space="preserve">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goes in contradiction with the mammal fossil record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w:t>
      </w:r>
      <w:r>
        <w:t xml:space="preserve">, it actually echoes inter-American exchange patterns suggested by other groups of vertebrates. For instance, the extant South American amphibian fauna is almost entirely endemic</w:t>
      </w:r>
      <w:r>
        <w:rPr>
          <w:vertAlign w:val="superscript"/>
        </w:rPr>
        <w:t xml:space="preserve">47</w:t>
      </w:r>
      <w:r>
        <w:t xml:space="preserve">. By contrast, the North American frog fauna is composed of four families of southern origin, and only three of northern origin</w:t>
      </w:r>
      <w:r>
        <w:rPr>
          <w:vertAlign w:val="superscript"/>
        </w:rPr>
        <w:t xml:space="preserve">47</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(suggested by their mode of locomotion), phylogenetic evidence has shown a significant influence of the closure of the Panamanian Seaway in the rates of exchange between both continent’s avifaunas</w:t>
      </w:r>
      <w:r>
        <w:rPr>
          <w:vertAlign w:val="superscript"/>
        </w:rPr>
        <w:t xml:space="preserve">50,51</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rPr>
          <w:vertAlign w:val="superscript"/>
        </w:rPr>
        <w:t xml:space="preserve">49,51</w:t>
      </w:r>
      <w:r>
        <w:t xml:space="preserve">. That being said, notable exceptions of South American bird groups that successfully diversified in North America (including within temperate regions) exist, such as hummingbirds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However, the lack of fossil record for all the aforementioned groups greatly hampers the understanding of the processes behind their biogeographic history. Last, the Central American flora has been characterised as a mixture of lineages of North and South American origins, but phylogenetic evidence have suggested that the arrival of taxa from South America largely predated the established timeline of the GABI</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rPr>
          <w:vertAlign w:val="superscript"/>
        </w:rPr>
        <w:t xml:space="preserve">54</w:t>
      </w:r>
      <w:r>
        <w:t xml:space="preserve">.</w:t>
      </w:r>
    </w:p>
    <w:bookmarkEnd w:id="27"/>
    <w:bookmarkStart w:id="28"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hypotheses, formulated within the framework of habitat theory and applied to the GABI, is that tropical specialists would have been naturally attracted towards the equator following the contraction of the tropical belt in the aftermath of the global cooling occurring at the Plio-Pleistocene boundary (</w:t>
      </w:r>
      <w:hyperlink w:anchor="fig-framework">
        <w:r>
          <w:rPr>
            <w:rStyle w:val="Hyperlink"/>
          </w:rPr>
          <w:t xml:space="preserve">Figure 1</w:t>
        </w:r>
      </w:hyperlink>
      <w:r>
        <w:t xml:space="preserve">, from</w:t>
      </w:r>
      <w:r>
        <w:t xml:space="preserve"> </w:t>
      </w:r>
      <w:r>
        <w:rPr>
          <w:i/>
          <w:iCs/>
        </w:rPr>
        <w:t xml:space="preserve">ca</w:t>
      </w:r>
      <w:r>
        <w:t xml:space="preserve">. 3 Ma). This would have actively promoted the establishment of North American tropical specialists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55</w:t>
      </w:r>
      <w:r>
        <w:t xml:space="preserve">. The latter hypothesis views the high diversity in the (Neo)tropics as a result of past climatic fragmentation of the tropical climatic region, generating discontinuities within populations of tropical taxa. In case of climatic disruption, tropical taxa would therefore follow the contraction-expansion of their habitat, in turn driving speciation by vicariance on evolutionary timescales</w:t>
      </w:r>
      <w:r>
        <w:rPr>
          <w:vertAlign w:val="superscript"/>
        </w:rPr>
        <w:t xml:space="preserve">55</w:t>
      </w:r>
      <w:r>
        <w:t xml:space="preserve">. Here, our virtual experiments partially corroborate these historical predictions. Indeed, simulated tropical generalists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for instance equids, proboscids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rPr>
          <w:vertAlign w:val="superscript"/>
        </w:rPr>
        <w:t xml:space="preserve">14</w:t>
      </w:r>
      <w:r>
        <w:t xml:space="preserve">. Under such an assumption, the majority of exchanged taxa would therefore have ecologies suited to open habitats, and would have preferentially dispersed during Pleistocene glaciations</w:t>
      </w:r>
      <w:r>
        <w:rPr>
          <w:vertAlign w:val="superscript"/>
        </w:rPr>
        <w:t xml:space="preserve">11,13</w:t>
      </w:r>
      <w:r>
        <w:t xml:space="preserve">. As mentioned by Weir</w:t>
      </w:r>
      <w:r>
        <w:rPr>
          <w:vertAlign w:val="superscript"/>
        </w:rPr>
        <w:t xml:space="preserve">50</w:t>
      </w:r>
      <w:r>
        <w:t xml:space="preserve">, the American mammal fossil record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Furthermore, evidence from extant mammal taxa suggest a strong tropical niche conservatism, that is, the trend according to which newly-originated tropical taxa would remain inhabiting under tropical climates</w:t>
      </w:r>
      <w:r>
        <w:rPr>
          <w:vertAlign w:val="superscript"/>
        </w:rPr>
        <w:t xml:space="preserve">49,58</w:t>
      </w:r>
      <w:r>
        <w:t xml:space="preserve">. Thus, the fossil-derived number of mammal exchanges must have been greatly underestimated, with little fossil evidence of interchange constrained to the tropical biome, as stressed by Carrillo</w:t>
      </w:r>
      <w:r>
        <w:rPr>
          <w:vertAlign w:val="superscript"/>
        </w:rPr>
        <w:t xml:space="preserve">16</w:t>
      </w:r>
      <w:r>
        <w:t xml:space="preserve">. Thus, one can wonder: could the empirically-derived migration imbalance in favour of North American taxa dispersing southwards be altered by the tropical niche conservatism of south-to-north migrants, thereby obscuring the actual number of intercontinental exchanges?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S13). This mirrors the fact that simulated tropical specialists from South America were more intensively exchanged than other simulated biome specialists (</w:t>
      </w:r>
      <w:hyperlink w:anchor="fig-biome">
        <w:r>
          <w:rPr>
            <w:rStyle w:val="Hyperlink"/>
          </w:rPr>
          <w:t xml:space="preserve">Figure 4</w:t>
        </w:r>
      </w:hyperlink>
      <w:r>
        <w:t xml:space="preserve"> </w:t>
      </w:r>
      <w:r>
        <w:t xml:space="preserve">C).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4</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rPr>
          <w:vertAlign w:val="superscript"/>
        </w:rPr>
        <w:t xml:space="preserve">12,16</w:t>
      </w:r>
      <w:r>
        <w:t xml:space="preserve">. Hence, our study calls for thinking about the distinction between the ability to disperse towards, and ability to maintain within the foreign area. Those two distinct processes may have been ruled by different factors.</w:t>
      </w:r>
    </w:p>
    <w:p>
      <w:pPr>
        <w:pStyle w:val="BodyText"/>
      </w:pPr>
      <w:r>
        <w:t xml:space="preserve">We tested tropical niche conservatism (Figure S12 and S14)</w:t>
      </w:r>
    </w:p>
    <w:p>
      <w:pPr>
        <w:pStyle w:val="BodyText"/>
      </w:pPr>
      <w:r>
        <w:t xml:space="preserve">Our simulations cast doubt on the interplay between the aforementioned exchange pulses and temperature fluctuations, as exemplified by the combined times of occurrence of all successful exchanges (either southwards or northwards, depending on whether the simulation started from North or South America) occurring in all the simulations generated under a given landmass-scenario combination (Figure S11).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(Figure S4−5). Note that this explanation does not invoke any implication of climate. Regarding southwards exchanges, the same pattern seems to arise for simulations generated under the</w:t>
      </w:r>
      <w:r>
        <w:t xml:space="preserve"> </w:t>
      </w:r>
      <m:oMath>
        <m:r>
          <m:t>M</m:t>
        </m:r>
        <m:r>
          <m:t>1</m:t>
        </m:r>
      </m:oMath>
      <w:r>
        <w:t xml:space="preserve"> </w:t>
      </w:r>
      <w:r>
        <w:t xml:space="preserve">model, but not under</w:t>
      </w:r>
      <w:r>
        <w:t xml:space="preserve"> </w:t>
      </w:r>
      <m:oMath>
        <m:r>
          <m:t>M</m:t>
        </m:r>
        <m:r>
          <m:t>0</m:t>
        </m:r>
      </m:oMath>
      <w:r>
        <w:t xml:space="preserve"> </w:t>
      </w:r>
      <w:r>
        <w:t xml:space="preserve">(Figure S11). The distribution of the exchange times in the latter case rather exhibits sporadic pulses</w:t>
      </w:r>
      <w:r>
        <w:t xml:space="preserve"> </w:t>
      </w:r>
      <w:r>
        <w:rPr>
          <w:i/>
          <w:iCs/>
        </w:rPr>
        <w:t xml:space="preserve">ca.</w:t>
      </w:r>
      <w:r>
        <w:t xml:space="preserve"> </w:t>
      </w:r>
      <w:r>
        <w:t xml:space="preserve">0.2, 0.5, 0.8, 1.2, 1.9, 2.5 Ma, which could match with some temperature minima, but accurately testing such an observation would require additional data. Rather, the sporadic character of exchange pulses in that case could simply come from the relatively low amount of successful simulations as compared to other modelling scenarios (Table S3). Overall, our simulations suggest that the relationship between temperature minima and pulses of faunal exchange between the Americas seems to be more complex than previously stated</w:t>
      </w:r>
      <w:r>
        <w:rPr>
          <w:vertAlign w:val="superscript"/>
        </w:rPr>
        <w:t xml:space="preserve">11,</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14,24,29,30</w:t>
      </w:r>
      <w:r>
        <w:t xml:space="preserve">.</w:t>
      </w:r>
    </w:p>
    <w:p>
      <w:pPr>
        <w:pStyle w:val="BodyText"/>
      </w:pPr>
      <w:r>
        <w:t xml:space="preserve">Our findings nevertheless leave some space for possible random effects purely related to geography. Indeed, irrespective of the initial landmass, successful simulations originated on average closer to the isthmus of Panama than unsuccessful ones (Figures S6–7). This may suggest that some simulations were unsuccessful not only because of climatic filters, but also because they simply started too far from the landbridge and did not have the chance to reach it throughout the duration of the simulation. The relationship between the success of a taxon to make it to the other continent and the distance between its geographic range and the isthmus of Panama has long been postulated in the literature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Webb</w:t>
      </w:r>
      <w:r>
        <w:rPr>
          <w:vertAlign w:val="superscript"/>
        </w:rPr>
        <w:t xml:space="preserve">14</w:t>
      </w:r>
      <w:r>
        <w:t xml:space="preserve"> </w:t>
      </w:r>
      <w:r>
        <w:t xml:space="preserve">greatly illustrated this view with the example of antilocaprids, that</w:t>
      </w:r>
      <w:r>
        <w:t xml:space="preserve"> </w:t>
      </w:r>
      <w:r>
        <w:t xml:space="preserve">“</w:t>
      </w:r>
      <w:r>
        <w:t xml:space="preserve">were probably capable of living somewhere in the Andes, [but] were simply too far from the isthmian link to make the exodus</w:t>
      </w:r>
      <w:r>
        <w:t xml:space="preserve">”</w:t>
      </w:r>
      <w:r>
        <w:t xml:space="preserve">. A recent study characterised a negative correlation between the proportion of migrant taxa within fossil assemblages of either North or South America and the distance of the fossil assemblage to the Panamanian landbridge</w:t>
      </w:r>
      <w:r>
        <w:rPr>
          <w:vertAlign w:val="superscript"/>
        </w:rPr>
        <w:t xml:space="preserve">59</w:t>
      </w:r>
      <w:r>
        <w:t xml:space="preserve">. Therefore, geographic contingency must have also had a significant role to play in the asymmetry of the GABI.</w:t>
      </w:r>
    </w:p>
    <w:bookmarkEnd w:id="28"/>
    <w:bookmarkStart w:id="29"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 et al.</w:t>
      </w:r>
      <w:r>
        <w:rPr>
          <w:vertAlign w:val="superscript"/>
        </w:rPr>
        <w:t xml:space="preserve">16</w:t>
      </w:r>
      <w:r>
        <w:t xml:space="preserve"> </w:t>
      </w:r>
      <w:r>
        <w:t xml:space="preserve">showed that the asymmetry of the GABI was not due to differences in origination or dispersal rates, but rather in extinction rates: native South American lineages experienced more extinctions in their home range than migrant lineages. In our simulations, for a species to go extinct, it needs to disappear from each cell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 particularly in the framework of the GABI.</w:t>
      </w:r>
    </w:p>
    <w:p>
      <w:pPr>
        <w:pStyle w:val="BodyText"/>
      </w:pPr>
      <w:r>
        <w:t xml:space="preserve">Also, we evidenced a nuance between the proportion of colonised area and the absolute colonised area (</w:t>
      </w:r>
      <w:hyperlink w:anchor="fig-metrics">
        <w:r>
          <w:rPr>
            <w:rStyle w:val="Hyperlink"/>
          </w:rPr>
          <w:t xml:space="preserve">Figure 3</w:t>
        </w:r>
      </w:hyperlink>
      <w:r>
        <w:t xml:space="preserve"> </w:t>
      </w:r>
      <w:r>
        <w:t xml:space="preserve">and S13) simply comes from the imbalanced number of pixels between the two landmasses, being around two times larger for North America than for South America (</w:t>
      </w:r>
      <w:hyperlink w:anchor="fig-framework">
        <w:r>
          <w:rPr>
            <w:rStyle w:val="Hyperlink"/>
          </w:rPr>
          <w:t xml:space="preserve">Figure 1</w:t>
        </w:r>
      </w:hyperlink>
      <w:r>
        <w:t xml:space="preserve">). A possible avenue to avoid such confusions when carrying eco-evolutionary simulations at such a broad spatial scale (here from</w:t>
      </w:r>
      <w:r>
        <w:t xml:space="preserve"> </w:t>
      </w:r>
      <w:r>
        <w:rPr>
          <w:i/>
          <w:iCs/>
        </w:rPr>
        <w:t xml:space="preserve">ca</w:t>
      </w:r>
      <w:r>
        <w:t xml:space="preserve">. 80° N to</w:t>
      </w:r>
      <w:r>
        <w:t xml:space="preserve"> </w:t>
      </w:r>
      <w:r>
        <w:rPr>
          <w:i/>
          <w:iCs/>
        </w:rPr>
        <w:t xml:space="preserve">ca</w:t>
      </w:r>
      <w:r>
        <w:t xml:space="preserve">. 40° S lat) would be to use equal-area landscapes. In our case, this would require conversions in the palaeoclimate simulations that we use, as well as adapting dispersal probabilities based on actual distances rather than equal-degree pixels.</w:t>
      </w:r>
    </w:p>
    <w:p>
      <w:pPr>
        <w:pStyle w:val="BodyText"/>
      </w:pPr>
      <w:r>
        <w:t xml:space="preserve">In addition, the main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Convinced that the overwhelming success of North American mammals in South America could</w:t>
      </w:r>
      <w:r>
        <w:t xml:space="preserve"> </w:t>
      </w:r>
      <w:r>
        <w:t xml:space="preserve">“</w:t>
      </w:r>
      <w:r>
        <w:rPr>
          <w:i/>
          <w:iCs/>
        </w:rPr>
        <w:t xml:space="preserve">not be pure coincidence</w:t>
      </w:r>
      <w:r>
        <w:t xml:space="preserve">”</w:t>
      </w:r>
      <w:r>
        <w:t xml:space="preserve">, Simpson</w:t>
      </w:r>
      <w:r>
        <w:rPr>
          <w:vertAlign w:val="superscript"/>
        </w:rPr>
        <w:t xml:space="preserve">61</w:t>
      </w:r>
      <w:r>
        <w:t xml:space="preserve"> </w:t>
      </w:r>
      <w:r>
        <w:t xml:space="preserve">proposed this imbalance to come from the different levels of connectivity with other landmasses between North and South America throughout the Cenozoic. Whereas South America mostly evolved as an isolated continent, North America has been repeatedly connected to other landmasses, promoting faunal exchanges. Lineages that maintained in the aftermath of such connection therefore had to cope with eventual competition with other groups, which was not the case of South American fauna.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Hence, incorporating biotic compounds in mechanistic frameworks such as the one we have implemented here would be a worthy avenue for future studies tackling the asymmetry behind the GABI.</w:t>
      </w:r>
    </w:p>
    <w:p>
      <w:pPr>
        <w:pStyle w:val="BodyText"/>
      </w:pPr>
      <w:r>
        <w:t xml:space="preserve">Last, 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to be the main trigger of the GABI</w:t>
      </w:r>
      <w:r>
        <w:rPr>
          <w:vertAlign w:val="superscript"/>
        </w:rPr>
        <w:t xml:space="preserve">2</w:t>
      </w:r>
      <w:r>
        <w:t xml:space="preserve">. Yet, the fossil record of the Caribbean Islands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62,63</w:t>
      </w:r>
      <w:r>
        <w:t xml:space="preserve">. Although over-water dispersal has long been regarded as the prevailing mechanism</w:t>
      </w:r>
      <w:r>
        <w:rPr>
          <w:vertAlign w:val="superscript"/>
        </w:rPr>
        <w:t xml:space="preserve">62</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64</w:t>
      </w:r>
      <w:r>
        <w:t xml:space="preserve">. Hence, it would make sense to consider the Caribbean Islands as an alternative dispersal pathway between the Americas, as shown to be the case in earlier time frames, for instance, near the Eocene–Oligocene boundary (</w:t>
      </w:r>
      <w:r>
        <w:rPr>
          <w:i/>
          <w:iCs/>
        </w:rPr>
        <w:t xml:space="preserve">i</w:t>
      </w:r>
      <w:r>
        <w:t xml:space="preserve">.</w:t>
      </w:r>
      <w:r>
        <w:rPr>
          <w:i/>
          <w:iCs/>
        </w:rPr>
        <w:t xml:space="preserve">e</w:t>
      </w:r>
      <w:r>
        <w:t xml:space="preserve">., GAARlandia hypothesis)</w:t>
      </w:r>
      <w:r>
        <w:rPr>
          <w:vertAlign w:val="superscript"/>
        </w:rPr>
        <w:t xml:space="preserve">64,65</w:t>
      </w:r>
      <w:r>
        <w:t xml:space="preserve">.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66</w:t>
      </w:r>
      <w:r>
        <w:t xml:space="preserve"> </w:t>
      </w:r>
      <w:r>
        <w:t xml:space="preserve">as well as the poor mention of the Caribbean Islands as a stepping-stone in the literature of the GABI, we believe that considering this alternative route in our framework would rather deserve to be the topic of another study.</w:t>
      </w:r>
    </w:p>
    <w:p>
      <w:pPr>
        <w:pStyle w:val="BodyText"/>
      </w:pPr>
      <w:r>
        <w:t xml:space="preserve">In summary, our findings do not support hypotheses exclusively relating the asymmetry of the GABI to palaeoclimate dynamics. Rather, our virtual experiments suggest that palaeoclimate would not have acted against exchange between tropical faunas of both continents, in turn stressing that the tropics did not act as a barrier, as previously stated. As they largely rely on the mammal fossil record, hypotheses relating the asymmetry of the GABI to palaeoclimate dynamics must have been affected by taphonomic bias, given the scarcity of fossil material in the tropical areas of the Americas. All this ultimately suggests that, despite being virtually able to make it to the other landmass, other factors unconsidered here must have been at play to prevent the establishment of endemic land mammals from South America in the other continent, in turn shaping the imbalance of the GABI.</w:t>
      </w:r>
    </w:p>
    <w:p>
      <w:r>
        <w:br w:type="page"/>
      </w:r>
    </w:p>
    <w:bookmarkEnd w:id="29"/>
    <w:bookmarkEnd w:id="30"/>
    <w:bookmarkStart w:id="31"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feedback on the present work. L.B. was funded by a grant offered by the École Normale Supérieure de Lyon.</w:t>
      </w:r>
    </w:p>
    <w:bookmarkEnd w:id="31"/>
    <w:bookmarkStart w:id="32" w:name="author-contribution"/>
    <w:p>
      <w:pPr>
        <w:pStyle w:val="Heading1"/>
      </w:pPr>
      <w:r>
        <w:t xml:space="preserve">Author Contribution</w:t>
      </w:r>
    </w:p>
    <w:p>
      <w:pPr>
        <w:pStyle w:val="FirstParagraph"/>
      </w:pPr>
      <w:r>
        <w:t xml:space="preserve">S.V. and L.B. designed the project. L.B. ran the simulations, performed the analyses, produced the figures and wrote the manuscript with inputs from all co-authors.</w:t>
      </w:r>
    </w:p>
    <w:bookmarkEnd w:id="32"/>
    <w:bookmarkStart w:id="33" w:name="declaration-of-interests"/>
    <w:p>
      <w:pPr>
        <w:pStyle w:val="Heading1"/>
      </w:pPr>
      <w:r>
        <w:t xml:space="preserve">Declaration of Interests</w:t>
      </w:r>
    </w:p>
    <w:p>
      <w:pPr>
        <w:pStyle w:val="FirstParagraph"/>
      </w:pPr>
      <w:r>
        <w:t xml:space="preserve">The authors declare having no competing interests.</w:t>
      </w:r>
    </w:p>
    <w:p>
      <w:r>
        <w:br w:type="page"/>
      </w:r>
    </w:p>
    <w:bookmarkEnd w:id="33"/>
    <w:bookmarkStart w:id="161" w:name="references"/>
    <w:p>
      <w:pPr>
        <w:pStyle w:val="Heading1"/>
      </w:pPr>
      <w:r>
        <w:t xml:space="preserve">References</w:t>
      </w:r>
    </w:p>
    <w:bookmarkStart w:id="160" w:name="refs"/>
    <w:bookmarkStart w:id="35" w:name="ref-webb1976"/>
    <w:p>
      <w:pPr>
        <w:pStyle w:val="Bibliography"/>
      </w:pPr>
      <w:r>
        <w:t xml:space="preserve">1.</w:t>
      </w:r>
      <w:r>
        <w:t xml:space="preserve"> </w:t>
      </w:r>
      <w:r>
        <w:t xml:space="preserve">	</w:t>
      </w:r>
      <w:r>
        <w:t xml:space="preserve">Webb, S.D. (1976).</w:t>
      </w:r>
      <w:r>
        <w:t xml:space="preserve"> </w:t>
      </w:r>
      <w:hyperlink r:id="rId34">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5"/>
    <w:bookmarkStart w:id="37" w:name="ref-marshall1982"/>
    <w:p>
      <w:pPr>
        <w:pStyle w:val="Bibliography"/>
      </w:pPr>
      <w:r>
        <w:t xml:space="preserve">2.</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38">
        <w:r>
          <w:rPr>
            <w:rStyle w:val="Hyperlink"/>
          </w:rPr>
          <w:t xml:space="preserve">https://doi.org/10.1007/978-1-4684-9181-4</w:t>
        </w:r>
      </w:hyperlink>
      <w:r>
        <w:t xml:space="preserve">.</w:t>
      </w:r>
    </w:p>
    <w:bookmarkEnd w:id="39"/>
    <w:bookmarkStart w:id="41"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0">
        <w:r>
          <w:rPr>
            <w:rStyle w:val="Hyperlink"/>
          </w:rPr>
          <w:t xml:space="preserve">https://doi.org/10.1126/science.aaa2815</w:t>
        </w:r>
      </w:hyperlink>
      <w:r>
        <w:t xml:space="preserve">.</w:t>
      </w:r>
    </w:p>
    <w:bookmarkEnd w:id="41"/>
    <w:bookmarkStart w:id="43" w:name="ref-jaramillo2018"/>
    <w:p>
      <w:pPr>
        <w:pStyle w:val="Bibliography"/>
      </w:pPr>
      <w:r>
        <w:t xml:space="preserve">5.</w:t>
      </w:r>
      <w:r>
        <w:t xml:space="preserve"> </w:t>
      </w:r>
      <w:r>
        <w:t xml:space="preserve">	</w:t>
      </w:r>
      <w:r>
        <w:t xml:space="preserve">Jaramillo, C.A. (2018).</w:t>
      </w:r>
      <w:r>
        <w:t xml:space="preserve"> </w:t>
      </w:r>
      <w:hyperlink r:id="rId42">
        <w:r>
          <w:rPr>
            <w:rStyle w:val="Hyperlink"/>
          </w:rPr>
          <w:t xml:space="preserve">Evolution of the isthmus of panama: Biological, paleoceanographic and paleoclimatological implications</w:t>
        </w:r>
      </w:hyperlink>
      <w:r>
        <w:t xml:space="preserve">. In (John Wiley &amp; Sons).</w:t>
      </w:r>
    </w:p>
    <w:bookmarkEnd w:id="43"/>
    <w:bookmarkStart w:id="45"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4">
        <w:r>
          <w:rPr>
            <w:rStyle w:val="Hyperlink"/>
          </w:rPr>
          <w:t xml:space="preserve">https://doi.org/10.1126/sciadv.1600883</w:t>
        </w:r>
      </w:hyperlink>
      <w:r>
        <w:t xml:space="preserve">.</w:t>
      </w:r>
    </w:p>
    <w:bookmarkEnd w:id="45"/>
    <w:bookmarkStart w:id="47"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6">
        <w:r>
          <w:rPr>
            <w:rStyle w:val="Hyperlink"/>
          </w:rPr>
          <w:t xml:space="preserve">https://doi.org/10.1029/2025GC012288</w:t>
        </w:r>
      </w:hyperlink>
      <w:r>
        <w:t xml:space="preserve">.</w:t>
      </w:r>
    </w:p>
    <w:bookmarkEnd w:id="47"/>
    <w:bookmarkStart w:id="49"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8">
        <w:r>
          <w:rPr>
            <w:rStyle w:val="Hyperlink"/>
          </w:rPr>
          <w:t xml:space="preserve">https://doi.org/10.1016/j.geobios.2006.09.005</w:t>
        </w:r>
      </w:hyperlink>
      <w:r>
        <w:t xml:space="preserve">.</w:t>
      </w:r>
    </w:p>
    <w:bookmarkEnd w:id="49"/>
    <w:bookmarkStart w:id="51"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0">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1"/>
    <w:bookmarkStart w:id="53"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2">
        <w:r>
          <w:rPr>
            <w:rStyle w:val="Hyperlink"/>
          </w:rPr>
          <w:t xml:space="preserve">https://doi.org/10.3389/fgene.2014.00451</w:t>
        </w:r>
      </w:hyperlink>
      <w:r>
        <w:t xml:space="preserve">.</w:t>
      </w:r>
    </w:p>
    <w:bookmarkEnd w:id="53"/>
    <w:bookmarkStart w:id="55"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4">
        <w:r>
          <w:rPr>
            <w:rStyle w:val="Hyperlink"/>
          </w:rPr>
          <w:t xml:space="preserve">https://doi.org/10.1007/s10914-010-9144-8</w:t>
        </w:r>
      </w:hyperlink>
      <w:r>
        <w:t xml:space="preserve">.</w:t>
      </w:r>
    </w:p>
    <w:bookmarkEnd w:id="55"/>
    <w:bookmarkStart w:id="57"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6">
        <w:r>
          <w:rPr>
            <w:rStyle w:val="Hyperlink"/>
          </w:rPr>
          <w:t xml:space="preserve">https://doi.org/10.1073/pnas.1423853112</w:t>
        </w:r>
      </w:hyperlink>
      <w:r>
        <w:t xml:space="preserve">.</w:t>
      </w:r>
    </w:p>
    <w:bookmarkEnd w:id="57"/>
    <w:bookmarkStart w:id="59"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8">
        <w:r>
          <w:rPr>
            <w:rStyle w:val="Hyperlink"/>
          </w:rPr>
          <w:t xml:space="preserve">https://doi.org/10.1130/G37624.1</w:t>
        </w:r>
      </w:hyperlink>
      <w:r>
        <w:t xml:space="preserve">.</w:t>
      </w:r>
    </w:p>
    <w:bookmarkEnd w:id="59"/>
    <w:bookmarkStart w:id="61"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0">
        <w:r>
          <w:rPr>
            <w:rStyle w:val="Hyperlink"/>
          </w:rPr>
          <w:t xml:space="preserve">https://doi.org/10.1017/S0094837300010605</w:t>
        </w:r>
      </w:hyperlink>
      <w:r>
        <w:t xml:space="preserve">.</w:t>
      </w:r>
    </w:p>
    <w:bookmarkEnd w:id="61"/>
    <w:bookmarkStart w:id="63"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2">
        <w:r>
          <w:rPr>
            <w:rStyle w:val="Hyperlink"/>
          </w:rPr>
          <w:t xml:space="preserve">The Great American Biotic Interchange: A South American Perspective</w:t>
        </w:r>
      </w:hyperlink>
      <w:r>
        <w:t xml:space="preserve"> </w:t>
      </w:r>
      <w:r>
        <w:t xml:space="preserve">(Springer Netherlands).</w:t>
      </w:r>
    </w:p>
    <w:bookmarkEnd w:id="63"/>
    <w:bookmarkStart w:id="65"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4">
        <w:r>
          <w:rPr>
            <w:rStyle w:val="Hyperlink"/>
          </w:rPr>
          <w:t xml:space="preserve">https://doi.org/10.1073/pnas.2009397117</w:t>
        </w:r>
      </w:hyperlink>
      <w:r>
        <w:t xml:space="preserve">.</w:t>
      </w:r>
    </w:p>
    <w:bookmarkEnd w:id="65"/>
    <w:bookmarkStart w:id="67"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6">
        <w:r>
          <w:rPr>
            <w:rStyle w:val="Hyperlink"/>
          </w:rPr>
          <w:t xml:space="preserve">https://doi.org/10.1146/annurev-earth-072619-060126</w:t>
        </w:r>
      </w:hyperlink>
      <w:r>
        <w:t xml:space="preserve">.</w:t>
      </w:r>
    </w:p>
    <w:bookmarkEnd w:id="67"/>
    <w:bookmarkStart w:id="69"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8">
        <w:r>
          <w:rPr>
            <w:rStyle w:val="Hyperlink"/>
          </w:rPr>
          <w:t xml:space="preserve">https://doi.org/10.1126/science.adu0704</w:t>
        </w:r>
      </w:hyperlink>
      <w:r>
        <w:t xml:space="preserve">.</w:t>
      </w:r>
    </w:p>
    <w:bookmarkEnd w:id="69"/>
    <w:bookmarkStart w:id="70"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0"/>
    <w:bookmarkStart w:id="72"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1">
        <w:r>
          <w:rPr>
            <w:rStyle w:val="Hyperlink"/>
          </w:rPr>
          <w:t xml:space="preserve">https://doi.org/10.1038/s41598-020-58575-6</w:t>
        </w:r>
      </w:hyperlink>
      <w:r>
        <w:t xml:space="preserve">.</w:t>
      </w:r>
    </w:p>
    <w:bookmarkEnd w:id="72"/>
    <w:bookmarkStart w:id="73"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3"/>
    <w:bookmarkStart w:id="75"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4">
        <w:r>
          <w:rPr>
            <w:rStyle w:val="Hyperlink"/>
          </w:rPr>
          <w:t xml:space="preserve">https://doi.org/10.1111/geb.12504</w:t>
        </w:r>
      </w:hyperlink>
      <w:r>
        <w:t xml:space="preserve">.</w:t>
      </w:r>
    </w:p>
    <w:bookmarkEnd w:id="75"/>
    <w:bookmarkStart w:id="77"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6">
        <w:r>
          <w:rPr>
            <w:rStyle w:val="Hyperlink"/>
          </w:rPr>
          <w:t xml:space="preserve">https://doi.org/10.1111/pala.70012</w:t>
        </w:r>
      </w:hyperlink>
      <w:r>
        <w:t xml:space="preserve">.</w:t>
      </w:r>
    </w:p>
    <w:bookmarkEnd w:id="77"/>
    <w:bookmarkStart w:id="79"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8">
        <w:r>
          <w:rPr>
            <w:rStyle w:val="Hyperlink"/>
          </w:rPr>
          <w:t xml:space="preserve">https://doi.org/10.2307/1381862</w:t>
        </w:r>
      </w:hyperlink>
      <w:r>
        <w:t xml:space="preserve">.</w:t>
      </w:r>
    </w:p>
    <w:bookmarkEnd w:id="79"/>
    <w:bookmarkStart w:id="81"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0">
        <w:r>
          <w:rPr>
            <w:rStyle w:val="Hyperlink"/>
          </w:rPr>
          <w:t xml:space="preserve">https://doi.org/10.1007/s10914-011-9175-9</w:t>
        </w:r>
      </w:hyperlink>
      <w:r>
        <w:t xml:space="preserve">.</w:t>
      </w:r>
    </w:p>
    <w:bookmarkEnd w:id="81"/>
    <w:bookmarkStart w:id="83"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2">
        <w:r>
          <w:rPr>
            <w:rStyle w:val="Hyperlink"/>
          </w:rPr>
          <w:t xml:space="preserve">https://doi.org/10.1038/s41598-022-05266-z</w:t>
        </w:r>
      </w:hyperlink>
      <w:r>
        <w:t xml:space="preserve">.</w:t>
      </w:r>
    </w:p>
    <w:bookmarkEnd w:id="83"/>
    <w:bookmarkStart w:id="85"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4">
        <w:r>
          <w:rPr>
            <w:rStyle w:val="Hyperlink"/>
          </w:rPr>
          <w:t xml:space="preserve">https://doi.org/10.3390/d17030153</w:t>
        </w:r>
      </w:hyperlink>
      <w:r>
        <w:t xml:space="preserve">.</w:t>
      </w:r>
    </w:p>
    <w:bookmarkEnd w:id="85"/>
    <w:bookmarkStart w:id="87"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7"/>
    <w:bookmarkStart w:id="88"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8"/>
    <w:bookmarkStart w:id="90"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9">
        <w:r>
          <w:rPr>
            <w:rStyle w:val="Hyperlink"/>
          </w:rPr>
          <w:t xml:space="preserve">https://doi.org/10.1098/rspb.2025.1745</w:t>
        </w:r>
      </w:hyperlink>
      <w:r>
        <w:t xml:space="preserve">.</w:t>
      </w:r>
    </w:p>
    <w:bookmarkEnd w:id="90"/>
    <w:bookmarkStart w:id="92"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1">
        <w:r>
          <w:rPr>
            <w:rStyle w:val="Hyperlink"/>
          </w:rPr>
          <w:t xml:space="preserve">https://doi.org/10.1111/geb.13683</w:t>
        </w:r>
      </w:hyperlink>
      <w:r>
        <w:t xml:space="preserve">.</w:t>
      </w:r>
    </w:p>
    <w:bookmarkEnd w:id="112"/>
    <w:bookmarkStart w:id="114"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3">
        <w:r>
          <w:rPr>
            <w:rStyle w:val="Hyperlink"/>
          </w:rPr>
          <w:t xml:space="preserve">https://doi.org/10.1038/sdata.2018.214</w:t>
        </w:r>
      </w:hyperlink>
      <w:r>
        <w:t xml:space="preserve">.</w:t>
      </w:r>
    </w:p>
    <w:bookmarkEnd w:id="114"/>
    <w:bookmarkStart w:id="116" w:name="ref-galván2023"/>
    <w:p>
      <w:pPr>
        <w:pStyle w:val="Bibliography"/>
      </w:pPr>
      <w:r>
        <w:t xml:space="preserve">43.</w:t>
      </w:r>
      <w:r>
        <w:t xml:space="preserve"> </w:t>
      </w:r>
      <w:r>
        <w:t xml:space="preserve">	</w:t>
      </w:r>
      <w:r>
        <w:t xml:space="preserve">Galván, S., Gamboa, S., and Varela, S. (2023).</w:t>
      </w:r>
      <w:r>
        <w:t xml:space="preserve"> </w:t>
      </w:r>
      <w:hyperlink r:id="rId115">
        <w:r>
          <w:rPr>
            <w:rStyle w:val="Hyperlink"/>
          </w:rPr>
          <w:t xml:space="preserve">Köppen Geiger climatic classification for R users.</w:t>
        </w:r>
      </w:hyperlink>
    </w:p>
    <w:bookmarkEnd w:id="116"/>
    <w:bookmarkStart w:id="117"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17"/>
    <w:bookmarkStart w:id="119"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8">
        <w:r>
          <w:rPr>
            <w:rStyle w:val="Hyperlink"/>
          </w:rPr>
          <w:t xml:space="preserve">https://doi.org/10.1146/annurev.ecolsys.34.012103.144032</w:t>
        </w:r>
      </w:hyperlink>
      <w:r>
        <w:t xml:space="preserve">.</w:t>
      </w:r>
    </w:p>
    <w:bookmarkEnd w:id="119"/>
    <w:bookmarkStart w:id="121"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0">
        <w:r>
          <w:rPr>
            <w:rStyle w:val="Hyperlink"/>
          </w:rPr>
          <w:t xml:space="preserve">https://doi.org/10.1126/sciadv.abc6228</w:t>
        </w:r>
      </w:hyperlink>
      <w:r>
        <w:t xml:space="preserve">.</w:t>
      </w:r>
    </w:p>
    <w:bookmarkEnd w:id="121"/>
    <w:bookmarkStart w:id="122"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2"/>
    <w:bookmarkStart w:id="124"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3">
        <w:r>
          <w:rPr>
            <w:rStyle w:val="Hyperlink"/>
          </w:rPr>
          <w:t xml:space="preserve">https://doi.org/10.1525/california/9780520268685.003.0018</w:t>
        </w:r>
      </w:hyperlink>
      <w:r>
        <w:t xml:space="preserve">.</w:t>
      </w:r>
    </w:p>
    <w:bookmarkEnd w:id="124"/>
    <w:bookmarkStart w:id="126"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5">
        <w:r>
          <w:rPr>
            <w:rStyle w:val="Hyperlink"/>
          </w:rPr>
          <w:t xml:space="preserve">https://doi.org/10.1111/j.1461-0248.2012.01855.x</w:t>
        </w:r>
      </w:hyperlink>
      <w:r>
        <w:t xml:space="preserve">.</w:t>
      </w:r>
    </w:p>
    <w:bookmarkEnd w:id="126"/>
    <w:bookmarkStart w:id="128"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7">
        <w:r>
          <w:rPr>
            <w:rStyle w:val="Hyperlink"/>
          </w:rPr>
          <w:t xml:space="preserve">https://doi.org/10.1073/pnas.0903811106</w:t>
        </w:r>
      </w:hyperlink>
      <w:r>
        <w:t xml:space="preserve">.</w:t>
      </w:r>
    </w:p>
    <w:bookmarkEnd w:id="128"/>
    <w:bookmarkStart w:id="130"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9">
        <w:r>
          <w:rPr>
            <w:rStyle w:val="Hyperlink"/>
          </w:rPr>
          <w:t xml:space="preserve">https://doi.org/10.1111/j.1600-0587.2009.06335.x</w:t>
        </w:r>
      </w:hyperlink>
      <w:r>
        <w:t xml:space="preserve">.</w:t>
      </w:r>
    </w:p>
    <w:bookmarkEnd w:id="130"/>
    <w:bookmarkStart w:id="131" w:name="ref-wallace1878"/>
    <w:p>
      <w:pPr>
        <w:pStyle w:val="Bibliography"/>
      </w:pPr>
      <w:r>
        <w:t xml:space="preserve">52.</w:t>
      </w:r>
      <w:r>
        <w:t xml:space="preserve"> </w:t>
      </w:r>
      <w:r>
        <w:t xml:space="preserve">	</w:t>
      </w:r>
      <w:r>
        <w:t xml:space="preserve">Wallace, A.R. (1878). Tropical Nature, and Other Essays (Macmillan; Company).</w:t>
      </w:r>
    </w:p>
    <w:bookmarkEnd w:id="131"/>
    <w:bookmarkStart w:id="133" w:name="ref-cody2010"/>
    <w:p>
      <w:pPr>
        <w:pStyle w:val="Bibliography"/>
      </w:pPr>
      <w:r>
        <w:t xml:space="preserve">53.</w:t>
      </w:r>
      <w:r>
        <w:t xml:space="preserve"> </w:t>
      </w:r>
      <w:r>
        <w:t xml:space="preserve">	</w:t>
      </w:r>
      <w:r>
        <w:t xml:space="preserve">Cody, S., Richardson, J.E., Rull, V., Ellis, C., and Pennington, R.T. (2010). The Great American Biotic Interchange revisited. Ecography</w:t>
      </w:r>
      <w:r>
        <w:t xml:space="preserve"> </w:t>
      </w:r>
      <w:r>
        <w:rPr>
          <w:i/>
          <w:iCs/>
        </w:rPr>
        <w:t xml:space="preserve">33</w:t>
      </w:r>
      <w:r>
        <w:t xml:space="preserve">, 326–332.</w:t>
      </w:r>
      <w:r>
        <w:t xml:space="preserve"> </w:t>
      </w:r>
      <w:hyperlink r:id="rId132">
        <w:r>
          <w:rPr>
            <w:rStyle w:val="Hyperlink"/>
          </w:rPr>
          <w:t xml:space="preserve">https://doi.org/10.1111/j.1600-0587.2010.06327.x</w:t>
        </w:r>
      </w:hyperlink>
      <w:r>
        <w:t xml:space="preserve">.</w:t>
      </w:r>
    </w:p>
    <w:bookmarkEnd w:id="133"/>
    <w:bookmarkStart w:id="135" w:name="ref-pérez-escobar2019"/>
    <w:p>
      <w:pPr>
        <w:pStyle w:val="Bibliography"/>
      </w:pPr>
      <w:r>
        <w:t xml:space="preserve">54.</w:t>
      </w:r>
      <w:r>
        <w:t xml:space="preserve"> </w:t>
      </w:r>
      <w:r>
        <w:t xml:space="preserve">	</w:t>
      </w:r>
      <w:r>
        <w:t xml:space="preserve">Pérez-Escobar, O.A., Lucas, E., Jaramillo, C., Monro, A., Morris, S.K., Bogarín, D., Greer, D., Dodsworth, S., Aguilar-Cano, J., Sanchez Meseguer, A., et al. (2019). The origin and diversification of the hyperdiverse flora in the chocó biogeographic region. Frontiers in Plant Science</w:t>
      </w:r>
      <w:r>
        <w:t xml:space="preserve"> </w:t>
      </w:r>
      <w:r>
        <w:rPr>
          <w:i/>
          <w:iCs/>
        </w:rPr>
        <w:t xml:space="preserve">10</w:t>
      </w:r>
      <w:r>
        <w:t xml:space="preserve">.</w:t>
      </w:r>
      <w:r>
        <w:t xml:space="preserve"> </w:t>
      </w:r>
      <w:hyperlink r:id="rId134">
        <w:r>
          <w:rPr>
            <w:rStyle w:val="Hyperlink"/>
          </w:rPr>
          <w:t xml:space="preserve">https://doi.org/10.3389/fpls.2019.01328</w:t>
        </w:r>
      </w:hyperlink>
      <w:r>
        <w:t xml:space="preserve">.</w:t>
      </w:r>
    </w:p>
    <w:bookmarkEnd w:id="135"/>
    <w:bookmarkStart w:id="137" w:name="ref-haffer1969"/>
    <w:p>
      <w:pPr>
        <w:pStyle w:val="Bibliography"/>
      </w:pPr>
      <w:r>
        <w:t xml:space="preserve">55.</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56.</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buffan2025"/>
    <w:p>
      <w:pPr>
        <w:pStyle w:val="Bibliography"/>
      </w:pPr>
      <w:r>
        <w:t xml:space="preserve">57.</w:t>
      </w:r>
      <w:r>
        <w:t xml:space="preserve"> </w:t>
      </w:r>
      <w:r>
        <w:t xml:space="preserve">	</w:t>
      </w:r>
      <w:r>
        <w:t xml:space="preserve">Buffan, L., Condamine, F.L., Stutz, N.S., Pujos, F., Antoine, P.-O., and Marivaux, L. (2025). The fate of south america</w:t>
      </w:r>
      <w:r>
        <w:t xml:space="preserve">’</w:t>
      </w:r>
      <w:r>
        <w:t xml:space="preserve">s endemic mammalian fauna in response to the most dramatic cenozoic climate disruption. Proceedings of the National Academy of Sciences</w:t>
      </w:r>
      <w:r>
        <w:t xml:space="preserve"> </w:t>
      </w:r>
      <w:r>
        <w:rPr>
          <w:i/>
          <w:iCs/>
        </w:rPr>
        <w:t xml:space="preserve">122</w:t>
      </w:r>
      <w:r>
        <w:t xml:space="preserve">, e2419520122.</w:t>
      </w:r>
      <w:r>
        <w:t xml:space="preserve"> </w:t>
      </w:r>
      <w:hyperlink r:id="rId140">
        <w:r>
          <w:rPr>
            <w:rStyle w:val="Hyperlink"/>
          </w:rPr>
          <w:t xml:space="preserve">https://doi.org/10.1073/pnas.2419520122</w:t>
        </w:r>
      </w:hyperlink>
      <w:r>
        <w:t xml:space="preserve">.</w:t>
      </w:r>
    </w:p>
    <w:bookmarkEnd w:id="141"/>
    <w:bookmarkStart w:id="143" w:name="ref-wiens2004"/>
    <w:p>
      <w:pPr>
        <w:pStyle w:val="Bibliography"/>
      </w:pPr>
      <w:r>
        <w:t xml:space="preserve">58.</w:t>
      </w:r>
      <w:r>
        <w:t xml:space="preserve"> </w:t>
      </w:r>
      <w:r>
        <w:t xml:space="preserve">	</w:t>
      </w:r>
      <w:r>
        <w:t xml:space="preserve">Wiens, J.J., and Donoghue, M.J. (2004). Historical biogeography, ecology and species richness. Trends in Ecology &amp; Evolution</w:t>
      </w:r>
      <w:r>
        <w:t xml:space="preserve"> </w:t>
      </w:r>
      <w:r>
        <w:rPr>
          <w:i/>
          <w:iCs/>
        </w:rPr>
        <w:t xml:space="preserve">19</w:t>
      </w:r>
      <w:r>
        <w:t xml:space="preserve">, 639–644.</w:t>
      </w:r>
      <w:r>
        <w:t xml:space="preserve"> </w:t>
      </w:r>
      <w:hyperlink r:id="rId142">
        <w:r>
          <w:rPr>
            <w:rStyle w:val="Hyperlink"/>
          </w:rPr>
          <w:t xml:space="preserve">https://doi.org/10.1016/j.tree.2004.09.011</w:t>
        </w:r>
      </w:hyperlink>
      <w:r>
        <w:t xml:space="preserve">.</w:t>
      </w:r>
    </w:p>
    <w:bookmarkEnd w:id="143"/>
    <w:bookmarkStart w:id="145" w:name="ref-motta2025"/>
    <w:p>
      <w:pPr>
        <w:pStyle w:val="Bibliography"/>
      </w:pPr>
      <w:r>
        <w:t xml:space="preserve">59.</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44">
        <w:r>
          <w:rPr>
            <w:rStyle w:val="Hyperlink"/>
          </w:rPr>
          <w:t xml:space="preserve">https://doi.org/10.1016/j.palaeo.2025.112905</w:t>
        </w:r>
      </w:hyperlink>
      <w:r>
        <w:t xml:space="preserve">.</w:t>
      </w:r>
    </w:p>
    <w:bookmarkEnd w:id="145"/>
    <w:bookmarkStart w:id="147" w:name="ref-pino2022"/>
    <w:p>
      <w:pPr>
        <w:pStyle w:val="Bibliography"/>
      </w:pPr>
      <w:r>
        <w:t xml:space="preserve">60.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6">
        <w:r>
          <w:rPr>
            <w:rStyle w:val="Hyperlink"/>
          </w:rPr>
          <w:t xml:space="preserve">https://doi.org/10.1016/j.gloplacha.2022.103758</w:t>
        </w:r>
      </w:hyperlink>
      <w:r>
        <w:t xml:space="preserve">.</w:t>
      </w:r>
    </w:p>
    <w:bookmarkEnd w:id="147"/>
    <w:bookmarkStart w:id="149" w:name="ref-simpson1950"/>
    <w:p>
      <w:pPr>
        <w:pStyle w:val="Bibliography"/>
      </w:pPr>
      <w:r>
        <w:t xml:space="preserve">61.</w:t>
      </w:r>
      <w:r>
        <w:t xml:space="preserve"> </w:t>
      </w:r>
      <w:r>
        <w:t xml:space="preserve">	</w:t>
      </w:r>
      <w:r>
        <w:t xml:space="preserve">Simpson, G.G. (1950).</w:t>
      </w:r>
      <w:r>
        <w:t xml:space="preserve"> </w:t>
      </w:r>
      <w:hyperlink r:id="rId148">
        <w:r>
          <w:rPr>
            <w:rStyle w:val="Hyperlink"/>
          </w:rPr>
          <w:t xml:space="preserve">History of the fauna of latin america</w:t>
        </w:r>
      </w:hyperlink>
      <w:r>
        <w:t xml:space="preserve">. American Scientist</w:t>
      </w:r>
      <w:r>
        <w:t xml:space="preserve"> </w:t>
      </w:r>
      <w:r>
        <w:rPr>
          <w:i/>
          <w:iCs/>
        </w:rPr>
        <w:t xml:space="preserve">38</w:t>
      </w:r>
      <w:r>
        <w:t xml:space="preserve">, 361–389.</w:t>
      </w:r>
    </w:p>
    <w:bookmarkEnd w:id="149"/>
    <w:bookmarkStart w:id="151" w:name="ref-morgan1993"/>
    <w:p>
      <w:pPr>
        <w:pStyle w:val="Bibliography"/>
      </w:pPr>
      <w:r>
        <w:t xml:space="preserve">62.</w:t>
      </w:r>
      <w:r>
        <w:t xml:space="preserve"> </w:t>
      </w:r>
      <w:r>
        <w:t xml:space="preserve">	</w:t>
      </w:r>
      <w:r>
        <w:t xml:space="preserve">Morgan, G.S. (1993). Quaternary land vertebrates of jamaica. In, R. M. Wright and E. Robinson, eds. (Geological Society of America), p. 0.</w:t>
      </w:r>
      <w:r>
        <w:t xml:space="preserve"> </w:t>
      </w:r>
      <w:hyperlink r:id="rId150">
        <w:r>
          <w:rPr>
            <w:rStyle w:val="Hyperlink"/>
          </w:rPr>
          <w:t xml:space="preserve">https://doi.org/10.1130/MEM182-p417</w:t>
        </w:r>
      </w:hyperlink>
      <w:r>
        <w:t xml:space="preserve">.</w:t>
      </w:r>
    </w:p>
    <w:bookmarkEnd w:id="151"/>
    <w:bookmarkStart w:id="153" w:name="ref-macphee2011"/>
    <w:p>
      <w:pPr>
        <w:pStyle w:val="Bibliography"/>
      </w:pPr>
      <w:r>
        <w:t xml:space="preserve">63.</w:t>
      </w:r>
      <w:r>
        <w:t xml:space="preserve"> </w:t>
      </w:r>
      <w:r>
        <w:t xml:space="preserve">	</w:t>
      </w:r>
      <w:r>
        <w:t xml:space="preserve">MacPhee, R.D.E. (2011). Basicranial morphology and relationships of antillean heptaxodontidae (rodentia, ctenohystrica, caviomorpha). Bulletin of the American Museum of Natural History</w:t>
      </w:r>
      <w:r>
        <w:t xml:space="preserve"> </w:t>
      </w:r>
      <w:r>
        <w:rPr>
          <w:i/>
          <w:iCs/>
        </w:rPr>
        <w:t xml:space="preserve">2011</w:t>
      </w:r>
      <w:r>
        <w:t xml:space="preserve">, 1–70.</w:t>
      </w:r>
      <w:r>
        <w:t xml:space="preserve"> </w:t>
      </w:r>
      <w:hyperlink r:id="rId152">
        <w:r>
          <w:rPr>
            <w:rStyle w:val="Hyperlink"/>
          </w:rPr>
          <w:t xml:space="preserve">https://doi.org/10.1206/0003-0090-363.1.1</w:t>
        </w:r>
      </w:hyperlink>
      <w:r>
        <w:t xml:space="preserve">.</w:t>
      </w:r>
    </w:p>
    <w:bookmarkEnd w:id="153"/>
    <w:bookmarkStart w:id="155" w:name="ref-cornée2021"/>
    <w:p>
      <w:pPr>
        <w:pStyle w:val="Bibliography"/>
      </w:pPr>
      <w:r>
        <w:t xml:space="preserve">64.</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54">
        <w:r>
          <w:rPr>
            <w:rStyle w:val="Hyperlink"/>
          </w:rPr>
          <w:t xml:space="preserve">https://doi.org/10.1016/j.earscirev.2021.103617</w:t>
        </w:r>
      </w:hyperlink>
      <w:r>
        <w:t xml:space="preserve">.</w:t>
      </w:r>
    </w:p>
    <w:bookmarkEnd w:id="155"/>
    <w:bookmarkStart w:id="157" w:name="ref-marivaux2020b"/>
    <w:p>
      <w:pPr>
        <w:pStyle w:val="Bibliography"/>
      </w:pPr>
      <w:r>
        <w:t xml:space="preserve">65.</w:t>
      </w:r>
      <w:r>
        <w:t xml:space="preserve"> </w:t>
      </w:r>
      <w:r>
        <w:t xml:space="preserve">	</w:t>
      </w:r>
      <w:r>
        <w:t xml:space="preserve">Marivaux, L., Vélez-Juarbe, J., Merzeraud, G., Pujos, F., Viñola López, L.W., Boivin, M., Santos-Mercado, H., Cruz, E.J., Grajales, A., Padilla, J., et al. (2020). Early oligocene chinchilloid caviomorphs from puerto rico and the initial rodent colonization of the west indies. Proceedings of the Royal Society B: Biological Sciences</w:t>
      </w:r>
      <w:r>
        <w:t xml:space="preserve"> </w:t>
      </w:r>
      <w:r>
        <w:rPr>
          <w:i/>
          <w:iCs/>
        </w:rPr>
        <w:t xml:space="preserve">287</w:t>
      </w:r>
      <w:r>
        <w:t xml:space="preserve">, 20192806.</w:t>
      </w:r>
      <w:r>
        <w:t xml:space="preserve"> </w:t>
      </w:r>
      <w:hyperlink r:id="rId156">
        <w:r>
          <w:rPr>
            <w:rStyle w:val="Hyperlink"/>
          </w:rPr>
          <w:t xml:space="preserve">https://doi.org/10.1098/rspb.2019.2806</w:t>
        </w:r>
      </w:hyperlink>
      <w:r>
        <w:t xml:space="preserve">.</w:t>
      </w:r>
    </w:p>
    <w:bookmarkEnd w:id="157"/>
    <w:bookmarkStart w:id="159" w:name="ref-warren2015"/>
    <w:p>
      <w:pPr>
        <w:pStyle w:val="Bibliography"/>
      </w:pPr>
      <w:r>
        <w:t xml:space="preserve">66.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58">
        <w:r>
          <w:rPr>
            <w:rStyle w:val="Hyperlink"/>
          </w:rPr>
          <w:t xml:space="preserve">https://doi.org/10.1111/ele.12398</w:t>
        </w:r>
      </w:hyperlink>
      <w:r>
        <w:t xml:space="preserve">.</w:t>
      </w:r>
    </w:p>
    <w:bookmarkEnd w:id="159"/>
    <w:bookmarkEnd w:id="160"/>
    <w:bookmarkEnd w:id="161"/>
    <w:bookmarkStart w:id="17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65" w:name="fig-framework"/>
          <w:p>
            <w:pPr>
              <w:pStyle w:val="Compact"/>
              <w:jc w:val="center"/>
            </w:pPr>
            <w:r>
              <w:drawing>
                <wp:inline>
                  <wp:extent cx="3959999" cy="3959999"/>
                  <wp:effectExtent b="0" l="0" r="0" t="0"/>
                  <wp:docPr descr="" title="" id="163" name="Picture"/>
                  <a:graphic>
                    <a:graphicData uri="http://schemas.openxmlformats.org/drawingml/2006/picture">
                      <pic:pic>
                        <pic:nvPicPr>
                          <pic:cNvPr descr="../Figures/MS/Main/Figure_framework/Figure_framework.png" id="164" name="Picture"/>
                          <pic:cNvPicPr>
                            <a:picLocks noChangeArrowheads="1" noChangeAspect="1"/>
                          </pic:cNvPicPr>
                        </pic:nvPicPr>
                        <pic:blipFill>
                          <a:blip r:embed="rId16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The empirically-derived asymmetry of the transcontinental land mammal exchange is represented by the thickness of the two arrows, the thicker the arrow, the more intense the exchange.</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propsuccess"/>
          <w:p>
            <w:pPr>
              <w:pStyle w:val="Compact"/>
              <w:jc w:val="center"/>
            </w:pPr>
            <w:r>
              <w:drawing>
                <wp:inline>
                  <wp:extent cx="3599999" cy="3779999"/>
                  <wp:effectExtent b="0" l="0" r="0" t="0"/>
                  <wp:docPr descr="" title="" id="167" name="Picture"/>
                  <a:graphic>
                    <a:graphicData uri="http://schemas.openxmlformats.org/drawingml/2006/picture">
                      <pic:pic>
                        <pic:nvPicPr>
                          <pic:cNvPr descr="../Figures/MS/Main/Figure_PropSuccess/Figure_PropSuccess.png" id="168" name="Picture"/>
                          <pic:cNvPicPr>
                            <a:picLocks noChangeArrowheads="1" noChangeAspect="1"/>
                          </pic:cNvPicPr>
                        </pic:nvPicPr>
                        <pic:blipFill>
                          <a:blip r:embed="rId16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metrics"/>
          <w:p>
            <w:pPr>
              <w:pStyle w:val="Compact"/>
              <w:jc w:val="left"/>
            </w:pPr>
            <w:r>
              <w:drawing>
                <wp:inline>
                  <wp:extent cx="5039999" cy="4319999"/>
                  <wp:effectExtent b="0" l="0" r="0" t="0"/>
                  <wp:docPr descr="" title="" id="171" name="Picture"/>
                  <a:graphic>
                    <a:graphicData uri="http://schemas.openxmlformats.org/drawingml/2006/picture">
                      <pic:pic>
                        <pic:nvPicPr>
                          <pic:cNvPr descr="../Figures/MS/Main/Figure_metrics/Figure_metrics.png" id="172" name="Picture"/>
                          <pic:cNvPicPr>
                            <a:picLocks noChangeArrowheads="1" noChangeAspect="1"/>
                          </pic:cNvPicPr>
                        </pic:nvPicPr>
                        <pic:blipFill>
                          <a:blip r:embed="rId17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newly-colonised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biome"/>
          <w:p>
            <w:pPr>
              <w:pStyle w:val="Compact"/>
              <w:jc w:val="center"/>
            </w:pPr>
            <w:r>
              <w:drawing>
                <wp:inline>
                  <wp:extent cx="5399999" cy="5399999"/>
                  <wp:effectExtent b="0" l="0" r="0" t="0"/>
                  <wp:docPr descr="" title="" id="175" name="Picture"/>
                  <a:graphic>
                    <a:graphicData uri="http://schemas.openxmlformats.org/drawingml/2006/picture">
                      <pic:pic>
                        <pic:nvPicPr>
                          <pic:cNvPr descr="../Figures/MS/Main/Figure_biomes/Figure_biomes.png" id="176" name="Picture"/>
                          <pic:cNvPicPr>
                            <a:picLocks noChangeArrowheads="1" noChangeAspect="1"/>
                          </pic:cNvPicPr>
                        </pic:nvPicPr>
                        <pic:blipFill>
                          <a:blip r:embed="rId174"/>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7"/>
        </w:tc>
      </w:tr>
    </w:tbl>
    <w:bookmarkEnd w:id="17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6" Target="media/rId166.png" /><Relationship Type="http://schemas.openxmlformats.org/officeDocument/2006/relationships/image" Id="rId174" Target="media/rId174.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hyperlink" Id="rId42" Target="http://repository.si.edu/xmlui/handle/10088/35473"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48" Target="https://www.jstor.org/stable/27826322" TargetMode="External" /></Relationships>
</file>

<file path=word/_rels/footnotes.xml.rels><?xml version="1.0" encoding="UTF-8"?><Relationships xmlns="http://schemas.openxmlformats.org/package/2006/relationships"><Relationship Type="http://schemas.openxmlformats.org/officeDocument/2006/relationships/hyperlink" Id="rId42" Target="http://repository.si.edu/xmlui/handle/10088/35473"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48" Target="https://www.jstor.org/stable/2782632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Paleoclimate alone fails to explain the asymmetry of the Great American Biotic Interchange</dc:title>
  <dc:creator>Lucas Buffan¹, Fabien L. Condamine¹, Sara Varela²</dc:creator>
  <cp:keywords/>
  <dcterms:created xsi:type="dcterms:W3CDTF">2026-01-21T17:28:42Z</dcterms:created>
  <dcterms:modified xsi:type="dcterms:W3CDTF">2026-01-21T17:28:42Z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