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46.png" ContentType="image/png"/>
  <Override PartName="/word/media/rId134.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pulses of mammal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w:t>
      </w:r>
      <w:r>
        <w:rPr>
          <w:vertAlign w:val="superscript"/>
        </w:rPr>
        <w:t xml:space="preserve">6</w:t>
      </w:r>
      <w:r>
        <w:t xml:space="preserve">,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m:oMath>
        <m:sSup>
          <m:e>
            <m:r>
              <m:t>​</m:t>
            </m:r>
          </m:e>
          <m:sup>
            <m:r>
              <m:t>e</m:t>
            </m:r>
            <m:r>
              <m:rPr>
                <m:sty m:val="p"/>
              </m:rPr>
              <m:t>.</m:t>
            </m:r>
            <m:r>
              <m:t>g</m:t>
            </m:r>
            <m:r>
              <m:rPr>
                <m:sty m:val="p"/>
              </m:rPr>
              <m:t>.</m:t>
            </m:r>
            <m:r>
              <m:rPr>
                <m:sty m:val="p"/>
              </m:rPr>
              <m:t>,</m:t>
            </m:r>
          </m:sup>
        </m:sSup>
      </m:oMath>
      <w:r>
        <w:rPr>
          <w:vertAlign w:val="superscript"/>
        </w:rPr>
        <w:t xml:space="preserve">8,10,17,20,24</w:t>
      </w:r>
      <w:r>
        <w:t xml:space="preserve">. The prevailing view, proposed by Webb.</w:t>
      </w:r>
      <w:r>
        <w:rPr>
          <w:vertAlign w:val="superscript"/>
        </w:rPr>
        <w:t xml:space="preserve">10</w:t>
      </w:r>
      <w:r>
        <w:t xml:space="preserve">, consists of relating pulses of mammal exchanges with Pleistocene climatic oscillation, promoting the transition from tropical rainforests to savannah-like environments in Central America during glacial maxima. This climate-driven landscape opening would have in turn facilitated the dispersal of taxa with non-tropical ecological affinities, fitter to these environment, which goes well in line with the migrant fossil record across both sides of the isthmus</w:t>
      </w:r>
      <w:r>
        <w:rPr>
          <w:vertAlign w:val="superscript"/>
        </w:rPr>
        <w:t xml:space="preserve">6</w:t>
      </w:r>
      <w:r>
        <w:t xml:space="preserve">. However, so far, studies supporting this view have only been descriptive, tackling the issue from a fossil data-driven pattern-oriented perspective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whereas species generated under the other models can be considered to mirror biome generalists’ one.</w:t>
      </w:r>
    </w:p>
    <w:p>
      <w:pPr>
        <w:pStyle w:val="BodyText"/>
      </w:pPr>
      <w:r>
        <w:t xml:space="preserve">Due to the unequal representativity of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Indeed, the majority of North American ancestral species originated in the cold biome (</w:t>
      </w:r>
      <m:oMath>
        <m:r>
          <m:rPr>
            <m:sty m:val="p"/>
          </m:rPr>
          <m:t>≈</m:t>
        </m:r>
        <m:r>
          <m:t>57</m:t>
        </m:r>
        <m:r>
          <m:rPr>
            <m:sty m:val="p"/>
          </m:rPr>
          <m:t>%</m:t>
        </m:r>
      </m:oMath>
      <w:r>
        <w:t xml:space="preserve">), whereas the tropical biome recorded the largest proportion of ancestral species origination in South America (</w:t>
      </w:r>
      <m:oMath>
        <m:r>
          <m:rPr>
            <m:sty m:val="p"/>
          </m:rPr>
          <m:t>≈</m:t>
        </m:r>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rPr>
            <m:sty m:val="p"/>
          </m:rPr>
          <m:t>≈</m:t>
        </m:r>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rPr>
            <m:sty m:val="p"/>
          </m:rPr>
          <m:t>≈</m:t>
        </m:r>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to the detriment of the cold (from</w:t>
      </w:r>
      <w:r>
        <w:t xml:space="preserve"> </w:t>
      </w:r>
      <m:oMath>
        <m:r>
          <m:rPr>
            <m:sty m:val="p"/>
          </m:rPr>
          <m:t>≈</m:t>
        </m:r>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rPr>
            <m:sty m:val="p"/>
          </m:rPr>
          <m:t>≈</m:t>
        </m:r>
        <m:r>
          <m:t>4</m:t>
        </m:r>
        <m:r>
          <m:rPr>
            <m:sty m:val="p"/>
          </m:rPr>
          <m:t>%</m:t>
        </m:r>
      </m:oMath>
      <w:r>
        <w:t xml:space="preserve"> </w:t>
      </w:r>
      <w:r>
        <w:t xml:space="preserve">to</w:t>
      </w:r>
      <w:r>
        <w:t xml:space="preserve"> </w:t>
      </w:r>
      <m:oMath>
        <m:r>
          <m:t>2</m:t>
        </m:r>
        <m:r>
          <m:rPr>
            <m:sty m:val="p"/>
          </m:rPr>
          <m:t>%</m:t>
        </m:r>
      </m:oMath>
      <w:r>
        <w:t xml:space="preserve">) ones (Figure S10).</w:t>
      </w:r>
    </w:p>
    <w:p>
      <w:pPr>
        <w:pStyle w:val="BodyText"/>
      </w:pPr>
      <w:r>
        <w:t xml:space="preserve">Despite this initial imbalance, our results suggest similar proportions of successful simulations per biome between simulations starting from North and South America in the zero-adaptationist model (</w:t>
      </w:r>
      <m:oMath>
        <m:r>
          <m:t>M</m:t>
        </m:r>
        <m:r>
          <m:t>0</m:t>
        </m:r>
      </m:oMath>
      <w:r>
        <w:t xml:space="preserve">,</w:t>
      </w:r>
      <w:r>
        <w:t xml:space="preserve"> </w:t>
      </w:r>
      <w:hyperlink w:anchor="fig-biome">
        <w:r>
          <w:rPr>
            <w:rStyle w:val="Hyperlink"/>
          </w:rPr>
          <w:t xml:space="preserve">Figure 4</w:t>
        </w:r>
      </w:hyperlink>
      <w:r>
        <w:t xml:space="preserve"> </w:t>
      </w:r>
      <w:r>
        <w:t xml:space="preserve">C</w:t>
      </w:r>
      <w:r>
        <w:t xml:space="preserve"> </w:t>
      </w:r>
      <w:r>
        <w:rPr>
          <w:i/>
          <w:iCs/>
        </w:rPr>
        <w:t xml:space="preserve">first row</w:t>
      </w:r>
      <w:r>
        <w:t xml:space="preserve">). In that case,</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6</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41</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43</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3" w:name="references"/>
    <w:p>
      <w:pPr>
        <w:pStyle w:val="Heading1"/>
      </w:pPr>
      <w:r>
        <w:t xml:space="preserve">References</w:t>
      </w:r>
    </w:p>
    <w:bookmarkStart w:id="132"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cruz2025"/>
    <w:p>
      <w:pPr>
        <w:pStyle w:val="Bibliography"/>
      </w:pPr>
      <w:r>
        <w:t xml:space="preserve">41.</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12">
        <w:r>
          <w:rPr>
            <w:rStyle w:val="Hyperlink"/>
          </w:rPr>
          <w:t xml:space="preserve">https://doi.org/10.1590/S1984-4689.v42.e24051</w:t>
        </w:r>
      </w:hyperlink>
      <w:r>
        <w:t xml:space="preserve">.</w:t>
      </w:r>
    </w:p>
    <w:bookmarkEnd w:id="113"/>
    <w:bookmarkStart w:id="115"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4">
        <w:r>
          <w:rPr>
            <w:rStyle w:val="Hyperlink"/>
          </w:rPr>
          <w:t xml:space="preserve">https://doi.org/10.1016/j.palaeo.2025.112905</w:t>
        </w:r>
      </w:hyperlink>
      <w:r>
        <w:t xml:space="preserve">.</w:t>
      </w:r>
    </w:p>
    <w:bookmarkEnd w:id="115"/>
    <w:bookmarkStart w:id="117"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6">
        <w:r>
          <w:rPr>
            <w:rStyle w:val="Hyperlink"/>
          </w:rPr>
          <w:t xml:space="preserve">https://doi.org/10.1016/j.gloplacha.2022.103758</w:t>
        </w:r>
      </w:hyperlink>
      <w:r>
        <w:t xml:space="preserve">.</w:t>
      </w:r>
    </w:p>
    <w:bookmarkEnd w:id="117"/>
    <w:bookmarkStart w:id="119"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18">
        <w:r>
          <w:rPr>
            <w:rStyle w:val="Hyperlink"/>
          </w:rPr>
          <w:t xml:space="preserve">https://doi.org/10.1130/MEM182-p417</w:t>
        </w:r>
      </w:hyperlink>
      <w:r>
        <w:t xml:space="preserve">.</w:t>
      </w:r>
    </w:p>
    <w:bookmarkEnd w:id="119"/>
    <w:bookmarkStart w:id="121"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0">
        <w:r>
          <w:rPr>
            <w:rStyle w:val="Hyperlink"/>
          </w:rPr>
          <w:t xml:space="preserve">https://doi.org/10.1111/jbi.14234</w:t>
        </w:r>
      </w:hyperlink>
      <w:r>
        <w:t xml:space="preserve">.</w:t>
      </w:r>
    </w:p>
    <w:bookmarkEnd w:id="121"/>
    <w:bookmarkStart w:id="123"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2">
        <w:r>
          <w:rPr>
            <w:rStyle w:val="Hyperlink"/>
          </w:rPr>
          <w:t xml:space="preserve">https://doi.org/10.1016/j.earscirev.2021.103617</w:t>
        </w:r>
      </w:hyperlink>
      <w:r>
        <w:t xml:space="preserve">.</w:t>
      </w:r>
    </w:p>
    <w:bookmarkEnd w:id="123"/>
    <w:bookmarkStart w:id="125"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4">
        <w:r>
          <w:rPr>
            <w:rStyle w:val="Hyperlink"/>
          </w:rPr>
          <w:t xml:space="preserve">https://doi.org/10.1111/ele.12398</w:t>
        </w:r>
      </w:hyperlink>
      <w:r>
        <w:t xml:space="preserve">.</w:t>
      </w:r>
    </w:p>
    <w:bookmarkEnd w:id="125"/>
    <w:bookmarkStart w:id="127"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6">
        <w:r>
          <w:rPr>
            <w:rStyle w:val="Hyperlink"/>
          </w:rPr>
          <w:t xml:space="preserve">https://doi.org/10.1111/j.1365-2699.2010.02434.x</w:t>
        </w:r>
      </w:hyperlink>
      <w:r>
        <w:t xml:space="preserve">.</w:t>
      </w:r>
    </w:p>
    <w:bookmarkEnd w:id="127"/>
    <w:bookmarkStart w:id="129"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8">
        <w:r>
          <w:rPr>
            <w:rStyle w:val="Hyperlink"/>
          </w:rPr>
          <w:t xml:space="preserve">https://doi.org/10.1098/rsbl.2024.0429</w:t>
        </w:r>
      </w:hyperlink>
      <w:r>
        <w:t xml:space="preserve">.</w:t>
      </w:r>
    </w:p>
    <w:bookmarkEnd w:id="129"/>
    <w:bookmarkStart w:id="131" w:name="ref-gearty2023"/>
    <w:p>
      <w:pPr>
        <w:pStyle w:val="Bibliography"/>
      </w:pPr>
      <w:r>
        <w:t xml:space="preserve">50.</w:t>
      </w:r>
      <w:r>
        <w:t xml:space="preserve"> </w:t>
      </w:r>
      <w:r>
        <w:t xml:space="preserve">	</w:t>
      </w:r>
      <w:r>
        <w:t xml:space="preserve">Gearty, W. (2023).</w:t>
      </w:r>
      <w:r>
        <w:t xml:space="preserve"> </w:t>
      </w:r>
      <w:hyperlink r:id="rId130">
        <w:r>
          <w:rPr>
            <w:rStyle w:val="Hyperlink"/>
          </w:rPr>
          <w:t xml:space="preserve">Deeptime: Plotting tools for anyone working in deep time. R package version 1.0.1.</w:t>
        </w:r>
      </w:hyperlink>
    </w:p>
    <w:bookmarkEnd w:id="131"/>
    <w:bookmarkEnd w:id="132"/>
    <w:bookmarkEnd w:id="133"/>
    <w:bookmarkStart w:id="15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7" w:name="fig-framework"/>
          <w:p>
            <w:pPr>
              <w:pStyle w:val="Compact"/>
              <w:jc w:val="center"/>
            </w:pPr>
            <w:r>
              <w:drawing>
                <wp:inline>
                  <wp:extent cx="3959999" cy="3959999"/>
                  <wp:effectExtent b="0" l="0" r="0" t="0"/>
                  <wp:docPr descr="" title="" id="135" name="Picture"/>
                  <a:graphic>
                    <a:graphicData uri="http://schemas.openxmlformats.org/drawingml/2006/picture">
                      <pic:pic>
                        <pic:nvPicPr>
                          <pic:cNvPr descr="../Figures/MS/Main/Figure_framework/Figure_framework.png" id="136" name="Picture"/>
                          <pic:cNvPicPr>
                            <a:picLocks noChangeArrowheads="1" noChangeAspect="1"/>
                          </pic:cNvPicPr>
                        </pic:nvPicPr>
                        <pic:blipFill>
                          <a:blip r:embed="rId134"/>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50</w:t>
            </w:r>
            <w:r>
              <w:t xml:space="preserve">. The empirically-derived asymmetry of the transcontinental land mammal exchange is represented by the thickness of the two arrows, the thicker the arrow, the more intense the exchange.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propsuccess"/>
          <w:p>
            <w:pPr>
              <w:pStyle w:val="Compact"/>
              <w:jc w:val="center"/>
            </w:pPr>
            <w:r>
              <w:drawing>
                <wp:inline>
                  <wp:extent cx="3599999" cy="3779999"/>
                  <wp:effectExtent b="0" l="0" r="0" t="0"/>
                  <wp:docPr descr="" title="" id="139" name="Picture"/>
                  <a:graphic>
                    <a:graphicData uri="http://schemas.openxmlformats.org/drawingml/2006/picture">
                      <pic:pic>
                        <pic:nvPicPr>
                          <pic:cNvPr descr="../Figures/MS/Main/Figure_PropSuccess/Figure_PropSuccess.png" id="140" name="Picture"/>
                          <pic:cNvPicPr>
                            <a:picLocks noChangeArrowheads="1" noChangeAspect="1"/>
                          </pic:cNvPicPr>
                        </pic:nvPicPr>
                        <pic:blipFill>
                          <a:blip r:embed="rId138"/>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41"/>
        </w:tc>
      </w:tr>
    </w:tbl>
    <w:tbl>
      <w:tblPr>
        <w:tblStyle w:val="Table"/>
        <w:tblW w:type="pct" w:w="5000"/>
        <w:tblLayout w:type="fixed"/>
        <w:tblLook w:firstRow="0" w:lastRow="0" w:firstColumn="0" w:lastColumn="0" w:noHBand="0" w:noVBand="0" w:val="0000"/>
      </w:tblPr>
      <w:tblGrid>
        <w:gridCol w:w="7920"/>
      </w:tblGrid>
      <w:tr>
        <w:tc>
          <w:tcPr/>
          <w:bookmarkStart w:id="145" w:name="fig-metrics"/>
          <w:p>
            <w:pPr>
              <w:pStyle w:val="Compact"/>
              <w:jc w:val="left"/>
            </w:pPr>
            <w:r>
              <w:drawing>
                <wp:inline>
                  <wp:extent cx="5039999" cy="4319999"/>
                  <wp:effectExtent b="0" l="0" r="0" t="0"/>
                  <wp:docPr descr="" title="" id="143" name="Picture"/>
                  <a:graphic>
                    <a:graphicData uri="http://schemas.openxmlformats.org/drawingml/2006/picture">
                      <pic:pic>
                        <pic:nvPicPr>
                          <pic:cNvPr descr="../Figures/MS/Main/Figure_metrics/Figure_metrics.png" id="144" name="Picture"/>
                          <pic:cNvPicPr>
                            <a:picLocks noChangeArrowheads="1" noChangeAspect="1"/>
                          </pic:cNvPicPr>
                        </pic:nvPicPr>
                        <pic:blipFill>
                          <a:blip r:embed="rId142"/>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5"/>
        </w:tc>
      </w:tr>
    </w:tbl>
    <w:tbl>
      <w:tblPr>
        <w:tblStyle w:val="Table"/>
        <w:tblW w:type="pct" w:w="5000"/>
        <w:tblLayout w:type="fixed"/>
        <w:tblLook w:firstRow="0" w:lastRow="0" w:firstColumn="0" w:lastColumn="0" w:noHBand="0" w:noVBand="0" w:val="0000"/>
      </w:tblPr>
      <w:tblGrid>
        <w:gridCol w:w="7920"/>
      </w:tblGrid>
      <w:tr>
        <w:tc>
          <w:tcPr/>
          <w:bookmarkStart w:id="149" w:name="fig-biome"/>
          <w:p>
            <w:pPr>
              <w:pStyle w:val="Compact"/>
              <w:jc w:val="center"/>
            </w:pPr>
            <w:r>
              <w:drawing>
                <wp:inline>
                  <wp:extent cx="5399999" cy="5399999"/>
                  <wp:effectExtent b="0" l="0" r="0" t="0"/>
                  <wp:docPr descr="" title="" id="147" name="Picture"/>
                  <a:graphic>
                    <a:graphicData uri="http://schemas.openxmlformats.org/drawingml/2006/picture">
                      <pic:pic>
                        <pic:nvPicPr>
                          <pic:cNvPr descr="../Figures/MS/Main/Figure_biomes/Figure_biomes.png" id="148" name="Picture"/>
                          <pic:cNvPicPr>
                            <a:picLocks noChangeArrowheads="1" noChangeAspect="1"/>
                          </pic:cNvPicPr>
                        </pic:nvPicPr>
                        <pic:blipFill>
                          <a:blip r:embed="rId146"/>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9"/>
        </w:tc>
      </w:tr>
    </w:tbl>
    <w:bookmarkEnd w:id="15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146" Target="media/rId146.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2025-10-21T12:39:18Z</dcterms:created>
  <dcterms:modified xsi:type="dcterms:W3CDTF">2025-10-21T12:39:18Z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