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2" w:name="potential-journals"/>
    <w:p>
      <w:pPr>
        <w:pStyle w:val="Heading1"/>
      </w:pPr>
      <w:r>
        <w:t xml:space="preserve">Potential journals</w:t>
      </w:r>
    </w:p>
    <w:bookmarkStart w:id="20" w:name="primary-aims"/>
    <w:p>
      <w:pPr>
        <w:pStyle w:val="Heading2"/>
      </w:pPr>
      <w:r>
        <w:t xml:space="preserve">Primary aims</w:t>
      </w:r>
    </w:p>
    <w:p>
      <w:pPr>
        <w:pStyle w:val="FirstParagraph"/>
      </w:pPr>
      <w:r>
        <w:t xml:space="preserve">Biology Letters or Current Biology</w:t>
      </w:r>
    </w:p>
    <w:bookmarkEnd w:id="20"/>
    <w:bookmarkStart w:id="21" w:name="others-that-could-fit"/>
    <w:p>
      <w:pPr>
        <w:pStyle w:val="Heading2"/>
      </w:pPr>
      <w:r>
        <w:t xml:space="preserve">Others that could fit</w:t>
      </w:r>
    </w:p>
    <w:p>
      <w:pPr>
        <w:pStyle w:val="FirstParagraph"/>
      </w:pPr>
      <w:r>
        <w:t xml:space="preserve">Proceedings B? Global ecology &amp; Biogeography? Journal of Biogeography?</w:t>
      </w:r>
    </w:p>
    <w:bookmarkEnd w:id="21"/>
    <w:bookmarkEnd w:id="22"/>
    <w:bookmarkStart w:id="23" w:name="abstract"/>
    <w:p>
      <w:pPr>
        <w:pStyle w:val="Heading1"/>
      </w:pPr>
      <w:r>
        <w:t xml:space="preserve">Abstract</w:t>
      </w:r>
    </w:p>
    <w:p>
      <w:pPr>
        <w:pStyle w:val="FirstParagraph"/>
      </w:pPr>
      <w:r>
        <w:t xml:space="preserve">The Great American Biotic Interchange (GABI) refers to the admixture of North and South American faunas promoted by the Mio-Pliocene closure of the isthmus of Panama. Among mammals, this faunal exchange was asymmetric because it witnessed a greater ability of North American lineages to establish southwards, meanwhile many South Americans went extinct. Here, coupling a mechanistic eco-evolutionary simulator with high-resolution palaeoclimatic reconstructions for the last 5 million years, we explore the extent to which palaeoclimate may have shaped such a biogeographic asymmetry. When climatic variables are the only constraints to virtual species’ ecology, our results indicate that successful interchanges are more frequently achieved when simulations start from South America than from North America, contrasting with empirical observations. In addition, our models fail at explaining the higher representation of temperate-adapted mammals in the fossil record of successfully exchanged mammals, particularly of North American origin, but suggest that successful colonisers from North America occupy larger areas in South America than the other way around. This study offers valuable insights into the processes behind one of the most puzzling macroecological enigmas, suggesting that palaeoclimatic history is not sufficient to explain the imbalanced success of North American migrants in South America following the GABI.</w:t>
      </w:r>
    </w:p>
    <w:bookmarkEnd w:id="23"/>
    <w:bookmarkStart w:id="24" w:name="keywords"/>
    <w:p>
      <w:pPr>
        <w:pStyle w:val="Heading1"/>
      </w:pPr>
      <w:r>
        <w:t xml:space="preserve">Keywords</w:t>
      </w:r>
    </w:p>
    <w:p>
      <w:pPr>
        <w:pStyle w:val="FirstParagraph"/>
      </w:pPr>
      <w:r>
        <w:t xml:space="preserve">Eco-evolutionary simulations; Mammals; Macroecology; Palaeoclimate</w:t>
      </w:r>
    </w:p>
    <w:p>
      <w:r>
        <w:br w:type="page"/>
      </w:r>
    </w:p>
    <w:bookmarkEnd w:id="24"/>
    <w:bookmarkStart w:id="25"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t xml:space="preserve"> </w:t>
      </w:r>
      <w:r>
        <w:t xml:space="preserve">[1]</w:t>
      </w:r>
      <w:r>
        <w:t xml:space="preserve">. Though the exact timing of the closure of the isthmus is still debated</w:t>
      </w:r>
      <w:r>
        <w:t xml:space="preserve"> </w:t>
      </w:r>
      <w: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t xml:space="preserve"> </w:t>
      </w:r>
      <w: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t xml:space="preserve"> </w:t>
      </w:r>
      <w: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t xml:space="preserve"> </w:t>
      </w:r>
      <w: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t xml:space="preserve"> </w:t>
      </w:r>
      <w:r>
        <w:t xml:space="preserve">[9,15,16]</w:t>
      </w:r>
      <w:r>
        <w:t xml:space="preserve"> </w:t>
      </w:r>
      <w:r>
        <w:t xml:space="preserve">or predation of predator-naive preys</w:t>
      </w:r>
      <w:r>
        <w:t xml:space="preserve"> </w:t>
      </w:r>
      <w:r>
        <w:t xml:space="preserve">[9,17–19]</w:t>
      </w:r>
      <w:r>
        <w:t xml:space="preserve">. However, their contribution to the asymmetry of the GABI has been increasingly called into question</w:t>
      </w:r>
      <w:r>
        <w:t xml:space="preserve"> </w:t>
      </w:r>
      <w:r>
        <w:t xml:space="preserve">[</w:t>
      </w:r>
      <w:r>
        <w:rPr>
          <w:i/>
          <w:iCs/>
        </w:rPr>
        <w:t xml:space="preserve">e</w:t>
      </w:r>
      <w:r>
        <w:t xml:space="preserve">.</w:t>
      </w:r>
      <w:r>
        <w:rPr>
          <w:i/>
          <w:iCs/>
        </w:rPr>
        <w:t xml:space="preserve">g</w:t>
      </w:r>
      <w: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t xml:space="preserve"> </w:t>
      </w:r>
      <w:r>
        <w:t xml:space="preserve">[8,10,</w:t>
      </w:r>
      <w:r>
        <w:rPr>
          <w:i/>
          <w:iCs/>
        </w:rPr>
        <w:t xml:space="preserve">e</w:t>
      </w:r>
      <w:r>
        <w:t xml:space="preserve">.</w:t>
      </w:r>
      <w:r>
        <w:rPr>
          <w:i/>
          <w:iCs/>
        </w:rPr>
        <w:t xml:space="preserve">g</w:t>
      </w:r>
      <w: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t xml:space="preserve"> </w:t>
      </w:r>
      <w: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t xml:space="preserve"> </w:t>
      </w:r>
      <w:r>
        <w:t xml:space="preserve">[26]</w:t>
      </w:r>
      <w:r>
        <w:t xml:space="preserve">. Recently, this family of models has provided unprecedented insights into the underlying forces behind widely-recognised biodiversity patterns, such as the latitudinal biodiversity gradient</w:t>
      </w:r>
      <w:r>
        <w:t xml:space="preserve"> </w:t>
      </w:r>
      <w:r>
        <w:t xml:space="preserve">[27]</w:t>
      </w:r>
      <w:r>
        <w:t xml:space="preserve">, the diversity desequilibrium between tropical rainforests across the globe</w:t>
      </w:r>
      <w:r>
        <w:t xml:space="preserve"> </w:t>
      </w:r>
      <w:r>
        <w:t xml:space="preserve">[28]</w:t>
      </w:r>
      <w:r>
        <w:t xml:space="preserve">, the build-up of the unique biodiversity along the Wallace line</w:t>
      </w:r>
      <w:r>
        <w:t xml:space="preserve"> </w:t>
      </w:r>
      <w:r>
        <w:t xml:space="preserve">[29]</w:t>
      </w:r>
      <w:r>
        <w:t xml:space="preserve"> </w:t>
      </w:r>
      <w:r>
        <w:t xml:space="preserve">and many others</w:t>
      </w:r>
      <w:r>
        <w:t xml:space="preserve"> </w:t>
      </w:r>
      <w:r>
        <w:t xml:space="preserve">[</w:t>
      </w:r>
      <w:r>
        <w:rPr>
          <w:i/>
          <w:iCs/>
        </w:rPr>
        <w:t xml:space="preserve">e</w:t>
      </w:r>
      <w:r>
        <w:t xml:space="preserve">.</w:t>
      </w:r>
      <w:r>
        <w:rPr>
          <w:i/>
          <w:iCs/>
        </w:rPr>
        <w:t xml:space="preserve">g</w:t>
      </w:r>
      <w:r>
        <w:t xml:space="preserve">., 30,31,32]</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5"/>
    <w:bookmarkStart w:id="33" w:name="materials-and-methods"/>
    <w:p>
      <w:pPr>
        <w:pStyle w:val="Heading1"/>
      </w:pPr>
      <w:r>
        <w:t xml:space="preserve">Materials and methods</w:t>
      </w:r>
    </w:p>
    <w:p>
      <w:pPr>
        <w:pStyle w:val="FirstParagraph"/>
      </w:pPr>
      <w:r>
        <w:t xml:space="preserve">Here, we term</w:t>
      </w:r>
      <w:r>
        <w:t xml:space="preserve"> </w:t>
      </w:r>
      <w:r>
        <w:t xml:space="preserve">“</w:t>
      </w:r>
      <w:r>
        <w:t xml:space="preserve">North America</w:t>
      </w:r>
      <w:r>
        <w:t xml:space="preserve">”</w:t>
      </w:r>
      <w:r>
        <w:t xml:space="preserve"> </w:t>
      </w:r>
      <w:r>
        <w:t xml:space="preserve">North + Central America. The delimitation between both continents was arbitrarily set in the middle of Panama (coordinates) (</w:t>
      </w:r>
      <w:hyperlink w:anchor="fig-1">
        <w:r>
          <w:rPr>
            <w:rStyle w:val="Hyperlink"/>
          </w:rPr>
          <w:t xml:space="preserve">Figure 1</w:t>
        </w:r>
      </w:hyperlink>
      <w:r>
        <w:t xml:space="preserve">).</w:t>
      </w:r>
    </w:p>
    <w:bookmarkStart w:id="30" w:name="palaeoclimate-data"/>
    <w:p>
      <w:pPr>
        <w:pStyle w:val="Heading2"/>
      </w:pPr>
      <w:r>
        <w:t xml:space="preserve">Palaeoclimate data</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587151" cy="5184144"/>
                  <wp:effectExtent b="0" l="0" r="0" t="0"/>
                  <wp:docPr descr="" title="" id="27" name="Picture"/>
                  <a:graphic>
                    <a:graphicData uri="http://schemas.openxmlformats.org/drawingml/2006/picture">
                      <pic:pic>
                        <pic:nvPicPr>
                          <pic:cNvPr descr="../Figures/MS/Main/Figure1/Figure1.png" id="28" name="Picture"/>
                          <pic:cNvPicPr>
                            <a:picLocks noChangeArrowheads="1" noChangeAspect="1"/>
                          </pic:cNvPicPr>
                        </pic:nvPicPr>
                        <pic:blipFill>
                          <a:blip r:embed="rId26"/>
                          <a:stretch>
                            <a:fillRect/>
                          </a:stretch>
                        </pic:blipFill>
                        <pic:spPr bwMode="auto">
                          <a:xfrm>
                            <a:off x="0" y="0"/>
                            <a:ext cx="5587151" cy="51841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Palaeoclimate histories within our studied landmasses (North America−in red, and South America−in green). Spatially-averaged climate variables (Annual Temperature and Precipitations) are taken from the PALEO-PGEM palaeoclimate emulator</w:t>
            </w:r>
            <w:r>
              <w:t xml:space="preserve"> </w:t>
            </w:r>
            <w:r>
              <w:t xml:space="preserve">[33]</w:t>
            </w:r>
            <w:r>
              <w:t xml:space="preserve">. The empirically-derived asymmetry of the transcontinental land mammal exchange is represented by the thickness of the two arrows.</w:t>
            </w:r>
          </w:p>
          <w:bookmarkEnd w:id="29"/>
        </w:tc>
      </w:tr>
    </w:tbl>
    <w:p>
      <w:pPr>
        <w:pStyle w:val="BodyText"/>
      </w:pPr>
      <w:r>
        <w:t xml:space="preserve">We used the spatio-temporal terrestrial palaeoclimate series from the PALEO-PGEM atmosphere-ocean general circulation model</w:t>
      </w:r>
      <w:r>
        <w:t xml:space="preserve"> </w:t>
      </w:r>
      <w:r>
        <w:t xml:space="preserve">[33]</w:t>
      </w:r>
      <w:r>
        <w:t xml:space="preserve">, covering the last 5 Myrs with a 1</w:t>
      </w:r>
      <w:r>
        <w:t xml:space="preserve"> </w:t>
      </w:r>
      <w:r>
        <w:t xml:space="preserve"> </w:t>
      </w:r>
      <w:r>
        <w:t xml:space="preserve">° spatial resolution</w:t>
      </w:r>
      <w:r>
        <w:t xml:space="preserve"> </w:t>
      </w:r>
      <w:r>
        <w:t xml:space="preserve">[34]</w:t>
      </w:r>
      <w:r>
        <w:t xml:space="preserve">. For the scope of this work, we used two bioclimatic variables: mean annual temperature (MAT, BIO1) and mean annual precipitation (MAP, BIO12). To avoid reaching an overkillingly-high number of simulation steps, we reduced the temporal resolution of the climate simulations from a 1000 years-time step to a 10,000 years time-step.</w:t>
      </w:r>
    </w:p>
    <w:p>
      <w:pPr>
        <w:pStyle w:val="BodyText"/>
      </w:pPr>
      <w:r>
        <w:t xml:space="preserve">Additionally, in order to discriminate simulations on the basis of the biome the initial species starts in, we reclassified monthly palaeoclimate layers for our starting time (</w:t>
      </w:r>
      <m:oMath>
        <m:r>
          <m:t>t</m:t>
        </m:r>
        <m:r>
          <m:rPr>
            <m:sty m:val="p"/>
          </m:rPr>
          <m:t>=</m:t>
        </m:r>
        <m:r>
          <m:t>5</m:t>
        </m:r>
      </m:oMath>
      <w:r>
        <w:t xml:space="preserve"> </w:t>
      </w:r>
      <w:r>
        <w:t xml:space="preserve">Myrs) according to Köppen-Geiger broad climate types</w:t>
      </w:r>
      <w:r>
        <w:t xml:space="preserve"> </w:t>
      </w:r>
      <w:r>
        <w:t xml:space="preserve">[35]</w:t>
      </w:r>
      <w:r>
        <w:t xml:space="preserve">. This classification divides the world into five broad climatic regions: Polar, Cold, Temperate, Arid and Tropical.</w:t>
      </w:r>
    </w:p>
    <w:bookmarkEnd w:id="30"/>
    <w:bookmarkStart w:id="31"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 gen3sis, v1.5.11</w:t>
      </w:r>
      <w:r>
        <w:t xml:space="preserve"> </w:t>
      </w:r>
      <w:r>
        <w:t xml:space="preserve">[27]</w:t>
      </w:r>
      <w:r>
        <w:t xml:space="preserve">. Simulations, moving forward-in-time with a 10ky time step, tracked the radiation of a clade arising from a single ancestral population, either originating in North or in South America, throughout the last 5 Myr. In gen3sis, virtual species are made up with a set of individual populations evolving independently, following a set of four rules: dispersal, speciation, environmental filtering and trait evolution. All simulation scenarios that we implemented only differed on the last rule (trait evolution), the first three being common to all models (or at least partly).</w:t>
      </w:r>
    </w:p>
    <w:p>
      <w:pPr>
        <w:pStyle w:val="BodyText"/>
      </w:pPr>
      <w:r>
        <w:t xml:space="preserve">We elaborated a gridded landscape made up with the two time-series of the aforementioned palaeoclimatic layers. Within this landscape, virtual species, made up with populations, inhabited a set of connected cells. At each time step, populations could disperse to the surrounding cells with an intensity sampled in a Weibull distribution. If, by chance, two populations happened to be disconnected, they would accumulate divergence as long as they get disconnected, at a rate ruled by a divergence factor, here set to</w:t>
      </w:r>
      <w:r>
        <w:t xml:space="preserve"> </w:t>
      </w:r>
      <m:oMath>
        <m:r>
          <m:t>0.05</m:t>
        </m:r>
      </m:oMath>
      <w:r>
        <w:t xml:space="preserve">. Once passed a divergence threshold, speciation occurred.</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maintain in a given cell. Each species was therefore assigned a two-dimensional climatic niche, one axis corresponding to temperature suitability and the other to precipitation suitability. The abundance of a species along an environmental gradient was ruled by two parameters – that we also call traits –, an population- and species-specific optimum (resp.</w:t>
      </w:r>
      <w:r>
        <w:t xml:space="preserve">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t>
      </w:r>
      <w:r>
        <w:t xml:space="preserve">for the precipitation and temperature optima of the population</w:t>
      </w:r>
      <w:r>
        <w:t xml:space="preserve"> </w:t>
      </w:r>
      <m:oMath>
        <m:r>
          <m:t>k</m:t>
        </m:r>
      </m:oMath>
      <w:r>
        <w:t xml:space="preserve"> </w:t>
      </w:r>
      <w:r>
        <w:t xml:space="preserve">of the species</w:t>
      </w:r>
      <w:r>
        <w:t xml:space="preserve"> </w:t>
      </w:r>
      <m:oMath>
        <m:r>
          <m:t>l</m:t>
        </m:r>
      </m:oMath>
      <w:r>
        <w:t xml:space="preserve">) and a breadth (or tolerance) (resp.</w:t>
      </w:r>
      <w:r>
        <w:t xml:space="preserve"> </w:t>
      </w:r>
      <m:oMath>
        <m:sSub>
          <m:e>
            <m:r>
              <m:t>ω</m:t>
            </m:r>
          </m:e>
          <m:sub>
            <m:r>
              <m:t>P</m:t>
            </m:r>
          </m:sub>
        </m:sSub>
      </m:oMath>
      <w:r>
        <w:t xml:space="preserve"> </w:t>
      </w:r>
      <w:r>
        <w:t xml:space="preserve">and</w:t>
      </w:r>
      <w:r>
        <w:t xml:space="preserve"> </w:t>
      </w:r>
      <m:oMath>
        <m:sSub>
          <m:e>
            <m:r>
              <m:t>ω</m:t>
            </m:r>
          </m:e>
          <m:sub>
            <m:r>
              <m:t>T</m:t>
            </m:r>
          </m:sub>
        </m:sSub>
      </m:oMath>
      <w:r>
        <w:t xml:space="preserve">; within a simulation, breadths were shared across populations and species). A population could maintain in a given cell only if the difference between its optima and local climate (both temperature and precipitation) was below its breadths. Therefore, given a site</w:t>
      </w:r>
      <w:r>
        <w:t xml:space="preserve"> </w:t>
      </w:r>
      <m:oMath>
        <m:r>
          <m:t>i</m:t>
        </m:r>
      </m:oMath>
      <w:r>
        <w:t xml:space="preserve"> </w:t>
      </w:r>
      <w:r>
        <w:t xml:space="preserve">with local precipitation and temperature at time</w:t>
      </w:r>
      <w:r>
        <w:t xml:space="preserve"> </w:t>
      </w:r>
      <m:oMath>
        <m:r>
          <m:t>t</m:t>
        </m:r>
      </m:oMath>
      <w:r>
        <w:t xml:space="preserve"> </w:t>
      </w:r>
      <w:r>
        <w:t xml:space="preserve">being</w:t>
      </w:r>
      <w:r>
        <w:t xml:space="preserve"> </w:t>
      </w:r>
      <m:oMath>
        <m:sSub>
          <m:e>
            <m:r>
              <m:t>P</m:t>
            </m:r>
          </m:e>
          <m:sub>
            <m:r>
              <m:t>i</m:t>
            </m:r>
          </m:sub>
        </m:sSub>
        <m:d>
          <m:dPr>
            <m:begChr m:val="("/>
            <m:endChr m:val=")"/>
            <m:sepChr m:val=""/>
            <m:grow/>
          </m:dPr>
          <m:e>
            <m:r>
              <m:t>t</m:t>
            </m:r>
          </m:e>
        </m:d>
      </m:oMath>
      <w:r>
        <w:t xml:space="preserve"> </w:t>
      </w:r>
      <w:r>
        <w:t xml:space="preserve">and</w:t>
      </w:r>
      <w:r>
        <w:t xml:space="preserve"> </w:t>
      </w:r>
      <m:oMath>
        <m:sSub>
          <m:e>
            <m:r>
              <m:t>T</m:t>
            </m:r>
          </m:e>
          <m:sub>
            <m:r>
              <m:t>i</m:t>
            </m:r>
          </m:sub>
        </m:sSub>
        <m:d>
          <m:dPr>
            <m:begChr m:val="("/>
            <m:endChr m:val=")"/>
            <m:sepChr m:val=""/>
            <m:grow/>
          </m:dPr>
          <m:e>
            <m:r>
              <m:t>t</m:t>
            </m:r>
          </m:e>
        </m:d>
      </m:oMath>
      <w:r>
        <w:t xml:space="preserve">, this translates in</w:t>
      </w:r>
    </w:p>
    <w:p>
      <w:pPr>
        <w:pStyle w:val="BodyText"/>
      </w:pPr>
      <m:oMathPara>
        <m:oMathParaPr>
          <m:jc m:val="center"/>
        </m:oMathParaPr>
        <m:oMath>
          <m:d>
            <m:dPr>
              <m:begChr m:val="{"/>
              <m:endChr m:val=""/>
              <m:sepChr m:val=""/>
              <m:grow/>
            </m:dPr>
            <m:e>
              <m:m>
                <m:mPr>
                  <m:baseJc m:val="center"/>
                  <m:plcHide m:val="on"/>
                  <m:mcs>
                    <m:mc>
                      <m:mcPr>
                        <m:mcJc m:val="left"/>
                        <m:count m:val="1"/>
                      </m:mcPr>
                    </m:mc>
                  </m:mcs>
                </m:mPr>
                <m:mr>
                  <m:e>
                    <m:r>
                      <m:rPr>
                        <m:sty m:val="p"/>
                      </m:rPr>
                      <m:t>|</m:t>
                    </m:r>
                    <m:sSub>
                      <m:e>
                        <m:r>
                          <m:t>P</m:t>
                        </m:r>
                      </m:e>
                      <m:sub>
                        <m:r>
                          <m:t>i</m:t>
                        </m:r>
                      </m:sub>
                    </m:sSub>
                    <m:d>
                      <m:dPr>
                        <m:begChr m:val="("/>
                        <m:endChr m:val=")"/>
                        <m:sepChr m:val=""/>
                        <m:grow/>
                      </m:dPr>
                      <m:e>
                        <m:r>
                          <m:t>t</m:t>
                        </m:r>
                      </m:e>
                    </m:d>
                    <m:r>
                      <m:rPr>
                        <m:sty m:val="p"/>
                      </m:rPr>
                      <m:t>−</m:t>
                    </m:r>
                    <m:sSub>
                      <m:e>
                        <m:r>
                          <m:t>P</m:t>
                        </m:r>
                      </m:e>
                      <m:sub>
                        <m:r>
                          <m:t>k</m:t>
                        </m:r>
                        <m:r>
                          <m:rPr>
                            <m:sty m:val="p"/>
                          </m:rPr>
                          <m:t>,</m:t>
                        </m:r>
                        <m:r>
                          <m:t>l</m:t>
                        </m:r>
                      </m:sub>
                    </m:sSub>
                    <m:r>
                      <m:rPr>
                        <m:sty m:val="p"/>
                      </m:rPr>
                      <m:t>|</m:t>
                    </m:r>
                    <m:r>
                      <m:rPr>
                        <m:sty m:val="p"/>
                      </m:rPr>
                      <m:t>&lt;</m:t>
                    </m:r>
                    <m:sSub>
                      <m:e>
                        <m:r>
                          <m:t>ω</m:t>
                        </m:r>
                      </m:e>
                      <m:sub>
                        <m:r>
                          <m:t>P</m:t>
                        </m:r>
                      </m:sub>
                    </m:sSub>
                  </m:e>
                </m:mr>
                <m:mr>
                  <m:e>
                    <m:r>
                      <m:rPr>
                        <m:sty m:val="p"/>
                      </m:rPr>
                      <m:t>|</m:t>
                    </m:r>
                    <m:sSub>
                      <m:e>
                        <m:r>
                          <m:t>T</m:t>
                        </m:r>
                      </m:e>
                      <m:sub>
                        <m:r>
                          <m:t>i</m:t>
                        </m:r>
                      </m:sub>
                    </m:sSub>
                    <m:d>
                      <m:dPr>
                        <m:begChr m:val="("/>
                        <m:endChr m:val=")"/>
                        <m:sepChr m:val=""/>
                        <m:grow/>
                      </m:dPr>
                      <m:e>
                        <m:r>
                          <m:t>t</m:t>
                        </m:r>
                      </m:e>
                    </m:d>
                    <m:r>
                      <m:rPr>
                        <m:sty m:val="p"/>
                      </m:rPr>
                      <m:t>−</m:t>
                    </m:r>
                    <m:sSub>
                      <m:e>
                        <m:r>
                          <m:t>T</m:t>
                        </m:r>
                      </m:e>
                      <m:sub>
                        <m:r>
                          <m:t>k</m:t>
                        </m:r>
                        <m:r>
                          <m:rPr>
                            <m:sty m:val="p"/>
                          </m:rPr>
                          <m:t>,</m:t>
                        </m:r>
                        <m:r>
                          <m:t>l</m:t>
                        </m:r>
                      </m:sub>
                    </m:sSub>
                    <m:r>
                      <m:rPr>
                        <m:sty m:val="p"/>
                      </m:rPr>
                      <m:t>|</m:t>
                    </m:r>
                    <m:r>
                      <m:rPr>
                        <m:sty m:val="p"/>
                      </m:rPr>
                      <m:t>&lt;</m:t>
                    </m:r>
                    <m:sSub>
                      <m:e>
                        <m:r>
                          <m:t>ω</m:t>
                        </m:r>
                      </m:e>
                      <m:sub>
                        <m:r>
                          <m:t>T</m:t>
                        </m:r>
                      </m:sub>
                    </m:sSub>
                  </m:e>
                </m:mr>
              </m:m>
            </m:e>
          </m:d>
        </m:oMath>
      </m:oMathPara>
    </w:p>
    <w:p>
      <w:pPr>
        <w:pStyle w:val="FirstParagraph"/>
      </w:pPr>
      <w:r>
        <w:t xml:space="preserve">Each simulation started with a single ancestral species. The range of this ancestral species was randomly selected within the desired ancestral area (</w:t>
      </w:r>
      <w:r>
        <w:rPr>
          <w:i/>
          <w:iCs/>
        </w:rPr>
        <w:t xml:space="preserve">i</w:t>
      </w:r>
      <w:r>
        <w:t xml:space="preserve">.</w:t>
      </w:r>
      <w:r>
        <w:rPr>
          <w:i/>
          <w:iCs/>
        </w:rPr>
        <w:t xml:space="preserve">e</w:t>
      </w:r>
      <w:r>
        <w:t xml:space="preserve">., North or South America).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[36]</w:t>
      </w:r>
      <w:r>
        <w:t xml:space="preserve">. We then sampled a centroid at random and retrieved the corresponding cell in our landscape. To reduce the probability of initial crash, the temperature and/or precipitation optima parameter of the ancestor were set to those of the local environment.</w:t>
      </w:r>
    </w:p>
    <w:p>
      <w:pPr>
        <w:pStyle w:val="BodyText"/>
      </w:pPr>
      <w:r>
        <w:t xml:space="preserve">A total of 500 replicates was made under each modelling scheme (detailed in the next paragraph), both with North and South America as ancestral area. Across replicates, we varied 6 key parameters: (1) the divergence threshold above which speciation occurred (</w:t>
      </w:r>
      <m:oMath>
        <m:r>
          <m:t>S</m:t>
        </m:r>
      </m:oMath>
      <w:r>
        <w:t xml:space="preserve">, range =</w:t>
      </w:r>
      <w:r>
        <w:t xml:space="preserve"> </w:t>
      </w:r>
      <m:oMath>
        <m:d>
          <m:dPr>
            <m:begChr m:val="["/>
            <m:endChr m:val="]"/>
            <m:sepChr m:val=""/>
            <m:grow/>
          </m:dPr>
          <m:e>
            <m:r>
              <m:t>1</m:t>
            </m:r>
            <m:r>
              <m:rPr>
                <m:sty m:val="p"/>
              </m:rPr>
              <m:t>,</m:t>
            </m:r>
            <m:r>
              <m:t>3</m:t>
            </m:r>
          </m:e>
        </m:d>
      </m:oMath>
      <w:r>
        <w:t xml:space="preserve">), (2) the rate of environmental niche evolution (</w:t>
      </w:r>
      <m:oMath>
        <m:sSub>
          <m:e>
            <m:r>
              <m:t>σ</m:t>
            </m:r>
          </m:e>
          <m:sub>
            <m:r>
              <m:t>e</m:t>
            </m:r>
          </m:sub>
        </m:sSub>
      </m:oMath>
      <w:r>
        <w:t xml:space="preserve">,</w:t>
      </w:r>
      <w:r>
        <w:t xml:space="preserve"> </w:t>
      </w:r>
      <m:oMath>
        <m:d>
          <m:dPr>
            <m:begChr m:val="["/>
            <m:endChr m:val="]"/>
            <m:sepChr m:val=""/>
            <m:grow/>
          </m:dPr>
          <m:e>
            <m:r>
              <m:t>0.005</m:t>
            </m:r>
            <m:r>
              <m:rPr>
                <m:sty m:val="p"/>
              </m:rPr>
              <m:t>,</m:t>
            </m:r>
            <m:r>
              <m:t>0.15</m:t>
            </m:r>
          </m:e>
        </m:d>
      </m:oMath>
      <w:r>
        <w:t xml:space="preserve">), (3) the shape (</w:t>
      </w:r>
      <m:oMath>
        <m:r>
          <m:t>ϕ</m:t>
        </m:r>
      </m:oMath>
      <w:r>
        <w:t xml:space="preserve">,</w:t>
      </w:r>
      <w:r>
        <w:t xml:space="preserve"> </w:t>
      </w:r>
      <m:oMath>
        <m:d>
          <m:dPr>
            <m:begChr m:val="["/>
            <m:endChr m:val="]"/>
            <m:sepChr m:val=""/>
            <m:grow/>
          </m:dPr>
          <m:e>
            <m:r>
              <m:t>0.5</m:t>
            </m:r>
            <m:r>
              <m:rPr>
                <m:sty m:val="p"/>
              </m:rPr>
              <m:t>,</m:t>
            </m:r>
            <m:r>
              <m:t>3</m:t>
            </m:r>
          </m:e>
        </m:d>
      </m:oMath>
      <w:r>
        <w:t xml:space="preserve">) and (4) scale (</w:t>
      </w:r>
      <m:oMath>
        <m:r>
          <m:t>ψ</m:t>
        </m:r>
      </m:oMath>
      <w:r>
        <w:t xml:space="preserve">,</w:t>
      </w:r>
      <w:r>
        <w:t xml:space="preserve"> </w:t>
      </w:r>
      <m:oMath>
        <m:d>
          <m:dPr>
            <m:begChr m:val="["/>
            <m:endChr m:val="]"/>
            <m:sepChr m:val=""/>
            <m:grow/>
          </m:dPr>
          <m:e>
            <m:r>
              <m:t>0.1</m:t>
            </m:r>
            <m:r>
              <m:rPr>
                <m:sty m:val="p"/>
              </m:rPr>
              <m:t>,</m:t>
            </m:r>
            <m:r>
              <m:t>1</m:t>
            </m:r>
          </m:e>
        </m:d>
      </m:oMath>
      <w:r>
        <w:t xml:space="preserve">) of the Weibull distribution acting as a dispersal kernel, (5) the strength of environmental filtering (</w:t>
      </w:r>
      <w:r>
        <w:rPr>
          <w:i/>
          <w:iCs/>
        </w:rPr>
        <w:t xml:space="preserve">i</w:t>
      </w:r>
      <w:r>
        <w:t xml:space="preserve">.</w:t>
      </w:r>
      <w:r>
        <w:rPr>
          <w:i/>
          <w:iCs/>
        </w:rPr>
        <w:t xml:space="preserve">e</w:t>
      </w:r>
      <w:r>
        <w:t xml:space="preserve">., niche breadth) for temperature (</w:t>
      </w:r>
      <m:oMath>
        <m:sSub>
          <m:e>
            <m:r>
              <m:t>ω</m:t>
            </m:r>
          </m:e>
          <m:sub>
            <m:r>
              <m:t>T</m:t>
            </m:r>
          </m:sub>
        </m:sSub>
      </m:oMath>
      <w:r>
        <w:t xml:space="preserve">,</w:t>
      </w:r>
      <w:r>
        <w:t xml:space="preserve"> </w:t>
      </w:r>
      <m:oMath>
        <m:d>
          <m:dPr>
            <m:begChr m:val="["/>
            <m:endChr m:val="]"/>
            <m:sepChr m:val=""/>
            <m:grow/>
          </m:dPr>
          <m:e>
            <m:r>
              <m:t>0.01</m:t>
            </m:r>
            <m:r>
              <m:rPr>
                <m:sty m:val="p"/>
              </m:rPr>
              <m:t>,</m:t>
            </m:r>
            <m:r>
              <m:t>0.1</m:t>
            </m:r>
          </m:e>
        </m:d>
      </m:oMath>
      <w:r>
        <w:t xml:space="preserve">) and (6) precipitations (</w:t>
      </w:r>
      <m:oMath>
        <m:sSub>
          <m:e>
            <m:r>
              <m:t>ω</m:t>
            </m:r>
          </m:e>
          <m:sub>
            <m:r>
              <m:t>P</m:t>
            </m:r>
          </m:sub>
        </m:sSub>
      </m:oMath>
      <w:r>
        <w:t xml:space="preserve">,</w:t>
      </w:r>
      <w:r>
        <w:t xml:space="preserve"> </w:t>
      </w:r>
      <m:oMath>
        <m:d>
          <m:dPr>
            <m:begChr m:val="["/>
            <m:endChr m:val="]"/>
            <m:sepChr m:val=""/>
            <m:grow/>
          </m:dPr>
          <m:e>
            <m:r>
              <m:t>0.05</m:t>
            </m:r>
            <m:r>
              <m:rPr>
                <m:sty m:val="p"/>
              </m:rPr>
              <m:t>,</m:t>
            </m:r>
            <m:r>
              <m:t>0.3</m:t>
            </m:r>
          </m:e>
        </m:d>
      </m:oMath>
      <w:r>
        <w:t xml:space="preserve">). As done by many authors, we ensured an even sampling of the resulting multidimensional parameter space via a quasirandom sampling technique relying on Sobol’ sequences</w:t>
      </w:r>
      <w:r>
        <w:t xml:space="preserve"> </w:t>
      </w:r>
      <w:r>
        <w:t xml:space="preserve">[28,29]</w:t>
      </w:r>
      <w:r>
        <w:t xml:space="preserve">. Parameter ranges were determined on the basis of a literature review, allowing to assess their biological relevance, and were further adjusted in order to limit the prevalence of crashing simulations.</w:t>
      </w:r>
    </w:p>
    <w:p>
      <w:pPr>
        <w:pStyle w:val="BodyText"/>
      </w:pPr>
      <w:r>
        <w:t xml:space="preserve">We implemented various simulation scenarios where we modulated the ability of species to cope with climate change, and thus, the generalist vs. specialist nature of the simulated species. In the full-adaptationist model (</w:t>
      </w:r>
      <w:r>
        <w:rPr>
          <w:i/>
          <w:iCs/>
        </w:rPr>
        <w:t xml:space="preserve">M1</w:t>
      </w:r>
      <w:r>
        <w:t xml:space="preserve">, generalist), climatic optima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were able to evolve in the direction of local climate change. To isolate the effect of a single environmental covariate on the resulting simulated biodiversity pattern, alternative versions of this model consisted of either removing the temperature (</w:t>
      </w:r>
      <w:r>
        <w:rPr>
          <w:i/>
          <w:iCs/>
        </w:rPr>
        <w:t xml:space="preserve">M2</w:t>
      </w:r>
      <w:r>
        <w:t xml:space="preserve">) or the precipitation (</w:t>
      </w:r>
      <w:r>
        <w:rPr>
          <w:i/>
          <w:iCs/>
        </w:rPr>
        <w:t xml:space="preserve">M3</w:t>
      </w:r>
      <w:r>
        <w:t xml:space="preserve">) constraint on species ecology. Besides, we also implemented a zero-adaptationist model (</w:t>
      </w:r>
      <w:r>
        <w:rPr>
          <w:i/>
          <w:iCs/>
        </w:rPr>
        <w:t xml:space="preserve">M0</w:t>
      </w:r>
      <w:r>
        <w:t xml:space="preserve">, specialist), where niche optima could not evolve and were therefore held constant (to their initial value) across all simulations.</w:t>
      </w:r>
    </w:p>
    <w:p>
      <w:pPr>
        <w:pStyle w:val="BodyText"/>
      </w:pPr>
      <w:r>
        <w:t xml:space="preserve">Last, it is important to notice that, since the palaeoclimate reconstructions that we used ignored tectonic plate motion – a reasonable assumption for a 5-Myr time frame – continental position in our landscapes was held constant across simulations. Therefore, in that framework, changes in connectivity between North and South America could only arise from the environment.</w:t>
      </w:r>
    </w:p>
    <w:bookmarkEnd w:id="31"/>
    <w:bookmarkStart w:id="32" w:name="postprocessing-and-quantifications"/>
    <w:p>
      <w:pPr>
        <w:pStyle w:val="Heading2"/>
      </w:pPr>
      <w:r>
        <w:t xml:space="preserve">Postprocessing and quantifications</w:t>
      </w:r>
    </w:p>
    <w:p>
      <w:pPr>
        <w:pStyle w:val="FirstParagraph"/>
      </w:pPr>
      <w:r>
        <w:t xml:space="preserve">Once a</w:t>
      </w:r>
    </w:p>
    <w:bookmarkEnd w:id="32"/>
    <w:bookmarkEnd w:id="33"/>
    <w:bookmarkStart w:id="41" w:name="results"/>
    <w:p>
      <w:pPr>
        <w:pStyle w:val="Heading1"/>
      </w:pPr>
      <w:r>
        <w:t xml:space="preserve">Results</w:t>
      </w:r>
    </w:p>
    <w:bookmarkStart w:id="38" w:name="X46091cfcf02b26afcadcbdab517ba968c60939b"/>
    <w:p>
      <w:pPr>
        <w:pStyle w:val="Heading2"/>
      </w:pPr>
      <w:r>
        <w:t xml:space="preserve">Climate makes it easier to reach North America from South America than the other way round</w:t>
      </w:r>
    </w:p>
    <w:p>
      <w:pPr>
        <w:pStyle w:val="FirstParagraph"/>
      </w:pPr>
      <w:r>
        <w:t xml:space="preserve">Unexpectedly, our simulation-based framework suggests that the proportion of simulations successfully reaching the other continent is always higher when starting from South America than from North America (Fig X). This imbalance, strikingly going against our expectations, is maintained whether we allowed species climatic niche to evolve following climatic change (44% vs. 87%, model M1) or not (29% vs 59%, model M0,</w:t>
      </w:r>
      <w:r>
        <w:t xml:space="preserve"> </w:t>
      </w:r>
      <w:hyperlink w:anchor="fig-2">
        <w:r>
          <w:rPr>
            <w:rStyle w:val="Hyperlink"/>
          </w:rPr>
          <w:t xml:space="preserve">Figure 2</w:t>
        </w:r>
      </w:hyperlink>
      <w:r>
        <w:t xml:space="preserve">). That being said, it has to be noticed that there the proportion of simulations resulting in no living representative (=crash) was on average twice higher for simulations starting in North America.</w:t>
      </w:r>
    </w:p>
    <w:tbl>
      <w:tblPr>
        <w:tblStyle w:val="Table"/>
        <w:tblW w:type="pct" w:w="5000"/>
        <w:tblLayout w:type="fixed"/>
        <w:tblLook w:firstRow="0" w:lastRow="0" w:firstColumn="0" w:lastColumn="0" w:noHBand="0" w:noVBand="0" w:val="0000"/>
      </w:tblPr>
      <w:tblGrid>
        <w:gridCol w:w="7920"/>
      </w:tblGrid>
      <w:tr>
        <w:tc>
          <w:tcPr/>
          <w:bookmarkStart w:id="37" w:name="fig-2"/>
          <w:p>
            <w:pPr>
              <w:pStyle w:val="Compact"/>
              <w:jc w:val="center"/>
            </w:pPr>
            <w:r>
              <w:drawing>
                <wp:inline>
                  <wp:extent cx="5943600" cy="2796378"/>
                  <wp:effectExtent b="0" l="0" r="0" t="0"/>
                  <wp:docPr descr="" title="" id="35" name="Picture"/>
                  <a:graphic>
                    <a:graphicData uri="http://schemas.openxmlformats.org/drawingml/2006/picture">
                      <pic:pic>
                        <pic:nvPicPr>
                          <pic:cNvPr descr="../Figures/prop_successful_exch/succ_exch_panel.png" id="36" name="Picture"/>
                          <pic:cNvPicPr>
                            <a:picLocks noChangeArrowheads="1" noChangeAspect="1"/>
                          </pic:cNvPicPr>
                        </pic:nvPicPr>
                        <pic:blipFill>
                          <a:blip r:embed="rId34"/>
                          <a:stretch>
                            <a:fillRect/>
                          </a:stretch>
                        </pic:blipFill>
                        <pic:spPr bwMode="auto">
                          <a:xfrm>
                            <a:off x="0" y="0"/>
                            <a:ext cx="5943600" cy="279637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successful exchange to the other continent, either starting from North (red) or South (blue) America.</w:t>
            </w:r>
          </w:p>
          <w:bookmarkEnd w:id="37"/>
        </w:tc>
      </w:tr>
    </w:tbl>
    <w:p>
      <w:pPr>
        <w:pStyle w:val="BodyText"/>
      </w:pPr>
      <w:r>
        <w:rPr>
          <w:b/>
          <w:bCs/>
        </w:rPr>
        <w:t xml:space="preserve">Biome here?</w:t>
      </w:r>
    </w:p>
    <w:bookmarkEnd w:id="38"/>
    <w:bookmarkStart w:id="39" w:name="success-on-the-foreign-continent"/>
    <w:p>
      <w:pPr>
        <w:pStyle w:val="Heading2"/>
      </w:pPr>
      <w:r>
        <w:t xml:space="preserve">Success on the foreign continent</w:t>
      </w:r>
    </w:p>
    <w:bookmarkEnd w:id="39"/>
    <w:bookmarkStart w:id="40" w:name="X7a927ae912a5869e71832d686916bf60c91de1e"/>
    <w:p>
      <w:pPr>
        <w:pStyle w:val="Heading2"/>
      </w:pPr>
      <w:r>
        <w:t xml:space="preserve">Geographic features of the simulated interchange</w:t>
      </w:r>
    </w:p>
    <w:p>
      <w:r>
        <w:br w:type="page"/>
      </w:r>
    </w:p>
    <w:bookmarkEnd w:id="40"/>
    <w:bookmarkEnd w:id="41"/>
    <w:bookmarkStart w:id="45" w:name="discussion"/>
    <w:p>
      <w:pPr>
        <w:pStyle w:val="Heading1"/>
      </w:pPr>
      <w:r>
        <w:t xml:space="preserve">Discussion</w:t>
      </w:r>
    </w:p>
    <w:p>
      <w:pPr>
        <w:pStyle w:val="FirstParagraph"/>
      </w:pPr>
      <w:r>
        <w:t xml:space="preserve">Smoothing asymmetry =&gt; echo to birds</w:t>
      </w:r>
      <w:r>
        <w:t xml:space="preserve"> </w:t>
      </w:r>
      <w:r>
        <w:t xml:space="preserve">[37]</w:t>
      </w:r>
      <w:r>
        <w:t xml:space="preserve">, flying behaviour relaxing constraints applied to land mammals ?</w:t>
      </w:r>
    </w:p>
    <w:p>
      <w:pPr>
        <w:pStyle w:val="BodyText"/>
      </w:pPr>
      <w:r>
        <w:t xml:space="preserve">Species pool proved relevant in the case of the interchange along the Wallacea</w:t>
      </w:r>
      <w:r>
        <w:t xml:space="preserve"> </w:t>
      </w:r>
      <w:r>
        <w:t xml:space="preserve">[31]</w:t>
      </w:r>
      <w:r>
        <w:t xml:space="preserve">. But here, we expect to find more species in South America, encompassing one of earth’s major and long-standing biodiversity hotspot – Amazonia</w:t>
      </w:r>
      <w:r>
        <w:t xml:space="preserve"> </w:t>
      </w:r>
      <w:r>
        <w:t xml:space="preserve">[38]</w:t>
      </w:r>
      <w:r>
        <w:t xml:space="preserve"> </w:t>
      </w:r>
      <w:r>
        <w:t xml:space="preserve">– than in North America, though see Vrba.</w:t>
      </w:r>
    </w:p>
    <w:bookmarkStart w:id="42" w:name="climate"/>
    <w:p>
      <w:pPr>
        <w:pStyle w:val="Heading2"/>
      </w:pPr>
      <w:r>
        <w:t xml:space="preserve">Climate</w:t>
      </w:r>
    </w:p>
    <w:p>
      <w:pPr>
        <w:pStyle w:val="FirstParagraph"/>
      </w:pPr>
      <w:r>
        <w:t xml:space="preserve">One of the predictions of Vrba’s ressource-use hypotheses formulated in the framework of the habitat theory</w:t>
      </w:r>
      <w:r>
        <w:t xml:space="preserve"> </w:t>
      </w:r>
      <w:r>
        <w:t xml:space="preserve">[20]</w:t>
      </w:r>
      <w:r>
        <w:t xml:space="preserve"> </w:t>
      </w:r>
      <w:r>
        <w:t xml:space="preserve">applied to the GABI is that tropical specialists, in the aftermath of the global cooling occurring in the Plio-Pleistocene boundary, would have naturally been attracted towards the equator, in turn actively promoting some North American mammal’s establishment in South America. On the other hand, fewer mammals – only biome generalists or open-habitat specialists – from South America are expected to roam the other way round. Our virtual experiments partially corroborate with these predictions, in the sense that tropical-adapted taxa of North American origin have a higher prevalence of crossing the isthmus than species belonging to other biomes (Figure X [biomes], model M0).</w:t>
      </w:r>
    </w:p>
    <w:p>
      <w:pPr>
        <w:pStyle w:val="BodyText"/>
      </w:pPr>
      <w:r>
        <w:t xml:space="preserve">Success in South America for temperate-adapted species, posited as the most successful, not recovered, with tropical meeting the gighest success</w:t>
      </w:r>
    </w:p>
    <w:bookmarkEnd w:id="42"/>
    <w:bookmarkStart w:id="43"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t xml:space="preserve"> </w:t>
      </w:r>
      <w:r>
        <w:t xml:space="preserve">[39]</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Temporality (red queen vs. court jester, Benton 2001) =&gt; favouring biotic ?</w:t>
      </w:r>
    </w:p>
    <w:p>
      <w:pPr>
        <w:pStyle w:val="BodyText"/>
      </w:pPr>
      <w:r>
        <w:t xml:space="preserve">Fortuitous experiment ?</w:t>
      </w:r>
    </w:p>
    <w:bookmarkEnd w:id="43"/>
    <w:bookmarkStart w:id="44" w:name="limitations-perspectives"/>
    <w:p>
      <w:pPr>
        <w:pStyle w:val="Heading2"/>
      </w:pPr>
      <w:r>
        <w:t xml:space="preserve">Limitations &amp; perspectives</w:t>
      </w:r>
    </w:p>
    <w:p>
      <w:pPr>
        <w:pStyle w:val="FirstParagraph"/>
      </w:pPr>
      <w:r>
        <w:t xml:space="preserve">Maybe one of the most obvious caveats of our study stems from the assumption of fixed palaeogeography, particularly near the isthmus, whereas we know that this region changed across our study.</w:t>
      </w:r>
    </w:p>
    <w:bookmarkEnd w:id="44"/>
    <w:bookmarkEnd w:id="45"/>
    <w:bookmarkStart w:id="46"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t xml:space="preserve"> </w:t>
      </w:r>
      <w:r>
        <w:t xml:space="preserve">[41]</w:t>
      </w:r>
      <w:r>
        <w:t xml:space="preserve">.</w:t>
      </w:r>
    </w:p>
    <w:p>
      <w:pPr>
        <w:pStyle w:val="BodyText"/>
      </w:pPr>
      <w:r>
        <w:t xml:space="preserve">Competition involving clades of similar ecology appeared as a likely first-order explanation to the recent demise of South American endemic mammal clades such as native ungulates</w:t>
      </w:r>
      <w:r>
        <w:t xml:space="preserve"> </w:t>
      </w:r>
      <w:r>
        <w:t xml:space="preserve">[13]</w:t>
      </w:r>
      <w:r>
        <w:t xml:space="preserve"> </w:t>
      </w:r>
      <w:r>
        <w:t xml:space="preserve">or sparassodonts (metatherian predators,</w:t>
      </w:r>
      <w:r>
        <w:t xml:space="preserve"> </w:t>
      </w:r>
      <w:r>
        <w:t xml:space="preserve">[22,42]</w:t>
      </w:r>
      <w:r>
        <w:t xml:space="preserve">) that followed the establishment of northern lineages</w:t>
      </w:r>
      <w:r>
        <w:t xml:space="preserve"> </w:t>
      </w:r>
      <w: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[21,22]</w:t>
      </w:r>
      <w:r>
        <w:t xml:space="preserve">. That being said, using phylogenetic regressions, Faurby et al.</w:t>
      </w:r>
      <w:r>
        <w:t xml:space="preserve"> </w:t>
      </w:r>
      <w: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t xml:space="preserve"> </w:t>
      </w:r>
      <w:r>
        <w:t xml:space="preserve">[16]</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t xml:space="preserve"> </w:t>
      </w:r>
      <w:r>
        <w:t xml:space="preserve">[8,10,17]</w:t>
      </w:r>
      <w:r>
        <w:t xml:space="preserve">. Others drew direct relationships between the higher extinction rates of native South American mammal genera and temperature change</w:t>
      </w:r>
      <w:r>
        <w:t xml:space="preserve"> </w:t>
      </w:r>
      <w:r>
        <w:t xml:space="preserve">[24]</w:t>
      </w:r>
      <w:r>
        <w:t xml:space="preserve">.</w:t>
      </w:r>
    </w:p>
    <w:p>
      <w:pPr>
        <w:pStyle w:val="BodyText"/>
      </w:pPr>
      <w:r>
        <w:t xml:space="preserve">several studies proposed that palaeoclimate change shaped unequal dispersal abilities between northern and southern taxa</w:t>
      </w:r>
      <w:r>
        <w:t xml:space="preserve"> </w:t>
      </w:r>
      <w:r>
        <w:t xml:space="preserve">[8,10,17,24]</w:t>
      </w:r>
      <w:r>
        <w:t xml:space="preserve">, although the hypothesis according to which the asymmetry of the GABI would stem from dispersal rates is still largely debated</w:t>
      </w:r>
      <w:r>
        <w:t xml:space="preserve"> </w:t>
      </w:r>
      <w:r>
        <w:t xml:space="preserve">[</w:t>
      </w:r>
      <w:r>
        <w:rPr>
          <w:i/>
          <w:iCs/>
        </w:rPr>
        <w:t xml:space="preserve">e</w:t>
      </w:r>
      <w:r>
        <w:t xml:space="preserve">.</w:t>
      </w:r>
      <w:r>
        <w:rPr>
          <w:i/>
          <w:iCs/>
        </w:rPr>
        <w:t xml:space="preserve">g</w:t>
      </w:r>
      <w:r>
        <w:t xml:space="preserve">., 12]</w:t>
      </w:r>
      <w:r>
        <w:t xml:space="preserve">.</w:t>
      </w:r>
    </w:p>
    <w:p>
      <w:r>
        <w:br w:type="page"/>
      </w:r>
    </w:p>
    <w:bookmarkEnd w:id="46"/>
    <w:bookmarkStart w:id="130" w:name="references"/>
    <w:p>
      <w:pPr>
        <w:pStyle w:val="Heading1"/>
      </w:pPr>
      <w:r>
        <w:t xml:space="preserve">References</w:t>
      </w:r>
    </w:p>
    <w:bookmarkStart w:id="129" w:name="refs"/>
    <w:bookmarkStart w:id="48" w:name="ref-marshall1982"/>
    <w:p>
      <w:pPr>
        <w:pStyle w:val="Bibliography"/>
      </w:pPr>
      <w:r>
        <w:t xml:space="preserve">1.</w:t>
      </w:r>
      <w:r>
        <w:t xml:space="preserve"> </w:t>
      </w:r>
      <w:r>
        <w:t xml:space="preserve">	</w:t>
      </w:r>
      <w:r>
        <w:t xml:space="preserve">Marshall LG, Webb SD, Sepkoski JJ, Raup DM. 1982</w:t>
      </w:r>
      <w:r>
        <w:t xml:space="preserve"> </w:t>
      </w:r>
      <w:hyperlink r:id="rId47">
        <w:r>
          <w:rPr>
            <w:rStyle w:val="Hyperlink"/>
          </w:rPr>
          <w:t xml:space="preserve">Mammalian evolution and the great american interchange</w:t>
        </w:r>
      </w:hyperlink>
      <w:r>
        <w:t xml:space="preserve">.</w:t>
      </w:r>
      <w:r>
        <w:t xml:space="preserve"> </w:t>
      </w:r>
      <w:r>
        <w:rPr>
          <w:i/>
          <w:iCs/>
        </w:rPr>
        <w:t xml:space="preserve">Science</w:t>
      </w:r>
      <w:r>
        <w:t xml:space="preserve"> </w:t>
      </w:r>
      <w:r>
        <w:rPr>
          <w:b/>
          <w:bCs/>
        </w:rPr>
        <w:t xml:space="preserve">215</w:t>
      </w:r>
      <w:r>
        <w:t xml:space="preserve">, 1351–1357.</w:t>
      </w:r>
    </w:p>
    <w:bookmarkEnd w:id="48"/>
    <w:bookmarkStart w:id="50" w:name="ref-montes2015"/>
    <w:p>
      <w:pPr>
        <w:pStyle w:val="Bibliography"/>
      </w:pPr>
      <w:r>
        <w:t xml:space="preserve">2.</w:t>
      </w:r>
      <w:r>
        <w:t xml:space="preserve"> </w:t>
      </w:r>
      <w:r>
        <w:t xml:space="preserve">	</w:t>
      </w:r>
      <w:r>
        <w:t xml:space="preserve">Montes C</w:t>
      </w:r>
      <w:r>
        <w:t xml:space="preserve"> </w:t>
      </w:r>
      <w:r>
        <w:rPr>
          <w:i/>
          <w:iCs/>
        </w:rPr>
        <w:t xml:space="preserve">et al.</w:t>
      </w:r>
      <w:r>
        <w:t xml:space="preserve"> 2015 Middle miocene closure of the central american seaway.</w:t>
      </w:r>
      <w:r>
        <w:t xml:space="preserve"> </w:t>
      </w:r>
      <w:r>
        <w:rPr>
          <w:i/>
          <w:iCs/>
        </w:rPr>
        <w:t xml:space="preserve">Science</w:t>
      </w:r>
      <w:r>
        <w:t xml:space="preserve"> </w:t>
      </w:r>
      <w:r>
        <w:rPr>
          <w:b/>
          <w:bCs/>
        </w:rPr>
        <w:t xml:space="preserve">348</w:t>
      </w:r>
      <w:r>
        <w:t xml:space="preserve">, 226–229. (doi:</w:t>
      </w:r>
      <w:hyperlink r:id="rId49">
        <w:r>
          <w:rPr>
            <w:rStyle w:val="Hyperlink"/>
          </w:rPr>
          <w:t xml:space="preserve">10.1126/science.aaa2815</w:t>
        </w:r>
      </w:hyperlink>
      <w:r>
        <w:t xml:space="preserve">)</w:t>
      </w:r>
    </w:p>
    <w:bookmarkEnd w:id="50"/>
    <w:bookmarkStart w:id="52" w:name="ref-jaramillo2018"/>
    <w:p>
      <w:pPr>
        <w:pStyle w:val="Bibliography"/>
      </w:pPr>
      <w:r>
        <w:t xml:space="preserve">3.</w:t>
      </w:r>
      <w:r>
        <w:t xml:space="preserve"> </w:t>
      </w:r>
      <w:r>
        <w:t xml:space="preserve">	</w:t>
      </w:r>
      <w:r>
        <w:t xml:space="preserve">Jaramillo CA. 2018</w:t>
      </w:r>
      <w:r>
        <w:t xml:space="preserve"> </w:t>
      </w:r>
      <w:hyperlink r:id="rId51">
        <w:r>
          <w:rPr>
            <w:rStyle w:val="Hyperlink"/>
          </w:rPr>
          <w:t xml:space="preserve">Evolution of the isthmus of panama: Biological, paleoceanographic and paleoclimatological implications</w:t>
        </w:r>
      </w:hyperlink>
      <w:r>
        <w:t xml:space="preserve">. John Wiley &amp; Sons.</w:t>
      </w:r>
      <w:r>
        <w:t xml:space="preserve"> </w:t>
      </w:r>
    </w:p>
    <w:bookmarkEnd w:id="52"/>
    <w:bookmarkStart w:id="54" w:name="ref-odea2016"/>
    <w:p>
      <w:pPr>
        <w:pStyle w:val="Bibliography"/>
      </w:pPr>
      <w:r>
        <w:t xml:space="preserve">4.</w:t>
      </w:r>
      <w:r>
        <w:t xml:space="preserve"> </w:t>
      </w:r>
      <w:r>
        <w:t xml:space="preserve">	</w:t>
      </w:r>
      <w:r>
        <w:t xml:space="preserve">O’Dea A</w:t>
      </w:r>
      <w:r>
        <w:t xml:space="preserve"> </w:t>
      </w:r>
      <w:r>
        <w:rPr>
          <w:i/>
          <w:iCs/>
        </w:rPr>
        <w:t xml:space="preserve">et al.</w:t>
      </w:r>
      <w:r>
        <w:t xml:space="preserve"> 2016 Formation of the isthmus of panama.</w:t>
      </w:r>
      <w:r>
        <w:t xml:space="preserve"> </w:t>
      </w:r>
      <w:r>
        <w:rPr>
          <w:i/>
          <w:iCs/>
        </w:rPr>
        <w:t xml:space="preserve">Science Advances</w:t>
      </w:r>
      <w:r>
        <w:t xml:space="preserve"> </w:t>
      </w:r>
      <w:r>
        <w:rPr>
          <w:b/>
          <w:bCs/>
        </w:rPr>
        <w:t xml:space="preserve">2</w:t>
      </w:r>
      <w:r>
        <w:t xml:space="preserve">, e1600883. (doi:</w:t>
      </w:r>
      <w:hyperlink r:id="rId53">
        <w:r>
          <w:rPr>
            <w:rStyle w:val="Hyperlink"/>
          </w:rPr>
          <w:t xml:space="preserve">10.1126/sciadv.1600883</w:t>
        </w:r>
      </w:hyperlink>
      <w:r>
        <w:t xml:space="preserve">)</w:t>
      </w:r>
    </w:p>
    <w:bookmarkEnd w:id="54"/>
    <w:bookmarkStart w:id="56" w:name="ref-verzi2008"/>
    <w:p>
      <w:pPr>
        <w:pStyle w:val="Bibliography"/>
      </w:pPr>
      <w:r>
        <w:t xml:space="preserve">5.</w:t>
      </w:r>
      <w:r>
        <w:t xml:space="preserve"> </w:t>
      </w:r>
      <w:r>
        <w:t xml:space="preserve">	</w:t>
      </w:r>
      <w:r>
        <w:t xml:space="preserve">Verzi DH, Montalvo CI, Deschamps CM. 2008 Biostratigraphy and biochronology of the late miocene of central argentina: Evidence from rodents and taphonomy.</w:t>
      </w:r>
      <w:r>
        <w:t xml:space="preserve"> </w:t>
      </w:r>
      <w:r>
        <w:rPr>
          <w:i/>
          <w:iCs/>
        </w:rPr>
        <w:t xml:space="preserve">Geobios</w:t>
      </w:r>
      <w:r>
        <w:t xml:space="preserve"> </w:t>
      </w:r>
      <w:r>
        <w:rPr>
          <w:b/>
          <w:bCs/>
        </w:rPr>
        <w:t xml:space="preserve">41</w:t>
      </w:r>
      <w:r>
        <w:t xml:space="preserve">, 145–155. (doi:</w:t>
      </w:r>
      <w:hyperlink r:id="rId55">
        <w:r>
          <w:rPr>
            <w:rStyle w:val="Hyperlink"/>
          </w:rPr>
          <w:t xml:space="preserve">10.1016/j.geobios.2006.09.005</w:t>
        </w:r>
      </w:hyperlink>
      <w:r>
        <w:t xml:space="preserve">)</w:t>
      </w:r>
    </w:p>
    <w:bookmarkEnd w:id="56"/>
    <w:bookmarkStart w:id="58"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w:t>
      </w:r>
      <w:r>
        <w:t xml:space="preserve"> </w:t>
      </w:r>
      <w:r>
        <w:rPr>
          <w:i/>
          <w:iCs/>
        </w:rPr>
        <w:t xml:space="preserve">Journal of Mammalian Evolution</w:t>
      </w:r>
      <w:r>
        <w:t xml:space="preserve"> </w:t>
      </w:r>
      <w:r>
        <w:rPr>
          <w:b/>
          <w:bCs/>
        </w:rPr>
        <w:t xml:space="preserve">17</w:t>
      </w:r>
      <w:r>
        <w:t xml:space="preserve">, 245–264. (doi:</w:t>
      </w:r>
      <w:hyperlink r:id="rId57">
        <w:r>
          <w:rPr>
            <w:rStyle w:val="Hyperlink"/>
          </w:rPr>
          <w:t xml:space="preserve">10.1007/s10914-010-9144-8</w:t>
        </w:r>
      </w:hyperlink>
      <w:r>
        <w:t xml:space="preserve">)</w:t>
      </w:r>
    </w:p>
    <w:bookmarkEnd w:id="58"/>
    <w:bookmarkStart w:id="60" w:name="ref-bacon2015"/>
    <w:p>
      <w:pPr>
        <w:pStyle w:val="Bibliography"/>
      </w:pPr>
      <w:r>
        <w:t xml:space="preserve">7.</w:t>
      </w:r>
      <w:r>
        <w:t xml:space="preserve"> </w:t>
      </w:r>
      <w:r>
        <w:t xml:space="preserve">	</w:t>
      </w:r>
      <w:r>
        <w:t xml:space="preserve">Bacon CD, Silvestro D, Jaramillo C, Smith BT, Chakrabarty P, Antonelli A. 2015 Biological evidence supports an early and complex emergence of the isthmus of panama.</w:t>
      </w:r>
      <w:r>
        <w:t xml:space="preserve"> </w:t>
      </w:r>
      <w:r>
        <w:rPr>
          <w:i/>
          <w:iCs/>
        </w:rPr>
        <w:t xml:space="preserve">Proceedings of the National Academy of Sciences</w:t>
      </w:r>
      <w:r>
        <w:t xml:space="preserve"> </w:t>
      </w:r>
      <w:r>
        <w:rPr>
          <w:b/>
          <w:bCs/>
        </w:rPr>
        <w:t xml:space="preserve">112</w:t>
      </w:r>
      <w:r>
        <w:t xml:space="preserve">, 6110–6115. (doi:</w:t>
      </w:r>
      <w:hyperlink r:id="rId59">
        <w:r>
          <w:rPr>
            <w:rStyle w:val="Hyperlink"/>
          </w:rPr>
          <w:t xml:space="preserve">10.1073/pnas.1423853112</w:t>
        </w:r>
      </w:hyperlink>
      <w:r>
        <w:t xml:space="preserve">)</w:t>
      </w:r>
    </w:p>
    <w:bookmarkEnd w:id="60"/>
    <w:bookmarkStart w:id="62" w:name="ref-bacon2016"/>
    <w:p>
      <w:pPr>
        <w:pStyle w:val="Bibliography"/>
      </w:pPr>
      <w:r>
        <w:t xml:space="preserve">8.</w:t>
      </w:r>
      <w:r>
        <w:t xml:space="preserve"> </w:t>
      </w:r>
      <w:r>
        <w:t xml:space="preserve">	</w:t>
      </w:r>
      <w:r>
        <w:t xml:space="preserve">Bacon CD, Molnar P, Antonelli A, Crawford AJ, Montes C, Vallejo-Pareja MC. 2016 Quaternary glaciation and the great american biotic interchange.</w:t>
      </w:r>
      <w:r>
        <w:t xml:space="preserve"> </w:t>
      </w:r>
      <w:r>
        <w:rPr>
          <w:i/>
          <w:iCs/>
        </w:rPr>
        <w:t xml:space="preserve">Geology</w:t>
      </w:r>
      <w:r>
        <w:t xml:space="preserve"> </w:t>
      </w:r>
      <w:r>
        <w:rPr>
          <w:b/>
          <w:bCs/>
        </w:rPr>
        <w:t xml:space="preserve">44</w:t>
      </w:r>
      <w:r>
        <w:t xml:space="preserve">, 375–378. (doi:</w:t>
      </w:r>
      <w:hyperlink r:id="rId61">
        <w:r>
          <w:rPr>
            <w:rStyle w:val="Hyperlink"/>
          </w:rPr>
          <w:t xml:space="preserve">10.1130/G37624.1</w:t>
        </w:r>
      </w:hyperlink>
      <w:r>
        <w:t xml:space="preserve">)</w:t>
      </w:r>
    </w:p>
    <w:bookmarkEnd w:id="62"/>
    <w:bookmarkStart w:id="64" w:name="ref-webb1976"/>
    <w:p>
      <w:pPr>
        <w:pStyle w:val="Bibliography"/>
      </w:pPr>
      <w:r>
        <w:t xml:space="preserve">9.</w:t>
      </w:r>
      <w:r>
        <w:t xml:space="preserve"> </w:t>
      </w:r>
      <w:r>
        <w:t xml:space="preserve">	</w:t>
      </w:r>
      <w:r>
        <w:t xml:space="preserve">Webb SD. 1976</w:t>
      </w:r>
      <w:r>
        <w:t xml:space="preserve"> </w:t>
      </w:r>
      <w:hyperlink r:id="rId63">
        <w:r>
          <w:rPr>
            <w:rStyle w:val="Hyperlink"/>
          </w:rPr>
          <w:t xml:space="preserve">Mammalian faunal dynamics of the great american interchange</w:t>
        </w:r>
      </w:hyperlink>
      <w:r>
        <w:t xml:space="preserve">.</w:t>
      </w:r>
      <w:r>
        <w:t xml:space="preserve"> </w:t>
      </w:r>
      <w:r>
        <w:rPr>
          <w:i/>
          <w:iCs/>
        </w:rPr>
        <w:t xml:space="preserve">Paleobiology</w:t>
      </w:r>
      <w:r>
        <w:t xml:space="preserve"> </w:t>
      </w:r>
      <w:r>
        <w:rPr>
          <w:b/>
          <w:bCs/>
        </w:rPr>
        <w:t xml:space="preserve">2</w:t>
      </w:r>
      <w:r>
        <w:t xml:space="preserve">, 220–234.</w:t>
      </w:r>
    </w:p>
    <w:bookmarkEnd w:id="64"/>
    <w:bookmarkStart w:id="66" w:name="ref-webb1991"/>
    <w:p>
      <w:pPr>
        <w:pStyle w:val="Bibliography"/>
      </w:pPr>
      <w:r>
        <w:t xml:space="preserve">10.</w:t>
      </w:r>
      <w:r>
        <w:t xml:space="preserve"> </w:t>
      </w:r>
      <w:r>
        <w:t xml:space="preserve">	</w:t>
      </w:r>
      <w:r>
        <w:t xml:space="preserve">Webb SD. 1991 Ecogeography and the Great American Interchange.</w:t>
      </w:r>
      <w:r>
        <w:t xml:space="preserve"> </w:t>
      </w:r>
      <w:r>
        <w:rPr>
          <w:i/>
          <w:iCs/>
        </w:rPr>
        <w:t xml:space="preserve">Paleobiology</w:t>
      </w:r>
      <w:r>
        <w:t xml:space="preserve"> </w:t>
      </w:r>
      <w:r>
        <w:rPr>
          <w:b/>
          <w:bCs/>
        </w:rPr>
        <w:t xml:space="preserve">17</w:t>
      </w:r>
      <w:r>
        <w:t xml:space="preserve">, 266–280. (doi:</w:t>
      </w:r>
      <w:hyperlink r:id="rId65">
        <w:r>
          <w:rPr>
            <w:rStyle w:val="Hyperlink"/>
          </w:rPr>
          <w:t xml:space="preserve">10.1017/S0094837300010605</w:t>
        </w:r>
      </w:hyperlink>
      <w:r>
        <w:t xml:space="preserve">)</w:t>
      </w:r>
    </w:p>
    <w:bookmarkEnd w:id="66"/>
    <w:bookmarkStart w:id="68" w:name="ref-cione2015"/>
    <w:p>
      <w:pPr>
        <w:pStyle w:val="Bibliography"/>
      </w:pPr>
      <w:r>
        <w:t xml:space="preserve">11.</w:t>
      </w:r>
      <w:r>
        <w:t xml:space="preserve"> </w:t>
      </w:r>
      <w:r>
        <w:t xml:space="preserve">	</w:t>
      </w:r>
      <w:r>
        <w:t xml:space="preserve">Cione AL, Gasparini GM, Soibelzon E, Soibelzon LH, Tonni EP. 2015</w:t>
      </w:r>
      <w:r>
        <w:t xml:space="preserve"> </w:t>
      </w:r>
      <w:r>
        <w:rPr>
          <w:i/>
          <w:iCs/>
        </w:rPr>
        <w:t xml:space="preserve">The Great American Biotic Interchange: A South American Perspective</w:t>
      </w:r>
      <w:r>
        <w:t xml:space="preserve">. Dordrecht: Springer Netherlands. See</w:t>
      </w:r>
      <w:r>
        <w:t xml:space="preserve"> </w:t>
      </w:r>
      <w:hyperlink r:id="rId67">
        <w:r>
          <w:rPr>
            <w:rStyle w:val="Hyperlink"/>
          </w:rPr>
          <w:t xml:space="preserve">https://link.springer.com/10.1007/978-94-017-9792-4</w:t>
        </w:r>
      </w:hyperlink>
      <w:r>
        <w:t xml:space="preserve">.</w:t>
      </w:r>
    </w:p>
    <w:bookmarkEnd w:id="68"/>
    <w:bookmarkStart w:id="70" w:name="ref-carrillo2020"/>
    <w:p>
      <w:pPr>
        <w:pStyle w:val="Bibliography"/>
      </w:pPr>
      <w:r>
        <w:t xml:space="preserve">12.</w:t>
      </w:r>
      <w:r>
        <w:t xml:space="preserve"> </w:t>
      </w:r>
      <w:r>
        <w:t xml:space="preserve">	</w:t>
      </w:r>
      <w:r>
        <w:t xml:space="preserve">Carrillo JD, Faurby S, Silvestro D, Zizka A, Jaramillo C, Bacon CD, Antonelli A. 2020 Disproportionate extinction of south american mammals drove the asymmetry of the great american biotic interchange.</w:t>
      </w:r>
      <w:r>
        <w:t xml:space="preserve"> </w:t>
      </w:r>
      <w:r>
        <w:rPr>
          <w:i/>
          <w:iCs/>
        </w:rPr>
        <w:t xml:space="preserve">Proceedings of the National Academy of Sciences</w:t>
      </w:r>
      <w:r>
        <w:t xml:space="preserve"> </w:t>
      </w:r>
      <w:r>
        <w:rPr>
          <w:b/>
          <w:bCs/>
        </w:rPr>
        <w:t xml:space="preserve">117</w:t>
      </w:r>
      <w:r>
        <w:t xml:space="preserve">, 26281–26287. (doi:</w:t>
      </w:r>
      <w:hyperlink r:id="rId69">
        <w:r>
          <w:rPr>
            <w:rStyle w:val="Hyperlink"/>
          </w:rPr>
          <w:t xml:space="preserve">10.1073/pnas.2009397117</w:t>
        </w:r>
      </w:hyperlink>
      <w:r>
        <w:t xml:space="preserve">)</w:t>
      </w:r>
    </w:p>
    <w:bookmarkEnd w:id="70"/>
    <w:bookmarkStart w:id="72" w:name="ref-croft2020"/>
    <w:p>
      <w:pPr>
        <w:pStyle w:val="Bibliography"/>
      </w:pPr>
      <w:r>
        <w:t xml:space="preserve">13.</w:t>
      </w:r>
      <w:r>
        <w:t xml:space="preserve"> </w:t>
      </w:r>
      <w:r>
        <w:t xml:space="preserve">	</w:t>
      </w:r>
      <w:r>
        <w:t xml:space="preserve">Croft DA, Gelfo JN, López GM. 2020 Splendid innovation: The extinct south american native ungulates.</w:t>
      </w:r>
      <w:r>
        <w:t xml:space="preserve"> </w:t>
      </w:r>
      <w:r>
        <w:rPr>
          <w:i/>
          <w:iCs/>
        </w:rPr>
        <w:t xml:space="preserve">Annual Review of Earth and Planetary Sciences</w:t>
      </w:r>
      <w:r>
        <w:t xml:space="preserve"> </w:t>
      </w:r>
      <w:r>
        <w:rPr>
          <w:b/>
          <w:bCs/>
        </w:rPr>
        <w:t xml:space="preserve">48</w:t>
      </w:r>
      <w:r>
        <w:t xml:space="preserve">, 259–290. (doi:</w:t>
      </w:r>
      <w:hyperlink r:id="rId71">
        <w:r>
          <w:rPr>
            <w:rStyle w:val="Hyperlink"/>
          </w:rPr>
          <w:t xml:space="preserve">10.1146/annurev-earth-072619-060126</w:t>
        </w:r>
      </w:hyperlink>
      <w:r>
        <w:t xml:space="preserve">)</w:t>
      </w:r>
    </w:p>
    <w:bookmarkEnd w:id="72"/>
    <w:bookmarkStart w:id="74" w:name="ref-boscaini2025"/>
    <w:p>
      <w:pPr>
        <w:pStyle w:val="Bibliography"/>
      </w:pPr>
      <w:r>
        <w:t xml:space="preserve">14.</w:t>
      </w:r>
      <w:r>
        <w:t xml:space="preserve"> </w:t>
      </w:r>
      <w:r>
        <w:t xml:space="preserve">	</w:t>
      </w:r>
      <w:r>
        <w:t xml:space="preserve">Boscaini A</w:t>
      </w:r>
      <w:r>
        <w:t xml:space="preserve"> </w:t>
      </w:r>
      <w:r>
        <w:rPr>
          <w:i/>
          <w:iCs/>
        </w:rPr>
        <w:t xml:space="preserve">et al.</w:t>
      </w:r>
      <w:r>
        <w:t xml:space="preserve"> 2025 The emergence and demise of giant sloths.</w:t>
      </w:r>
      <w:r>
        <w:t xml:space="preserve"> </w:t>
      </w:r>
      <w:r>
        <w:rPr>
          <w:i/>
          <w:iCs/>
        </w:rPr>
        <w:t xml:space="preserve">Science</w:t>
      </w:r>
      <w:r>
        <w:t xml:space="preserve"> </w:t>
      </w:r>
      <w:r>
        <w:rPr>
          <w:b/>
          <w:bCs/>
        </w:rPr>
        <w:t xml:space="preserve">388</w:t>
      </w:r>
      <w:r>
        <w:t xml:space="preserve">, 864–868. (doi:</w:t>
      </w:r>
      <w:hyperlink r:id="rId73">
        <w:r>
          <w:rPr>
            <w:rStyle w:val="Hyperlink"/>
          </w:rPr>
          <w:t xml:space="preserve">10.1126/science.adu0704</w:t>
        </w:r>
      </w:hyperlink>
      <w:r>
        <w:t xml:space="preserve">)</w:t>
      </w:r>
    </w:p>
    <w:bookmarkEnd w:id="74"/>
    <w:bookmarkStart w:id="75" w:name="ref-simpson1980"/>
    <w:p>
      <w:pPr>
        <w:pStyle w:val="Bibliography"/>
      </w:pPr>
      <w:r>
        <w:t xml:space="preserve">15.</w:t>
      </w:r>
      <w:r>
        <w:t xml:space="preserve"> </w:t>
      </w:r>
      <w:r>
        <w:t xml:space="preserve">	</w:t>
      </w:r>
      <w:r>
        <w:t xml:space="preserve">Simpson GG. 1980</w:t>
      </w:r>
      <w:r>
        <w:t xml:space="preserve"> </w:t>
      </w:r>
      <w:r>
        <w:rPr>
          <w:i/>
          <w:iCs/>
        </w:rPr>
        <w:t xml:space="preserve">Splendid isolation : The curious history of south american mammals</w:t>
      </w:r>
      <w:r>
        <w:t xml:space="preserve">. Yale University Press, New Haven.</w:t>
      </w:r>
      <w:r>
        <w:t xml:space="preserve"> </w:t>
      </w:r>
    </w:p>
    <w:bookmarkEnd w:id="75"/>
    <w:bookmarkStart w:id="77" w:name="ref-domingo2020"/>
    <w:p>
      <w:pPr>
        <w:pStyle w:val="Bibliography"/>
      </w:pPr>
      <w:r>
        <w:t xml:space="preserve">16.</w:t>
      </w:r>
      <w:r>
        <w:t xml:space="preserve"> </w:t>
      </w:r>
      <w:r>
        <w:t xml:space="preserve">	</w:t>
      </w:r>
      <w:r>
        <w:t xml:space="preserve">Domingo L, Tomassini RL, Montalvo CI, Sanz-Pérez D, Alberdi MT. 2020 The Great American Biotic Interchange revisited: a new perspective from the stable isotope record of Argentine Pampas fossil mammals.</w:t>
      </w:r>
      <w:r>
        <w:t xml:space="preserve"> </w:t>
      </w:r>
      <w:r>
        <w:rPr>
          <w:i/>
          <w:iCs/>
        </w:rPr>
        <w:t xml:space="preserve">Scientific Reports</w:t>
      </w:r>
      <w:r>
        <w:t xml:space="preserve"> </w:t>
      </w:r>
      <w:r>
        <w:rPr>
          <w:b/>
          <w:bCs/>
        </w:rPr>
        <w:t xml:space="preserve">10</w:t>
      </w:r>
      <w:r>
        <w:t xml:space="preserve">, 1608. (doi:</w:t>
      </w:r>
      <w:hyperlink r:id="rId76">
        <w:r>
          <w:rPr>
            <w:rStyle w:val="Hyperlink"/>
          </w:rPr>
          <w:t xml:space="preserve">10.1038/s41598-020-58575-6</w:t>
        </w:r>
      </w:hyperlink>
      <w:r>
        <w:t xml:space="preserve">)</w:t>
      </w:r>
    </w:p>
    <w:bookmarkEnd w:id="77"/>
    <w:bookmarkStart w:id="78" w:name="ref-marshall1990"/>
    <w:p>
      <w:pPr>
        <w:pStyle w:val="Bibliography"/>
      </w:pPr>
      <w:r>
        <w:t xml:space="preserve">17.</w:t>
      </w:r>
      <w:r>
        <w:t xml:space="preserve"> </w:t>
      </w:r>
      <w:r>
        <w:t xml:space="preserve">	</w:t>
      </w:r>
      <w:r>
        <w:t xml:space="preserve">Marshall LG, Cifelli RL. 1990 Analysis of changing diversity patterns in cenozoic land mammal age faunas, south america.</w:t>
      </w:r>
      <w:r>
        <w:t xml:space="preserve"> </w:t>
      </w:r>
      <w:r>
        <w:rPr>
          <w:i/>
          <w:iCs/>
        </w:rPr>
        <w:t xml:space="preserve">Palaeovertebrata</w:t>
      </w:r>
      <w:r>
        <w:t xml:space="preserve"> </w:t>
      </w:r>
      <w:r>
        <w:rPr>
          <w:b/>
          <w:bCs/>
        </w:rPr>
        <w:t xml:space="preserve">19</w:t>
      </w:r>
      <w:r>
        <w:t xml:space="preserve">, 169–210.</w:t>
      </w:r>
    </w:p>
    <w:bookmarkEnd w:id="78"/>
    <w:bookmarkStart w:id="80" w:name="ref-faurby2016"/>
    <w:p>
      <w:pPr>
        <w:pStyle w:val="Bibliography"/>
      </w:pPr>
      <w:r>
        <w:t xml:space="preserve">18.</w:t>
      </w:r>
      <w:r>
        <w:t xml:space="preserve"> </w:t>
      </w:r>
      <w:r>
        <w:t xml:space="preserve">	</w:t>
      </w:r>
      <w:r>
        <w:t xml:space="preserve">Faurby S, Svenning J-C. 2016 The asymmetry in the Great American Biotic Interchange in mammals is consistent with differential susceptibility to mammalian predation.</w:t>
      </w:r>
      <w:r>
        <w:t xml:space="preserve"> </w:t>
      </w:r>
      <w:r>
        <w:rPr>
          <w:i/>
          <w:iCs/>
        </w:rPr>
        <w:t xml:space="preserve">Global Ecology and Biogeography</w:t>
      </w:r>
      <w:r>
        <w:t xml:space="preserve"> </w:t>
      </w:r>
      <w:r>
        <w:rPr>
          <w:b/>
          <w:bCs/>
        </w:rPr>
        <w:t xml:space="preserve">25</w:t>
      </w:r>
      <w:r>
        <w:t xml:space="preserve">, 1443–1453. (doi:</w:t>
      </w:r>
      <w:hyperlink r:id="rId79">
        <w:r>
          <w:rPr>
            <w:rStyle w:val="Hyperlink"/>
          </w:rPr>
          <w:t xml:space="preserve">10.1111/geb.12504</w:t>
        </w:r>
      </w:hyperlink>
      <w:r>
        <w:t xml:space="preserve">)</w:t>
      </w:r>
    </w:p>
    <w:bookmarkEnd w:id="80"/>
    <w:bookmarkStart w:id="82" w:name="ref-fernández-monescillo2025"/>
    <w:p>
      <w:pPr>
        <w:pStyle w:val="Bibliography"/>
      </w:pPr>
      <w:r>
        <w:t xml:space="preserve">19.</w:t>
      </w:r>
      <w:r>
        <w:t xml:space="preserve"> </w:t>
      </w:r>
      <w:r>
        <w:t xml:space="preserve">	</w:t>
      </w:r>
      <w:r>
        <w:t xml:space="preserve">Fernández-Monescillo M, Romero-Lebrón E, Pesquero MD, Haro A, Rodríguez PE, Krapovickas J, Tauber AA. 2025 Middle Pleistocene revelations: unravelling taphonomic processes in mammals including Mesotherium cristatum (Mesotheriidae, Notoungulata), Corralito Site, Córdoba Province, Argentina.</w:t>
      </w:r>
      <w:r>
        <w:t xml:space="preserve"> </w:t>
      </w:r>
      <w:r>
        <w:rPr>
          <w:i/>
          <w:iCs/>
        </w:rPr>
        <w:t xml:space="preserve">Palaeontology</w:t>
      </w:r>
      <w:r>
        <w:t xml:space="preserve"> </w:t>
      </w:r>
      <w:r>
        <w:rPr>
          <w:b/>
          <w:bCs/>
        </w:rPr>
        <w:t xml:space="preserve">68</w:t>
      </w:r>
      <w:r>
        <w:t xml:space="preserve">, e70012. (doi:</w:t>
      </w:r>
      <w:hyperlink r:id="rId81">
        <w:r>
          <w:rPr>
            <w:rStyle w:val="Hyperlink"/>
          </w:rPr>
          <w:t xml:space="preserve">10.1111/pala.70012</w:t>
        </w:r>
      </w:hyperlink>
      <w:r>
        <w:t xml:space="preserve">)</w:t>
      </w:r>
    </w:p>
    <w:bookmarkEnd w:id="82"/>
    <w:bookmarkStart w:id="84" w:name="ref-vrba1992"/>
    <w:p>
      <w:pPr>
        <w:pStyle w:val="Bibliography"/>
      </w:pPr>
      <w:r>
        <w:t xml:space="preserve">20.</w:t>
      </w:r>
      <w:r>
        <w:t xml:space="preserve"> </w:t>
      </w:r>
      <w:r>
        <w:t xml:space="preserve">	</w:t>
      </w:r>
      <w:r>
        <w:t xml:space="preserve">Vrba ES. 1992 Mammals as a Key to Evolutionary Theory.</w:t>
      </w:r>
      <w:r>
        <w:t xml:space="preserve"> </w:t>
      </w:r>
      <w:r>
        <w:rPr>
          <w:i/>
          <w:iCs/>
        </w:rPr>
        <w:t xml:space="preserve">Journal of Mammalogy</w:t>
      </w:r>
      <w:r>
        <w:t xml:space="preserve"> </w:t>
      </w:r>
      <w:r>
        <w:rPr>
          <w:b/>
          <w:bCs/>
        </w:rPr>
        <w:t xml:space="preserve">73</w:t>
      </w:r>
      <w:r>
        <w:t xml:space="preserve">, 1–28. (doi:</w:t>
      </w:r>
      <w:hyperlink r:id="rId83">
        <w:r>
          <w:rPr>
            <w:rStyle w:val="Hyperlink"/>
          </w:rPr>
          <w:t xml:space="preserve">10.2307/1381862</w:t>
        </w:r>
      </w:hyperlink>
      <w:r>
        <w:t xml:space="preserve">)</w:t>
      </w:r>
    </w:p>
    <w:bookmarkEnd w:id="84"/>
    <w:bookmarkStart w:id="86" w:name="ref-prevosti2013"/>
    <w:p>
      <w:pPr>
        <w:pStyle w:val="Bibliography"/>
      </w:pPr>
      <w:r>
        <w:t xml:space="preserve">21.</w:t>
      </w:r>
      <w:r>
        <w:t xml:space="preserve"> </w:t>
      </w:r>
      <w:r>
        <w:t xml:space="preserve">	</w:t>
      </w:r>
      <w:r>
        <w:t xml:space="preserve">Prevosti FJ, Forasiepi A, Zimicz N. 2013 The Evolution of the Cenozoic Terrestrial Mammalian Predator Guild in South America: Competition or Replacement?</w:t>
      </w:r>
      <w:r>
        <w:t xml:space="preserve"> </w:t>
      </w:r>
      <w:r>
        <w:rPr>
          <w:i/>
          <w:iCs/>
        </w:rPr>
        <w:t xml:space="preserve">Journal of Mammalian Evolution</w:t>
      </w:r>
      <w:r>
        <w:t xml:space="preserve"> </w:t>
      </w:r>
      <w:r>
        <w:rPr>
          <w:b/>
          <w:bCs/>
        </w:rPr>
        <w:t xml:space="preserve">20</w:t>
      </w:r>
      <w:r>
        <w:t xml:space="preserve">, 3–21. (doi:</w:t>
      </w:r>
      <w:hyperlink r:id="rId85">
        <w:r>
          <w:rPr>
            <w:rStyle w:val="Hyperlink"/>
          </w:rPr>
          <w:t xml:space="preserve">10.1007/s10914-011-9175-9</w:t>
        </w:r>
      </w:hyperlink>
      <w:r>
        <w:t xml:space="preserve">)</w:t>
      </w:r>
    </w:p>
    <w:bookmarkEnd w:id="86"/>
    <w:bookmarkStart w:id="88" w:name="ref-tarquini2022"/>
    <w:p>
      <w:pPr>
        <w:pStyle w:val="Bibliography"/>
      </w:pPr>
      <w:r>
        <w:t xml:space="preserve">22.</w:t>
      </w:r>
      <w:r>
        <w:t xml:space="preserve"> </w:t>
      </w:r>
      <w:r>
        <w:t xml:space="preserve">	</w:t>
      </w:r>
      <w:r>
        <w:t xml:space="preserve">Tarquini SD, Ladevèze S, Prevosti FJ. 2022 The multicausal twilight of South American native mammalian predators (Metatheria, Sparassodonta).</w:t>
      </w:r>
      <w:r>
        <w:t xml:space="preserve"> </w:t>
      </w:r>
      <w:r>
        <w:rPr>
          <w:i/>
          <w:iCs/>
        </w:rPr>
        <w:t xml:space="preserve">Scientific Reports</w:t>
      </w:r>
      <w:r>
        <w:t xml:space="preserve"> </w:t>
      </w:r>
      <w:r>
        <w:rPr>
          <w:b/>
          <w:bCs/>
        </w:rPr>
        <w:t xml:space="preserve">12</w:t>
      </w:r>
      <w:r>
        <w:t xml:space="preserve">, 1224. (doi:</w:t>
      </w:r>
      <w:hyperlink r:id="rId87">
        <w:r>
          <w:rPr>
            <w:rStyle w:val="Hyperlink"/>
          </w:rPr>
          <w:t xml:space="preserve">10.1038/s41598-022-05266-z</w:t>
        </w:r>
      </w:hyperlink>
      <w:r>
        <w:t xml:space="preserve">)</w:t>
      </w:r>
    </w:p>
    <w:bookmarkEnd w:id="88"/>
    <w:bookmarkStart w:id="90" w:name="ref-marsà2025"/>
    <w:p>
      <w:pPr>
        <w:pStyle w:val="Bibliography"/>
      </w:pPr>
      <w:r>
        <w:t xml:space="preserve">23.</w:t>
      </w:r>
      <w:r>
        <w:t xml:space="preserve"> </w:t>
      </w:r>
      <w:r>
        <w:t xml:space="preserve">	</w:t>
      </w:r>
      <w:r>
        <w:t xml:space="preserve">Marsà JAG, Agnolín FL, Angst 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w:t>
      </w:r>
      <w:r>
        <w:t xml:space="preserve"> </w:t>
      </w:r>
      <w:r>
        <w:rPr>
          <w:i/>
          <w:iCs/>
        </w:rPr>
        <w:t xml:space="preserve">Diversity</w:t>
      </w:r>
      <w:r>
        <w:t xml:space="preserve"> </w:t>
      </w:r>
      <w:r>
        <w:rPr>
          <w:b/>
          <w:bCs/>
        </w:rPr>
        <w:t xml:space="preserve">17</w:t>
      </w:r>
      <w:r>
        <w:t xml:space="preserve">, 153. (doi:</w:t>
      </w:r>
      <w:hyperlink r:id="rId89">
        <w:r>
          <w:rPr>
            <w:rStyle w:val="Hyperlink"/>
          </w:rPr>
          <w:t xml:space="preserve">10.3390/d17030153</w:t>
        </w:r>
      </w:hyperlink>
      <w:r>
        <w:t xml:space="preserve">)</w:t>
      </w:r>
    </w:p>
    <w:bookmarkEnd w:id="90"/>
    <w:bookmarkStart w:id="92" w:name="ref-freitas-oliveira2024"/>
    <w:p>
      <w:pPr>
        <w:pStyle w:val="Bibliography"/>
      </w:pPr>
      <w:r>
        <w:t xml:space="preserve">24.</w:t>
      </w:r>
      <w:r>
        <w:t xml:space="preserve"> </w:t>
      </w:r>
      <w:r>
        <w:t xml:space="preserve">	</w:t>
      </w:r>
      <w:r>
        <w:t xml:space="preserve">Freitas-Oliveira R, Lima-Ribeiro MS, Terribile LC. 2024 No evidence for niche competition in the extinction of the South American saber-tooth species.</w:t>
      </w:r>
      <w:r>
        <w:t xml:space="preserve"> </w:t>
      </w:r>
      <w:r>
        <w:rPr>
          <w:i/>
          <w:iCs/>
        </w:rPr>
        <w:t xml:space="preserve">npj Biodiversity</w:t>
      </w:r>
      <w:r>
        <w:t xml:space="preserve"> </w:t>
      </w:r>
      <w:r>
        <w:rPr>
          <w:b/>
          <w:bCs/>
        </w:rPr>
        <w:t xml:space="preserve">3</w:t>
      </w:r>
      <w:r>
        <w:t xml:space="preserve">, 1–5. (doi:</w:t>
      </w:r>
      <w:hyperlink r:id="rId91">
        <w:r>
          <w:rPr>
            <w:rStyle w:val="Hyperlink"/>
          </w:rPr>
          <w:t xml:space="preserve">10.1038/s44185-024-00045-7</w:t>
        </w:r>
      </w:hyperlink>
      <w:r>
        <w:t xml:space="preserve">)</w:t>
      </w:r>
    </w:p>
    <w:bookmarkEnd w:id="92"/>
    <w:bookmarkStart w:id="94" w:name="ref-pilowsky2022"/>
    <w:p>
      <w:pPr>
        <w:pStyle w:val="Bibliography"/>
      </w:pPr>
      <w:r>
        <w:t xml:space="preserve">25.</w:t>
      </w:r>
      <w:r>
        <w:t xml:space="preserve"> </w:t>
      </w:r>
      <w:r>
        <w:t xml:space="preserve">	</w:t>
      </w:r>
      <w:r>
        <w:t xml:space="preserve">Pilowsky JA, Colwell RK, Rahbek C, Fordham DA. 2022 Process-explicit models reveal the structure and dynamics of biodiversity patterns.</w:t>
      </w:r>
      <w:r>
        <w:t xml:space="preserve"> </w:t>
      </w:r>
      <w:r>
        <w:rPr>
          <w:i/>
          <w:iCs/>
        </w:rPr>
        <w:t xml:space="preserve">Science Advances</w:t>
      </w:r>
      <w:r>
        <w:t xml:space="preserve"> </w:t>
      </w:r>
      <w:r>
        <w:rPr>
          <w:b/>
          <w:bCs/>
        </w:rPr>
        <w:t xml:space="preserve">8</w:t>
      </w:r>
      <w:r>
        <w:t xml:space="preserve">, eabj2271. (doi:</w:t>
      </w:r>
      <w:hyperlink r:id="rId93">
        <w:r>
          <w:rPr>
            <w:rStyle w:val="Hyperlink"/>
          </w:rPr>
          <w:t xml:space="preserve">10.1126/sciadv.abj2271</w:t>
        </w:r>
      </w:hyperlink>
      <w:r>
        <w:t xml:space="preserve">)</w:t>
      </w:r>
    </w:p>
    <w:bookmarkEnd w:id="94"/>
    <w:bookmarkStart w:id="96"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w:t>
      </w:r>
      <w:r>
        <w:t xml:space="preserve"> </w:t>
      </w:r>
      <w:r>
        <w:rPr>
          <w:i/>
          <w:iCs/>
        </w:rPr>
        <w:t xml:space="preserve">Ecography</w:t>
      </w:r>
      <w:r>
        <w:t xml:space="preserve"> </w:t>
      </w:r>
      <w:r>
        <w:rPr>
          <w:b/>
          <w:bCs/>
        </w:rPr>
        <w:t xml:space="preserve">2023</w:t>
      </w:r>
      <w:r>
        <w:t xml:space="preserve">, e06132. (doi:</w:t>
      </w:r>
      <w:hyperlink r:id="rId95">
        <w:r>
          <w:rPr>
            <w:rStyle w:val="Hyperlink"/>
          </w:rPr>
          <w:t xml:space="preserve">10.1111/ecog.06132</w:t>
        </w:r>
      </w:hyperlink>
      <w:r>
        <w:t xml:space="preserve">)</w:t>
      </w:r>
    </w:p>
    <w:bookmarkEnd w:id="96"/>
    <w:bookmarkStart w:id="98" w:name="ref-hagen2021"/>
    <w:p>
      <w:pPr>
        <w:pStyle w:val="Bibliography"/>
      </w:pPr>
      <w:r>
        <w:t xml:space="preserve">27.</w:t>
      </w:r>
      <w:r>
        <w:t xml:space="preserve"> </w:t>
      </w:r>
      <w:r>
        <w:t xml:space="preserve">	</w:t>
      </w:r>
      <w:r>
        <w:t xml:space="preserve">Hagen O, Flück B, Fopp F, Cabral JS, Hartig F, Pontarp M, Rangel TF, Pellissier L. 2021 gen3sis: A general engine for eco-evolutionary simulations of the processes that shape Earth</w:t>
      </w:r>
      <w:r>
        <w:t xml:space="preserve">’</w:t>
      </w:r>
      <w:r>
        <w:t xml:space="preserve">s biodiversity.</w:t>
      </w:r>
      <w:r>
        <w:t xml:space="preserve"> </w:t>
      </w:r>
      <w:r>
        <w:rPr>
          <w:i/>
          <w:iCs/>
        </w:rPr>
        <w:t xml:space="preserve">PLOS Biology</w:t>
      </w:r>
      <w:r>
        <w:t xml:space="preserve"> </w:t>
      </w:r>
      <w:r>
        <w:rPr>
          <w:b/>
          <w:bCs/>
        </w:rPr>
        <w:t xml:space="preserve">19</w:t>
      </w:r>
      <w:r>
        <w:t xml:space="preserve">, e3001340. (doi:</w:t>
      </w:r>
      <w:hyperlink r:id="rId97">
        <w:r>
          <w:rPr>
            <w:rStyle w:val="Hyperlink"/>
          </w:rPr>
          <w:t xml:space="preserve">10.1371/journal.pbio.3001340</w:t>
        </w:r>
      </w:hyperlink>
      <w:r>
        <w:t xml:space="preserve">)</w:t>
      </w:r>
    </w:p>
    <w:bookmarkEnd w:id="98"/>
    <w:bookmarkStart w:id="100" w:name="ref-hagen2021b"/>
    <w:p>
      <w:pPr>
        <w:pStyle w:val="Bibliography"/>
      </w:pPr>
      <w:r>
        <w:t xml:space="preserve">28.</w:t>
      </w:r>
      <w:r>
        <w:t xml:space="preserve"> </w:t>
      </w:r>
      <w:r>
        <w:t xml:space="preserve">	</w:t>
      </w:r>
      <w:r>
        <w:t xml:space="preserve">Hagen O, Skeels A, Onstein RE, Jetz W, Pellissier L. 2021 Earth history events shaped the evolution of uneven biodiversity across tropical moist forests.</w:t>
      </w:r>
      <w:r>
        <w:t xml:space="preserve"> </w:t>
      </w:r>
      <w:r>
        <w:rPr>
          <w:i/>
          <w:iCs/>
        </w:rPr>
        <w:t xml:space="preserve">Proceedings of the National Academy of Sciences</w:t>
      </w:r>
      <w:r>
        <w:t xml:space="preserve"> </w:t>
      </w:r>
      <w:r>
        <w:rPr>
          <w:b/>
          <w:bCs/>
        </w:rPr>
        <w:t xml:space="preserve">118</w:t>
      </w:r>
      <w:r>
        <w:t xml:space="preserve">, e2026347118. (doi:</w:t>
      </w:r>
      <w:hyperlink r:id="rId99">
        <w:r>
          <w:rPr>
            <w:rStyle w:val="Hyperlink"/>
          </w:rPr>
          <w:t xml:space="preserve">10.1073/pnas.2026347118</w:t>
        </w:r>
      </w:hyperlink>
      <w:r>
        <w:t xml:space="preserve">)</w:t>
      </w:r>
    </w:p>
    <w:bookmarkEnd w:id="100"/>
    <w:bookmarkStart w:id="102" w:name="ref-skeels2023b"/>
    <w:p>
      <w:pPr>
        <w:pStyle w:val="Bibliography"/>
      </w:pPr>
      <w:r>
        <w:t xml:space="preserve">29.</w:t>
      </w:r>
      <w:r>
        <w:t xml:space="preserve"> </w:t>
      </w:r>
      <w:r>
        <w:t xml:space="preserve">	</w:t>
      </w:r>
      <w:r>
        <w:t xml:space="preserve">Skeels A</w:t>
      </w:r>
      <w:r>
        <w:t xml:space="preserve"> </w:t>
      </w:r>
      <w:r>
        <w:rPr>
          <w:i/>
          <w:iCs/>
        </w:rPr>
        <w:t xml:space="preserve">et al.</w:t>
      </w:r>
      <w:r>
        <w:t xml:space="preserve"> 2023 Paleoenvironments shaped the exchange of terrestrial vertebrates across wallace’s line.</w:t>
      </w:r>
      <w:r>
        <w:t xml:space="preserve"> </w:t>
      </w:r>
      <w:r>
        <w:rPr>
          <w:i/>
          <w:iCs/>
        </w:rPr>
        <w:t xml:space="preserve">Science</w:t>
      </w:r>
      <w:r>
        <w:t xml:space="preserve"> </w:t>
      </w:r>
      <w:r>
        <w:rPr>
          <w:b/>
          <w:bCs/>
        </w:rPr>
        <w:t xml:space="preserve">381</w:t>
      </w:r>
      <w:r>
        <w:t xml:space="preserve">, 86–92. (doi:</w:t>
      </w:r>
      <w:hyperlink r:id="rId101">
        <w:r>
          <w:rPr>
            <w:rStyle w:val="Hyperlink"/>
          </w:rPr>
          <w:t xml:space="preserve">10.1126/science.adf7122</w:t>
        </w:r>
      </w:hyperlink>
      <w:r>
        <w:t xml:space="preserve">)</w:t>
      </w:r>
    </w:p>
    <w:bookmarkEnd w:id="102"/>
    <w:bookmarkStart w:id="104" w:name="ref-boschman2023"/>
    <w:p>
      <w:pPr>
        <w:pStyle w:val="Bibliography"/>
      </w:pPr>
      <w:r>
        <w:t xml:space="preserve">30.</w:t>
      </w:r>
      <w:r>
        <w:t xml:space="preserve"> </w:t>
      </w:r>
      <w:r>
        <w:t xml:space="preserve">	</w:t>
      </w:r>
      <w:r>
        <w:t xml:space="preserve">Boschman LM, Carraro L, Cassemiro FAS, Vries J de, Altermatt F, Hagen O, Hoorn C, Pellissier L. 2023 Freshwater fish diversity in the western Amazon basin shaped by Andean uplift since the Late Cretaceous.</w:t>
      </w:r>
      <w:r>
        <w:t xml:space="preserve"> </w:t>
      </w:r>
      <w:r>
        <w:rPr>
          <w:i/>
          <w:iCs/>
        </w:rPr>
        <w:t xml:space="preserve">Nature Ecology &amp; Evolution</w:t>
      </w:r>
      <w:r>
        <w:t xml:space="preserve"> </w:t>
      </w:r>
      <w:r>
        <w:rPr>
          <w:b/>
          <w:bCs/>
        </w:rPr>
        <w:t xml:space="preserve">7</w:t>
      </w:r>
      <w:r>
        <w:t xml:space="preserve">, 2037–2044. (doi:</w:t>
      </w:r>
      <w:hyperlink r:id="rId103">
        <w:r>
          <w:rPr>
            <w:rStyle w:val="Hyperlink"/>
          </w:rPr>
          <w:t xml:space="preserve">10.1038/s41559-023-02220-8</w:t>
        </w:r>
      </w:hyperlink>
      <w:r>
        <w:t xml:space="preserve">)</w:t>
      </w:r>
    </w:p>
    <w:bookmarkEnd w:id="104"/>
    <w:bookmarkStart w:id="106" w:name="ref-skeels2023"/>
    <w:p>
      <w:pPr>
        <w:pStyle w:val="Bibliography"/>
      </w:pPr>
      <w:r>
        <w:t xml:space="preserve">31.</w:t>
      </w:r>
      <w:r>
        <w:t xml:space="preserve"> </w:t>
      </w:r>
      <w:r>
        <w:t xml:space="preserve">	</w:t>
      </w:r>
      <w:r>
        <w:t xml:space="preserve">Skeels A, Bach W, Hagen O, Jetz W, Pellissier L. 2023 Temperature-dependent evolutionary speed shapes the evolution of biodiversity patterns across tetrapod radiations.</w:t>
      </w:r>
      <w:r>
        <w:t xml:space="preserve"> </w:t>
      </w:r>
      <w:r>
        <w:rPr>
          <w:i/>
          <w:iCs/>
        </w:rPr>
        <w:t xml:space="preserve">Systematic Biology</w:t>
      </w:r>
      <w:r>
        <w:t xml:space="preserve"> </w:t>
      </w:r>
      <w:r>
        <w:rPr>
          <w:b/>
          <w:bCs/>
        </w:rPr>
        <w:t xml:space="preserve">72</w:t>
      </w:r>
      <w:r>
        <w:t xml:space="preserve">, 341–356. (doi:</w:t>
      </w:r>
      <w:hyperlink r:id="rId105">
        <w:r>
          <w:rPr>
            <w:rStyle w:val="Hyperlink"/>
          </w:rPr>
          <w:t xml:space="preserve">10.1093/sysbio/syac048</w:t>
        </w:r>
      </w:hyperlink>
      <w:r>
        <w:t xml:space="preserve">)</w:t>
      </w:r>
    </w:p>
    <w:bookmarkEnd w:id="106"/>
    <w:bookmarkStart w:id="108" w:name="ref-liu2024"/>
    <w:p>
      <w:pPr>
        <w:pStyle w:val="Bibliography"/>
      </w:pPr>
      <w:r>
        <w:t xml:space="preserve">32.</w:t>
      </w:r>
      <w:r>
        <w:t xml:space="preserve"> </w:t>
      </w:r>
      <w:r>
        <w:t xml:space="preserve">	</w:t>
      </w:r>
      <w:r>
        <w:t xml:space="preserve">Liu Y, Wang Y, Willett SD, Zimmermann NE, Pellissier L. 2024 Escarpment evolution drives the diversification of the madagascar flora.</w:t>
      </w:r>
      <w:r>
        <w:t xml:space="preserve"> </w:t>
      </w:r>
      <w:r>
        <w:rPr>
          <w:i/>
          <w:iCs/>
        </w:rPr>
        <w:t xml:space="preserve">Science</w:t>
      </w:r>
      <w:r>
        <w:t xml:space="preserve"> </w:t>
      </w:r>
      <w:r>
        <w:rPr>
          <w:b/>
          <w:bCs/>
        </w:rPr>
        <w:t xml:space="preserve">383</w:t>
      </w:r>
      <w:r>
        <w:t xml:space="preserve">, 653–658. (doi:</w:t>
      </w:r>
      <w:hyperlink r:id="rId107">
        <w:r>
          <w:rPr>
            <w:rStyle w:val="Hyperlink"/>
          </w:rPr>
          <w:t xml:space="preserve">10.1126/science.adi0833</w:t>
        </w:r>
      </w:hyperlink>
      <w:r>
        <w:t xml:space="preserve">)</w:t>
      </w:r>
    </w:p>
    <w:bookmarkEnd w:id="108"/>
    <w:bookmarkStart w:id="110" w:name="ref-holden2019"/>
    <w:p>
      <w:pPr>
        <w:pStyle w:val="Bibliography"/>
      </w:pPr>
      <w:r>
        <w:t xml:space="preserve">33.</w:t>
      </w:r>
      <w:r>
        <w:t xml:space="preserve"> </w:t>
      </w:r>
      <w:r>
        <w:t xml:space="preserve">	</w:t>
      </w:r>
      <w:r>
        <w:t xml:space="preserve">Holden PB, Edwards NR, Rangel TF, Pereira EB, Tran GT, Wilkinson RD. 2019 PALEO-PGEM v1.0: A statistical emulator of pliocene</w:t>
      </w:r>
      <w:r>
        <w:t xml:space="preserve">pleistocene climate.</w:t>
      </w:r>
      <w:r>
        <w:t xml:space="preserve"> </w:t>
      </w:r>
      <w:r>
        <w:rPr>
          <w:i/>
          <w:iCs/>
        </w:rPr>
        <w:t xml:space="preserve">Geoscientific Model Development</w:t>
      </w:r>
      <w:r>
        <w:t xml:space="preserve"> </w:t>
      </w:r>
      <w:r>
        <w:rPr>
          <w:b/>
          <w:bCs/>
        </w:rPr>
        <w:t xml:space="preserve">12</w:t>
      </w:r>
      <w:r>
        <w:t xml:space="preserve">, 5137–5155. (doi:</w:t>
      </w:r>
      <w:hyperlink r:id="rId109">
        <w:r>
          <w:rPr>
            <w:rStyle w:val="Hyperlink"/>
          </w:rPr>
          <w:t xml:space="preserve">https://doi.org/10.5194/gmd-12-5137-2019</w:t>
        </w:r>
      </w:hyperlink>
      <w:r>
        <w:t xml:space="preserve">)</w:t>
      </w:r>
    </w:p>
    <w:bookmarkEnd w:id="110"/>
    <w:bookmarkStart w:id="112" w:name="ref-barreto2023"/>
    <w:p>
      <w:pPr>
        <w:pStyle w:val="Bibliography"/>
      </w:pPr>
      <w:r>
        <w:t xml:space="preserve">34.</w:t>
      </w:r>
      <w:r>
        <w:t xml:space="preserve"> </w:t>
      </w:r>
      <w:r>
        <w:t xml:space="preserve">	</w:t>
      </w:r>
      <w:r>
        <w:t xml:space="preserve">Barreto E, Holden PB, Edwards NR, Rangel TF. 2023 PALEO-PGEM-Series: A spatial time series of the global climate over the last 5 million years (Plio-Pleistocene).</w:t>
      </w:r>
      <w:r>
        <w:t xml:space="preserve"> </w:t>
      </w:r>
      <w:r>
        <w:rPr>
          <w:i/>
          <w:iCs/>
        </w:rPr>
        <w:t xml:space="preserve">Global Ecology and Biogeography</w:t>
      </w:r>
      <w:r>
        <w:t xml:space="preserve"> </w:t>
      </w:r>
      <w:r>
        <w:rPr>
          <w:b/>
          <w:bCs/>
        </w:rPr>
        <w:t xml:space="preserve">32</w:t>
      </w:r>
      <w:r>
        <w:t xml:space="preserve">, 1034–1045. (doi:</w:t>
      </w:r>
      <w:hyperlink r:id="rId111">
        <w:r>
          <w:rPr>
            <w:rStyle w:val="Hyperlink"/>
          </w:rPr>
          <w:t xml:space="preserve">10.1111/geb.13683</w:t>
        </w:r>
      </w:hyperlink>
      <w:r>
        <w:t xml:space="preserve">)</w:t>
      </w:r>
    </w:p>
    <w:bookmarkEnd w:id="112"/>
    <w:bookmarkStart w:id="114" w:name="ref-galván2023"/>
    <w:p>
      <w:pPr>
        <w:pStyle w:val="Bibliography"/>
      </w:pPr>
      <w:r>
        <w:t xml:space="preserve">35.</w:t>
      </w:r>
      <w:r>
        <w:t xml:space="preserve"> </w:t>
      </w:r>
      <w:r>
        <w:t xml:space="preserve">	</w:t>
      </w:r>
      <w:r>
        <w:t xml:space="preserve">Galván S, Gamboa S, Varela S. 2023</w:t>
      </w:r>
      <w:r>
        <w:t xml:space="preserve"> </w:t>
      </w:r>
      <w:hyperlink r:id="rId113">
        <w:r>
          <w:rPr>
            <w:rStyle w:val="Hyperlink"/>
          </w:rPr>
          <w:t xml:space="preserve">Köppen Geiger climatic classification for R users.</w:t>
        </w:r>
      </w:hyperlink>
      <w:r>
        <w:t xml:space="preserve"> </w:t>
      </w:r>
    </w:p>
    <w:bookmarkEnd w:id="114"/>
    <w:bookmarkStart w:id="116" w:name="ref-obrien2023"/>
    <w:p>
      <w:pPr>
        <w:pStyle w:val="Bibliography"/>
      </w:pPr>
      <w:r>
        <w:t xml:space="preserve">36.</w:t>
      </w:r>
      <w:r>
        <w:t xml:space="preserve"> </w:t>
      </w:r>
      <w:r>
        <w:t xml:space="preserve">	</w:t>
      </w:r>
      <w:r>
        <w:t xml:space="preserve">O’Brien L. 2023</w:t>
      </w:r>
      <w:r>
        <w:t xml:space="preserve"> </w:t>
      </w:r>
      <w:r>
        <w:rPr>
          <w:i/>
          <w:iCs/>
        </w:rPr>
        <w:t xml:space="preserve">h3jsr: Access uber’s H3 library</w:t>
      </w:r>
      <w:r>
        <w:t xml:space="preserve">. See</w:t>
      </w:r>
      <w:r>
        <w:t xml:space="preserve"> </w:t>
      </w:r>
      <w:hyperlink r:id="rId115">
        <w:r>
          <w:rPr>
            <w:rStyle w:val="Hyperlink"/>
          </w:rPr>
          <w:t xml:space="preserve">https://CRAN.R-project.org/package=h3jsr</w:t>
        </w:r>
      </w:hyperlink>
      <w:r>
        <w:t xml:space="preserve">.</w:t>
      </w:r>
    </w:p>
    <w:bookmarkEnd w:id="116"/>
    <w:bookmarkStart w:id="118" w:name="ref-weir2009"/>
    <w:p>
      <w:pPr>
        <w:pStyle w:val="Bibliography"/>
      </w:pPr>
      <w:r>
        <w:t xml:space="preserve">37.</w:t>
      </w:r>
      <w:r>
        <w:t xml:space="preserve"> </w:t>
      </w:r>
      <w:r>
        <w:t xml:space="preserve">	</w:t>
      </w:r>
      <w:r>
        <w:t xml:space="preserve">Weir JT, Bermingham E, Schluter D. 2009 The great american biotic interchange in birds.</w:t>
      </w:r>
      <w:r>
        <w:t xml:space="preserve"> </w:t>
      </w:r>
      <w:r>
        <w:rPr>
          <w:i/>
          <w:iCs/>
        </w:rPr>
        <w:t xml:space="preserve">Proceedings of the National Academy of Sciences</w:t>
      </w:r>
      <w:r>
        <w:t xml:space="preserve"> </w:t>
      </w:r>
      <w:r>
        <w:rPr>
          <w:b/>
          <w:bCs/>
        </w:rPr>
        <w:t xml:space="preserve">106</w:t>
      </w:r>
      <w:r>
        <w:t xml:space="preserve">, 21737–21742. (doi:</w:t>
      </w:r>
      <w:hyperlink r:id="rId117">
        <w:r>
          <w:rPr>
            <w:rStyle w:val="Hyperlink"/>
          </w:rPr>
          <w:t xml:space="preserve">10.1073/pnas.0903811106</w:t>
        </w:r>
      </w:hyperlink>
      <w:r>
        <w:t xml:space="preserve">)</w:t>
      </w:r>
    </w:p>
    <w:bookmarkEnd w:id="118"/>
    <w:bookmarkStart w:id="120" w:name="ref-antonelli2018"/>
    <w:p>
      <w:pPr>
        <w:pStyle w:val="Bibliography"/>
      </w:pPr>
      <w:r>
        <w:t xml:space="preserve">38.</w:t>
      </w:r>
      <w:r>
        <w:t xml:space="preserve"> </w:t>
      </w:r>
      <w:r>
        <w:t xml:space="preserve">	</w:t>
      </w:r>
      <w:r>
        <w:t xml:space="preserve">Antonelli A</w:t>
      </w:r>
      <w:r>
        <w:t xml:space="preserve"> </w:t>
      </w:r>
      <w:r>
        <w:rPr>
          <w:i/>
          <w:iCs/>
        </w:rPr>
        <w:t xml:space="preserve">et al.</w:t>
      </w:r>
      <w:r>
        <w:t xml:space="preserve"> 2018 Geological and climatic influences on mountain biodiversity.</w:t>
      </w:r>
      <w:r>
        <w:t xml:space="preserve"> </w:t>
      </w:r>
      <w:r>
        <w:rPr>
          <w:i/>
          <w:iCs/>
        </w:rPr>
        <w:t xml:space="preserve">Nature Geoscience</w:t>
      </w:r>
      <w:r>
        <w:t xml:space="preserve"> </w:t>
      </w:r>
      <w:r>
        <w:rPr>
          <w:b/>
          <w:bCs/>
        </w:rPr>
        <w:t xml:space="preserve">11</w:t>
      </w:r>
      <w:r>
        <w:t xml:space="preserve">, 718–725. (doi:</w:t>
      </w:r>
      <w:hyperlink r:id="rId119">
        <w:r>
          <w:rPr>
            <w:rStyle w:val="Hyperlink"/>
          </w:rPr>
          <w:t xml:space="preserve">10.1038/s41561-018-0236-z</w:t>
        </w:r>
      </w:hyperlink>
      <w:r>
        <w:t xml:space="preserve">)</w:t>
      </w:r>
    </w:p>
    <w:bookmarkEnd w:id="120"/>
    <w:bookmarkStart w:id="122" w:name="ref-motta2025"/>
    <w:p>
      <w:pPr>
        <w:pStyle w:val="Bibliography"/>
      </w:pPr>
      <w:r>
        <w:t xml:space="preserve">39.</w:t>
      </w:r>
      <w:r>
        <w:t xml:space="preserve"> </w:t>
      </w:r>
      <w:r>
        <w:t xml:space="preserve">	</w:t>
      </w:r>
      <w:r>
        <w:t xml:space="preserve">Motta LM, Quental TB. 2025 New aspects of the asymmetry of the great american biotic interchange based on an analysis of the spatial and temporal structure of immigrant taxa at local scale.</w:t>
      </w:r>
      <w:r>
        <w:t xml:space="preserve"> </w:t>
      </w:r>
      <w:r>
        <w:rPr>
          <w:i/>
          <w:iCs/>
        </w:rPr>
        <w:t xml:space="preserve">Palaeogeography, Palaeoclimatology, Palaeoecology</w:t>
      </w:r>
      <w:r>
        <w:t xml:space="preserve"> </w:t>
      </w:r>
      <w:r>
        <w:rPr>
          <w:b/>
          <w:bCs/>
        </w:rPr>
        <w:t xml:space="preserve">668</w:t>
      </w:r>
      <w:r>
        <w:t xml:space="preserve">, 112905. (doi:</w:t>
      </w:r>
      <w:hyperlink r:id="rId121">
        <w:r>
          <w:rPr>
            <w:rStyle w:val="Hyperlink"/>
          </w:rPr>
          <w:t xml:space="preserve">10.1016/j.palaeo.2025.112905</w:t>
        </w:r>
      </w:hyperlink>
      <w:r>
        <w:t xml:space="preserve">)</w:t>
      </w:r>
    </w:p>
    <w:bookmarkEnd w:id="122"/>
    <w:bookmarkStart w:id="124" w:name="ref-couvreur2011"/>
    <w:p>
      <w:pPr>
        <w:pStyle w:val="Bibliography"/>
      </w:pPr>
      <w:r>
        <w:t xml:space="preserve">40.</w:t>
      </w:r>
      <w:r>
        <w:t xml:space="preserve"> </w:t>
      </w:r>
      <w:r>
        <w:t xml:space="preserve">	</w:t>
      </w:r>
      <w:r>
        <w:t xml:space="preserve">Couvreur TLP, Pirie MD, Chatrou LW, Saunders RMK, Su YCF, Richardson JE, Erkens RHJ. 2011 Early evolutionary history of the flowering plant family Annonaceae: steady diversification and boreotropical geodispersal.</w:t>
      </w:r>
      <w:r>
        <w:t xml:space="preserve"> </w:t>
      </w:r>
      <w:r>
        <w:rPr>
          <w:i/>
          <w:iCs/>
        </w:rPr>
        <w:t xml:space="preserve">Journal of Biogeography</w:t>
      </w:r>
      <w:r>
        <w:t xml:space="preserve"> </w:t>
      </w:r>
      <w:r>
        <w:rPr>
          <w:b/>
          <w:bCs/>
        </w:rPr>
        <w:t xml:space="preserve">38</w:t>
      </w:r>
      <w:r>
        <w:t xml:space="preserve">, 664–680. (doi:</w:t>
      </w:r>
      <w:hyperlink r:id="rId123">
        <w:r>
          <w:rPr>
            <w:rStyle w:val="Hyperlink"/>
          </w:rPr>
          <w:t xml:space="preserve">10.1111/j.1365-2699.2010.02434.x</w:t>
        </w:r>
      </w:hyperlink>
      <w:r>
        <w:t xml:space="preserve">)</w:t>
      </w:r>
    </w:p>
    <w:bookmarkEnd w:id="124"/>
    <w:bookmarkStart w:id="126" w:name="ref-upchurch2024"/>
    <w:p>
      <w:pPr>
        <w:pStyle w:val="Bibliography"/>
      </w:pPr>
      <w:r>
        <w:t xml:space="preserve">41.</w:t>
      </w:r>
      <w:r>
        <w:t xml:space="preserve"> </w:t>
      </w:r>
      <w:r>
        <w:t xml:space="preserve">	</w:t>
      </w:r>
      <w:r>
        <w:t xml:space="preserve">Upchurch P, Chiarenza AA. 2024 A brief review of non-avian dinosaur biogeography: State-of-the-art and prospectus.</w:t>
      </w:r>
      <w:r>
        <w:t xml:space="preserve"> </w:t>
      </w:r>
      <w:r>
        <w:rPr>
          <w:i/>
          <w:iCs/>
        </w:rPr>
        <w:t xml:space="preserve">Biology Letters</w:t>
      </w:r>
      <w:r>
        <w:t xml:space="preserve"> </w:t>
      </w:r>
      <w:r>
        <w:rPr>
          <w:b/>
          <w:bCs/>
        </w:rPr>
        <w:t xml:space="preserve">20</w:t>
      </w:r>
      <w:r>
        <w:t xml:space="preserve">, 20240429. (doi:</w:t>
      </w:r>
      <w:hyperlink r:id="rId125">
        <w:r>
          <w:rPr>
            <w:rStyle w:val="Hyperlink"/>
          </w:rPr>
          <w:t xml:space="preserve">10.1098/rsbl.2024.0429</w:t>
        </w:r>
      </w:hyperlink>
      <w:r>
        <w:t xml:space="preserve">)</w:t>
      </w:r>
    </w:p>
    <w:bookmarkEnd w:id="126"/>
    <w:bookmarkStart w:id="128" w:name="ref-pino2022"/>
    <w:p>
      <w:pPr>
        <w:pStyle w:val="Bibliography"/>
      </w:pPr>
      <w:r>
        <w:t xml:space="preserve">42.</w:t>
      </w:r>
      <w:r>
        <w:t xml:space="preserve"> </w:t>
      </w:r>
      <w:r>
        <w:t xml:space="preserve">	</w:t>
      </w:r>
      <w:r>
        <w:t xml:space="preserve">Pino K, Vallejos-Garrido P, Espinoza-Aravena N, Cooper RB, Silvestro D, Hernández CE, Rodríguez-Serrano E. 2022 Regional landscape change triggered by andean uplift: The extinction of sparassodonta (mammalia, metatheria) in south america.</w:t>
      </w:r>
      <w:r>
        <w:t xml:space="preserve"> </w:t>
      </w:r>
      <w:r>
        <w:rPr>
          <w:i/>
          <w:iCs/>
        </w:rPr>
        <w:t xml:space="preserve">Global and Planetary Change</w:t>
      </w:r>
      <w:r>
        <w:t xml:space="preserve"> </w:t>
      </w:r>
      <w:r>
        <w:rPr>
          <w:b/>
          <w:bCs/>
        </w:rPr>
        <w:t xml:space="preserve">210</w:t>
      </w:r>
      <w:r>
        <w:t xml:space="preserve">, 103758. (doi:</w:t>
      </w:r>
      <w:hyperlink r:id="rId127">
        <w:r>
          <w:rPr>
            <w:rStyle w:val="Hyperlink"/>
          </w:rPr>
          <w:t xml:space="preserve">10.1016/j.gloplacha.2022.103758</w:t>
        </w:r>
      </w:hyperlink>
      <w:r>
        <w:t xml:space="preserve">)</w:t>
      </w:r>
    </w:p>
    <w:bookmarkEnd w:id="128"/>
    <w:bookmarkEnd w:id="129"/>
    <w:bookmarkEnd w:id="130"/>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hyperlink" Id="rId51" Target="http://repository.si.edu/xmlui/handle/10088/35473" TargetMode="External" /><Relationship Type="http://schemas.openxmlformats.org/officeDocument/2006/relationships/hyperlink" Id="rId115" Target="https://CRAN.R-project.org/package=h3jsr" TargetMode="External" /><Relationship Type="http://schemas.openxmlformats.org/officeDocument/2006/relationships/hyperlink" Id="rId57" Target="https://doi.org/10.1007/s10914-010-9144-8" TargetMode="External" /><Relationship Type="http://schemas.openxmlformats.org/officeDocument/2006/relationships/hyperlink" Id="rId85" Target="https://doi.org/10.1007/s10914-011-9175-9" TargetMode="External" /><Relationship Type="http://schemas.openxmlformats.org/officeDocument/2006/relationships/hyperlink" Id="rId55" Target="https://doi.org/10.1016/j.geobios.2006.09.005" TargetMode="External" /><Relationship Type="http://schemas.openxmlformats.org/officeDocument/2006/relationships/hyperlink" Id="rId127" Target="https://doi.org/10.1016/j.gloplacha.2022.103758" TargetMode="External" /><Relationship Type="http://schemas.openxmlformats.org/officeDocument/2006/relationships/hyperlink" Id="rId121" Target="https://doi.org/10.1016/j.palaeo.2025.112905" TargetMode="External" /><Relationship Type="http://schemas.openxmlformats.org/officeDocument/2006/relationships/hyperlink" Id="rId65" Target="https://doi.org/10.1017/S0094837300010605" TargetMode="External" /><Relationship Type="http://schemas.openxmlformats.org/officeDocument/2006/relationships/hyperlink" Id="rId103" Target="https://doi.org/10.1038/s41559-023-02220-8" TargetMode="External" /><Relationship Type="http://schemas.openxmlformats.org/officeDocument/2006/relationships/hyperlink" Id="rId119" Target="https://doi.org/10.1038/s41561-018-0236-z" TargetMode="External" /><Relationship Type="http://schemas.openxmlformats.org/officeDocument/2006/relationships/hyperlink" Id="rId76" Target="https://doi.org/10.1038/s41598-020-58575-6" TargetMode="External" /><Relationship Type="http://schemas.openxmlformats.org/officeDocument/2006/relationships/hyperlink" Id="rId87" Target="https://doi.org/10.1038/s41598-022-05266-z" TargetMode="External" /><Relationship Type="http://schemas.openxmlformats.org/officeDocument/2006/relationships/hyperlink" Id="rId91" Target="https://doi.org/10.1038/s44185-024-00045-7" TargetMode="External" /><Relationship Type="http://schemas.openxmlformats.org/officeDocument/2006/relationships/hyperlink" Id="rId117"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69"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05" Target="https://doi.org/10.1093/sysbio/syac048" TargetMode="External" /><Relationship Type="http://schemas.openxmlformats.org/officeDocument/2006/relationships/hyperlink" Id="rId125" Target="https://doi.org/10.1098/rsbl.2024.0429" TargetMode="External" /><Relationship Type="http://schemas.openxmlformats.org/officeDocument/2006/relationships/hyperlink" Id="rId95" Target="https://doi.org/10.1111/ecog.06132" TargetMode="External" /><Relationship Type="http://schemas.openxmlformats.org/officeDocument/2006/relationships/hyperlink" Id="rId79"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3" Target="https://doi.org/10.1111/j.1365-2699.2010.02434.x" TargetMode="External" /><Relationship Type="http://schemas.openxmlformats.org/officeDocument/2006/relationships/hyperlink" Id="rId81" Target="https://doi.org/10.1111/pala.70012" TargetMode="External" /><Relationship Type="http://schemas.openxmlformats.org/officeDocument/2006/relationships/hyperlink" Id="rId53" Target="https://doi.org/10.1126/sciadv.1600883" TargetMode="External" /><Relationship Type="http://schemas.openxmlformats.org/officeDocument/2006/relationships/hyperlink" Id="rId93" Target="https://doi.org/10.1126/sciadv.abj2271" TargetMode="External" /><Relationship Type="http://schemas.openxmlformats.org/officeDocument/2006/relationships/hyperlink" Id="rId49"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73" Target="https://doi.org/10.1126/science.adu0704" TargetMode="External" /><Relationship Type="http://schemas.openxmlformats.org/officeDocument/2006/relationships/hyperlink" Id="rId61" Target="https://doi.org/10.1130/G37624.1" TargetMode="External" /><Relationship Type="http://schemas.openxmlformats.org/officeDocument/2006/relationships/hyperlink" Id="rId71" Target="https://doi.org/10.1146/annurev-earth-072619-060126" TargetMode="External" /><Relationship Type="http://schemas.openxmlformats.org/officeDocument/2006/relationships/hyperlink" Id="rId97" Target="https://doi.org/10.1371/journal.pbio.3001340" TargetMode="External" /><Relationship Type="http://schemas.openxmlformats.org/officeDocument/2006/relationships/hyperlink" Id="rId83" Target="https://doi.org/10.2307/1381862" TargetMode="External" /><Relationship Type="http://schemas.openxmlformats.org/officeDocument/2006/relationships/hyperlink" Id="rId89"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3" Target="https://eartharxiv.org/repository/view/6269/" TargetMode="External" /><Relationship Type="http://schemas.openxmlformats.org/officeDocument/2006/relationships/hyperlink" Id="rId67" Target="https://link.springer.com/10.1007/978-94-017-9792-4" TargetMode="External" /><Relationship Type="http://schemas.openxmlformats.org/officeDocument/2006/relationships/hyperlink" Id="rId47" Target="https://www.jstor.org/stable/1688046" TargetMode="External" /><Relationship Type="http://schemas.openxmlformats.org/officeDocument/2006/relationships/hyperlink" Id="rId63"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51" Target="http://repository.si.edu/xmlui/handle/10088/35473" TargetMode="External" /><Relationship Type="http://schemas.openxmlformats.org/officeDocument/2006/relationships/hyperlink" Id="rId115" Target="https://CRAN.R-project.org/package=h3jsr" TargetMode="External" /><Relationship Type="http://schemas.openxmlformats.org/officeDocument/2006/relationships/hyperlink" Id="rId57" Target="https://doi.org/10.1007/s10914-010-9144-8" TargetMode="External" /><Relationship Type="http://schemas.openxmlformats.org/officeDocument/2006/relationships/hyperlink" Id="rId85" Target="https://doi.org/10.1007/s10914-011-9175-9" TargetMode="External" /><Relationship Type="http://schemas.openxmlformats.org/officeDocument/2006/relationships/hyperlink" Id="rId55" Target="https://doi.org/10.1016/j.geobios.2006.09.005" TargetMode="External" /><Relationship Type="http://schemas.openxmlformats.org/officeDocument/2006/relationships/hyperlink" Id="rId127" Target="https://doi.org/10.1016/j.gloplacha.2022.103758" TargetMode="External" /><Relationship Type="http://schemas.openxmlformats.org/officeDocument/2006/relationships/hyperlink" Id="rId121" Target="https://doi.org/10.1016/j.palaeo.2025.112905" TargetMode="External" /><Relationship Type="http://schemas.openxmlformats.org/officeDocument/2006/relationships/hyperlink" Id="rId65" Target="https://doi.org/10.1017/S0094837300010605" TargetMode="External" /><Relationship Type="http://schemas.openxmlformats.org/officeDocument/2006/relationships/hyperlink" Id="rId103" Target="https://doi.org/10.1038/s41559-023-02220-8" TargetMode="External" /><Relationship Type="http://schemas.openxmlformats.org/officeDocument/2006/relationships/hyperlink" Id="rId119" Target="https://doi.org/10.1038/s41561-018-0236-z" TargetMode="External" /><Relationship Type="http://schemas.openxmlformats.org/officeDocument/2006/relationships/hyperlink" Id="rId76" Target="https://doi.org/10.1038/s41598-020-58575-6" TargetMode="External" /><Relationship Type="http://schemas.openxmlformats.org/officeDocument/2006/relationships/hyperlink" Id="rId87" Target="https://doi.org/10.1038/s41598-022-05266-z" TargetMode="External" /><Relationship Type="http://schemas.openxmlformats.org/officeDocument/2006/relationships/hyperlink" Id="rId91" Target="https://doi.org/10.1038/s44185-024-00045-7" TargetMode="External" /><Relationship Type="http://schemas.openxmlformats.org/officeDocument/2006/relationships/hyperlink" Id="rId117"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69"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05" Target="https://doi.org/10.1093/sysbio/syac048" TargetMode="External" /><Relationship Type="http://schemas.openxmlformats.org/officeDocument/2006/relationships/hyperlink" Id="rId125" Target="https://doi.org/10.1098/rsbl.2024.0429" TargetMode="External" /><Relationship Type="http://schemas.openxmlformats.org/officeDocument/2006/relationships/hyperlink" Id="rId95" Target="https://doi.org/10.1111/ecog.06132" TargetMode="External" /><Relationship Type="http://schemas.openxmlformats.org/officeDocument/2006/relationships/hyperlink" Id="rId79"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3" Target="https://doi.org/10.1111/j.1365-2699.2010.02434.x" TargetMode="External" /><Relationship Type="http://schemas.openxmlformats.org/officeDocument/2006/relationships/hyperlink" Id="rId81" Target="https://doi.org/10.1111/pala.70012" TargetMode="External" /><Relationship Type="http://schemas.openxmlformats.org/officeDocument/2006/relationships/hyperlink" Id="rId53" Target="https://doi.org/10.1126/sciadv.1600883" TargetMode="External" /><Relationship Type="http://schemas.openxmlformats.org/officeDocument/2006/relationships/hyperlink" Id="rId93" Target="https://doi.org/10.1126/sciadv.abj2271" TargetMode="External" /><Relationship Type="http://schemas.openxmlformats.org/officeDocument/2006/relationships/hyperlink" Id="rId49"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73" Target="https://doi.org/10.1126/science.adu0704" TargetMode="External" /><Relationship Type="http://schemas.openxmlformats.org/officeDocument/2006/relationships/hyperlink" Id="rId61" Target="https://doi.org/10.1130/G37624.1" TargetMode="External" /><Relationship Type="http://schemas.openxmlformats.org/officeDocument/2006/relationships/hyperlink" Id="rId71" Target="https://doi.org/10.1146/annurev-earth-072619-060126" TargetMode="External" /><Relationship Type="http://schemas.openxmlformats.org/officeDocument/2006/relationships/hyperlink" Id="rId97" Target="https://doi.org/10.1371/journal.pbio.3001340" TargetMode="External" /><Relationship Type="http://schemas.openxmlformats.org/officeDocument/2006/relationships/hyperlink" Id="rId83" Target="https://doi.org/10.2307/1381862" TargetMode="External" /><Relationship Type="http://schemas.openxmlformats.org/officeDocument/2006/relationships/hyperlink" Id="rId89"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3" Target="https://eartharxiv.org/repository/view/6269/" TargetMode="External" /><Relationship Type="http://schemas.openxmlformats.org/officeDocument/2006/relationships/hyperlink" Id="rId67" Target="https://link.springer.com/10.1007/978-94-017-9792-4" TargetMode="External" /><Relationship Type="http://schemas.openxmlformats.org/officeDocument/2006/relationships/hyperlink" Id="rId47" Target="https://www.jstor.org/stable/1688046" TargetMode="External" /><Relationship Type="http://schemas.openxmlformats.org/officeDocument/2006/relationships/hyperlink" Id="rId63"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2025-09-16T16:22:40Z</dcterms:created>
  <dcterms:modified xsi:type="dcterms:W3CDTF">2025-09-16T16:22:40Z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biology-letters.csl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