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0.png" ContentType="image/png"/>
  <Override PartName="/word/media/rId168.png" ContentType="image/png"/>
  <Override PartName="/word/media/rId156.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 a greater number of North American lineages established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biotic exchange that occurred between the Americas after the closure of the isthmus of Panama</w:t>
      </w:r>
      <w:r>
        <w:rPr>
          <w:vertAlign w:val="superscript"/>
        </w:rPr>
        <w:t xml:space="preserve">1–3</w:t>
      </w:r>
      <w:r>
        <w:t xml:space="preserve">. Though the exact timing of the appearance of such a landbridge is not entirely resolved</w:t>
      </w:r>
      <w:r>
        <w:rPr>
          <w:vertAlign w:val="superscript"/>
        </w:rPr>
        <w:t xml:space="preserve">4–7</w:t>
      </w:r>
      <w:r>
        <w:t xml:space="preserve">, palaeontological evidence and molecular phylogenies both agree with a late Miocene onset of (non-volant) faunal exchange between the Americas</w:t>
      </w:r>
      <w:r>
        <w:rPr>
          <w:vertAlign w:val="superscript"/>
        </w:rPr>
        <w:t xml:space="preserve">8–10</w:t>
      </w:r>
      <w:r>
        <w:t xml:space="preserve">, with effective exchange pulses occurring during the Plio-Pleistocene</w:t>
      </w:r>
      <w:r>
        <w:rPr>
          <w:vertAlign w:val="superscript"/>
        </w:rPr>
        <w:t xml:space="preserve">2,11–13</w:t>
      </w:r>
      <w:r>
        <w:t xml:space="preserve">. Among land mammals, a puzzling feature of the GABI is that it impacted both continent’s faunas very differently. In fact, evidence from the fossil record indicates that the early phases of the GABI were marked by reciprocal land mammal exchanges between the Americas</w:t>
      </w:r>
      <w:r>
        <w:rPr>
          <w:vertAlign w:val="superscript"/>
        </w:rPr>
        <w:t xml:space="preserve">1,2,11</w:t>
      </w:r>
      <w:r>
        <w:t xml:space="preserve">. However, during the Quaternary, the ability of migrant lineages to maintain and diversify in the foreign continent became greater in South America</w:t>
      </w:r>
      <w:r>
        <w:rPr>
          <w:vertAlign w:val="superscript"/>
        </w:rPr>
        <w:t xml:space="preserve">11</w:t>
      </w:r>
      <w:r>
        <w:t xml:space="preserve">, and many native South American mammal lineages concomitantly declined, some of which even going totally extinct</w:t>
      </w:r>
      <w:r>
        <w:rPr>
          <w:vertAlign w:val="superscript"/>
        </w:rPr>
        <w:t xml:space="preserve">14–18</w:t>
      </w:r>
      <w:r>
        <w:t xml:space="preserve">. Hence, this intercontinental faunal exchange was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1,19,20</w:t>
      </w:r>
      <w:r>
        <w:t xml:space="preserve"> </w:t>
      </w:r>
      <w:r>
        <w:t xml:space="preserve">or predation of predator-naive preys</w:t>
      </w:r>
      <w:r>
        <w:rPr>
          <w:vertAlign w:val="superscript"/>
        </w:rPr>
        <w:t xml:space="preserve">1,21–23</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24,25–28</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13,14,21,24,29,30</w:t>
      </w:r>
      <w:r>
        <w:t xml:space="preserve">. The prevailing view, proposed by Webb.</w:t>
      </w:r>
      <w:r>
        <w:rPr>
          <w:vertAlign w:val="superscript"/>
        </w:rPr>
        <w:t xml:space="preserve">14</w:t>
      </w:r>
      <w:r>
        <w:t xml:space="preserve"> </w:t>
      </w:r>
      <w:r>
        <w:t xml:space="preserve">and Vrba.</w:t>
      </w:r>
      <w:r>
        <w:rPr>
          <w:vertAlign w:val="superscript"/>
        </w:rPr>
        <w:t xml:space="preserve">24</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with rainforests acting as a barrier for species dispersal (tropical</w:t>
      </w:r>
      <w:r>
        <w:t xml:space="preserve"> </w:t>
      </w:r>
      <w:r>
        <w:t xml:space="preserve">‘</w:t>
      </w:r>
      <w:r>
        <w:t xml:space="preserve">holding pen</w:t>
      </w:r>
      <w:r>
        <w:t xml:space="preserve">’</w:t>
      </w:r>
      <w:r>
        <w:t xml:space="preserve"> </w:t>
      </w:r>
      <w:r>
        <w:t xml:space="preserve">hypothesis)</w:t>
      </w:r>
      <w:r>
        <w:rPr>
          <w:vertAlign w:val="superscript"/>
        </w:rPr>
        <w:t xml:space="preserve">11</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31</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32</w:t>
      </w:r>
      <w:r>
        <w:t xml:space="preserve">. Recently, this family of models has provided unprecedented insights into the underlying forces behind widely-recognised biodiversity patterns, such as the latitudinal biodiversity gradient</w:t>
      </w:r>
      <w:r>
        <w:rPr>
          <w:vertAlign w:val="superscript"/>
        </w:rPr>
        <w:t xml:space="preserve">33,34</w:t>
      </w:r>
      <w:r>
        <w:t xml:space="preserve">, the diversity desequilibrium between tropical rainforests across the globe</w:t>
      </w:r>
      <w:r>
        <w:rPr>
          <w:vertAlign w:val="superscript"/>
        </w:rPr>
        <w:t xml:space="preserve">35</w:t>
      </w:r>
      <w:r>
        <w:t xml:space="preserve">, the build-up of the unique biodiversity along the Wallace line</w:t>
      </w:r>
      <w:r>
        <w:rPr>
          <w:vertAlign w:val="superscript"/>
        </w:rPr>
        <w:t xml:space="preserve">36</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37,38,39</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33</w:t>
      </w:r>
      <w:r>
        <w:t xml:space="preserve">, a mechanistic eco-evolutionary simulator, incorporating palaeoclimatic layers (annual temperature and precipitation) covering the last 5 million years generated by the PALEO-PGEM emulator</w:t>
      </w:r>
      <w:r>
        <w:rPr>
          <w:vertAlign w:val="superscript"/>
        </w:rPr>
        <w:t xml:space="preserve">40,41</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 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42</w:t>
      </w:r>
      <w:r>
        <w:t xml:space="preserve"> </w:t>
      </w:r>
      <w:r>
        <w:t xml:space="preserve">and Galván et al.</w:t>
      </w:r>
      <w:r>
        <w:rPr>
          <w:vertAlign w:val="superscript"/>
        </w:rPr>
        <w:t xml:space="preserve">43</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4" w:name="discussion"/>
    <w:p>
      <w:pPr>
        <w:pStyle w:val="Heading1"/>
      </w:pPr>
      <w:r>
        <w:t xml:space="preserve">Discussion</w:t>
      </w:r>
    </w:p>
    <w:bookmarkStart w:id="27" w:name="X29849b2dbddef87ab6d7d6609874808b4e7c498"/>
    <w:p>
      <w:pPr>
        <w:pStyle w:val="Heading2"/>
      </w:pPr>
      <w:r>
        <w:t xml:space="preserve">An inverse asymmetry of exchange probability across both sides of the isthmus driven by climate</w:t>
      </w:r>
    </w:p>
    <w:p>
      <w:pPr>
        <w:pStyle w:val="FirstParagraph"/>
      </w:pPr>
      <w:r>
        <w:t xml:space="preserve">Throughout this work, we investigated the role of palaeoclimate in the asymmetry of the Great American Biotic Interchange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foreign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rPr>
          <w:vertAlign w:val="superscript"/>
        </w:rPr>
        <w:t xml:space="preserve">19</w:t>
      </w:r>
      <w:r>
        <w:t xml:space="preserve">, suggesting that filters other than climatic must have been at play to build this asymmetry.</w:t>
      </w:r>
    </w:p>
    <w:p>
      <w:pPr>
        <w:pStyle w:val="BodyText"/>
      </w:pPr>
      <w:r>
        <w:t xml:space="preserve">Seminal works primarily interpreted the empirically-derived asymmetry of the GABI through the lens of MacArthur &amp; Wilson’s equilibrium theory</w:t>
      </w:r>
      <w:r>
        <w:rPr>
          <w:vertAlign w:val="superscript"/>
        </w:rPr>
        <w:t xml:space="preserve">44</w:t>
      </w:r>
      <w:r>
        <w:t xml:space="preserve">, but extrapolated to continents. This theory establishes that, on evolutionary timescales, diversity within a given area should tend towards an equilibrium value proportional to the size of this area. It therefore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In that framework, Marshall et al.</w:t>
      </w:r>
      <w:r>
        <w:rPr>
          <w:vertAlign w:val="superscript"/>
        </w:rPr>
        <w:t xml:space="preserve">2</w:t>
      </w:r>
      <w:r>
        <w:t xml:space="preserve"> </w:t>
      </w:r>
      <w:r>
        <w:t xml:space="preserve">argued that the continent offering the larger pool of taxa – which, according to this prediction, would happen to be North America – would in turn have resulted in the larger number of species exchanged in the end. It might be noticed that species pool imbalance between the two source areas has been identified as a key driver in the faunal exchange asymmetry that contributed to the build-up of the unique biodiversity along the Wallace line</w:t>
      </w:r>
      <w:r>
        <w:rPr>
          <w:vertAlign w:val="superscript"/>
        </w:rPr>
        <w:t xml:space="preserve">36</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fails at explaining the actual imbalance in extant mammal species-level diversity between the Americas, being way larger in South than in North America</w:t>
      </w:r>
      <w:r>
        <w:rPr>
          <w:vertAlign w:val="superscript"/>
        </w:rPr>
        <w:t xml:space="preserve">45,46</w:t>
      </w:r>
      <w:r>
        <w:t xml:space="preserve">.</w:t>
      </w:r>
    </w:p>
    <w:p>
      <w:pPr>
        <w:pStyle w:val="BodyText"/>
      </w:pPr>
      <w:r>
        <w:t xml:space="preserve">Although the inverse asymmetry in climate-driven exchange across both sides of the Isthmus suggested by our findings goes in contradiction with the mammal fossil record</w:t>
      </w:r>
      <w:r>
        <w:rPr>
          <w:vertAlign w:val="superscript"/>
        </w:rPr>
        <w:t xml:space="preserve">2</w:t>
      </w:r>
      <w:r>
        <w:t xml:space="preserve">, it actually echoes inter-American exchange mechanisms proposed for other groups of vertebrates. For instance, the extant amphibian fauna of South America is almost entirely made up with endemic taxa. By contrast, North American frog fauna is composed of four families of southern origin, and only three of northern origin</w:t>
      </w:r>
      <w:r>
        <w:rPr>
          <w:vertAlign w:val="superscript"/>
        </w:rPr>
        <w:t xml:space="preserve">47</w:t>
      </w:r>
      <w:r>
        <w:t xml:space="preserve">. Also,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47,48,49</w:t>
      </w:r>
      <w:r>
        <w:t xml:space="preserve">. It should be noted that, due to the requirement for connected freshwater networks, the magnitude of the faunal admixture among freshwater fishes has been greatly limited compared to land groups. Next, despite the enhanced dispersal abilities suggested by the mode of locomotion of birds, phylogenetic evidence have shown a significant influence of the closure of the panamanian seaway in the rates of exchange between both continent’s avifaunas</w:t>
      </w:r>
      <w:r>
        <w:rPr>
          <w:vertAlign w:val="superscript"/>
        </w:rPr>
        <w:t xml:space="preserve">50,51</w:t>
      </w:r>
      <w:r>
        <w:t xml:space="preserve">. In particular, transcontinental exchanges occurred symmetrically among clades inhabting tropical regions, but interestingly, diversification of extra-tropical groups to tropical regions and further dispersal to the other landmass was strongly asymmetrical in favour of North American taxa</w:t>
      </w:r>
      <w:r>
        <w:rPr>
          <w:vertAlign w:val="superscript"/>
        </w:rPr>
        <w:t xml:space="preserve">49,51</w:t>
      </w:r>
      <w:r>
        <w:t xml:space="preserve">. That being said, notable exceptions of South American groups that successfully diversified in North America (including within temperate regions) exist, such as hummingbirds. However, the lack of fossil record for these groups greatly hampers our understanding of the processes behind their biogeographical history.</w:t>
      </w:r>
    </w:p>
    <w:bookmarkEnd w:id="27"/>
    <w:bookmarkStart w:id="28" w:name="Xcc2378c0a74ed408eb952abc767abbfd2a71b7f"/>
    <w:p>
      <w:pPr>
        <w:pStyle w:val="Heading2"/>
      </w:pPr>
      <w:r>
        <w:t xml:space="preserve">Fate of lineages, niche evolution and geographic lottery</w:t>
      </w:r>
    </w:p>
    <w:p>
      <w:pPr>
        <w:pStyle w:val="FirstParagraph"/>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52</w:t>
      </w:r>
      <w:r>
        <w:t xml:space="preserve">.</w:t>
      </w:r>
    </w:p>
    <w:p>
      <w:pPr>
        <w:pStyle w:val="BodyText"/>
      </w:pPr>
      <w:r>
        <w:t xml:space="preserve">Southwards dispersals generated under</w:t>
      </w:r>
      <w:r>
        <w:t xml:space="preserve"> </w:t>
      </w:r>
      <m:oMath>
        <m:r>
          <m:t>M</m:t>
        </m:r>
        <m:r>
          <m:t>0</m:t>
        </m:r>
      </m:oMath>
      <w:r>
        <w:t xml:space="preserve"> </w:t>
      </w:r>
      <w:r>
        <w:t xml:space="preserve">are less frequent but result in a greater colonising ability – larger proportion of colonised area and colonised diversity – than northwards dispersals</w:t>
      </w:r>
      <w:r>
        <w:t xml:space="preserve"> </w:t>
      </w:r>
      <w:hyperlink w:anchor="fig-metrics">
        <w:r>
          <w:rPr>
            <w:rStyle w:val="Hyperlink"/>
          </w:rPr>
          <w:t xml:space="preserve">Figure 3</w:t>
        </w:r>
      </w:hyperlink>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r>
        <w:t xml:space="preserve">,</w:t>
      </w:r>
    </w:p>
    <w:p>
      <w:pPr>
        <w:pStyle w:val="BodyText"/>
      </w:pPr>
      <w:r>
        <w:t xml:space="preserve">“</w:t>
      </w:r>
      <w:r>
        <w:t xml:space="preserve">Too far to be exchanged</w:t>
      </w:r>
      <w:r>
        <w:t xml:space="preserve">”</w:t>
      </w:r>
      <w:r>
        <w:t xml:space="preserve">: example of caprins raised by</w:t>
      </w:r>
      <w:r>
        <w:rPr>
          <w:vertAlign w:val="superscript"/>
        </w:rPr>
        <w:t xml:space="preserve">14</w:t>
      </w:r>
    </w:p>
    <w:p>
      <w:pPr>
        <w:pStyle w:val="BodyText"/>
      </w:pPr>
      <w:r>
        <w:t xml:space="preserve">Fortuitous experiment and neutral/random effect?</w:t>
      </w:r>
    </w:p>
    <w:bookmarkEnd w:id="28"/>
    <w:bookmarkStart w:id="29" w:name="climatic-filtering"/>
    <w:p>
      <w:pPr>
        <w:pStyle w:val="Heading2"/>
      </w:pPr>
      <w:r>
        <w:t xml:space="preserve">Climatic filtering</w:t>
      </w:r>
    </w:p>
    <w:p>
      <w:pPr>
        <w:pStyle w:val="FirstParagraph"/>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North American tropical specialist’s establishment in South America</w:t>
      </w:r>
      <w:r>
        <w:rPr>
          <w:vertAlign w:val="superscript"/>
        </w:rPr>
        <w:t xml:space="preserve">24</w:t>
      </w:r>
      <w:r>
        <w:t xml:space="preserve">. This prediction meets the</w:t>
      </w:r>
      <w:r>
        <w:t xml:space="preserve"> </w:t>
      </w:r>
      <w:r>
        <w:t xml:space="preserve">‘</w:t>
      </w:r>
      <w:r>
        <w:t xml:space="preserve">tropical refugia</w:t>
      </w:r>
      <w:r>
        <w:t xml:space="preserve">’</w:t>
      </w:r>
      <w:r>
        <w:t xml:space="preserve"> </w:t>
      </w:r>
      <w:r>
        <w:t xml:space="preserve">hypothesis formulated a few decades earlier</w:t>
      </w:r>
      <w:r>
        <w:rPr>
          <w:vertAlign w:val="superscript"/>
        </w:rPr>
        <w:t xml:space="preserve">53</w:t>
      </w:r>
      <w:r>
        <w:t xml:space="preserve">. The latter hypothesis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53</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were found to have a high prevalence of crossing the isthmus (</w:t>
      </w:r>
      <w:hyperlink w:anchor="fig-biome">
        <w:r>
          <w:rPr>
            <w:rStyle w:val="Hyperlink"/>
          </w:rPr>
          <w:t xml:space="preserve">Figure 4</w:t>
        </w:r>
      </w:hyperlink>
      <w:r>
        <w:t xml:space="preserve"> </w:t>
      </w:r>
      <w:r>
        <w:t xml:space="preserve">C, model</w:t>
      </w:r>
      <w:r>
        <w:t xml:space="preserve"> </w:t>
      </w:r>
      <m:oMath>
        <m:r>
          <m:t>M</m:t>
        </m:r>
        <m:r>
          <m:t>0</m:t>
        </m:r>
      </m:oMath>
      <w:r>
        <w:t xml:space="preserve">). However, the prevalence of tropical specialists from South America to disperse to the North was found to be almost equally-high, largely exceeding that of other biome specialists (</w:t>
      </w:r>
      <w:hyperlink w:anchor="fig-biome">
        <w:r>
          <w:rPr>
            <w:rStyle w:val="Hyperlink"/>
          </w:rPr>
          <w:t xml:space="preserve">Figure 4</w:t>
        </w:r>
      </w:hyperlink>
      <w:r>
        <w:t xml:space="preserve"> </w:t>
      </w:r>
      <w:r>
        <w:t xml:space="preserve">C, model</w:t>
      </w:r>
      <w:r>
        <w:t xml:space="preserve"> </w:t>
      </w:r>
      <m:oMath>
        <m:r>
          <m:t>M</m:t>
        </m:r>
        <m:r>
          <m:t>0</m:t>
        </m:r>
      </m:oMath>
      <w:r>
        <w:t xml:space="preserve">). This goes against Vrba’s seminal hypothesis, instead predicting that fewer mammals – only biome generalists or open-habitat specialists – from South America would be expected to roam the other way around in case of tropical contraction towards the equator. This finding may in fact reflect an attenuated magnitude of the climatic fragmentation of the isthmian region when compared to historical biome reconstructions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 with the persistence of a tropical corridor in turn promoting the exchange of tropical specialists between both landmasses.</w:t>
      </w:r>
    </w:p>
    <w:p>
      <w:pPr>
        <w:pStyle w:val="BodyText"/>
      </w:pPr>
      <w:r>
        <w:t xml:space="preserve">On average, one simulated radiation of open biome –</w:t>
      </w:r>
      <w:r>
        <w:t xml:space="preserve"> </w:t>
      </w:r>
      <w:r>
        <w:rPr>
          <w:i/>
          <w:iCs/>
        </w:rPr>
        <w:t xml:space="preserve">i</w:t>
      </w:r>
      <w:r>
        <w:t xml:space="preserve">.</w:t>
      </w:r>
      <w:r>
        <w:rPr>
          <w:i/>
          <w:iCs/>
        </w:rPr>
        <w:t xml:space="preserve">e</w:t>
      </w:r>
      <w:r>
        <w:t xml:space="preserve">., arid or temperate – specialists out of four resulted in a successful exchange, irrespective of its ancestral continent (</w:t>
      </w:r>
      <w:hyperlink w:anchor="fig-biome">
        <w:r>
          <w:rPr>
            <w:rStyle w:val="Hyperlink"/>
          </w:rPr>
          <w:t xml:space="preserve">Figure 4</w:t>
        </w:r>
      </w:hyperlink>
      <w:r>
        <w:t xml:space="preserve"> </w:t>
      </w:r>
      <w:r>
        <w:t xml:space="preserve">C, model</w:t>
      </w:r>
      <w:r>
        <w:t xml:space="preserve"> </w:t>
      </w:r>
      <m:oMath>
        <m:r>
          <m:t>M</m:t>
        </m:r>
        <m:r>
          <m:t>0</m:t>
        </m:r>
      </m:oMath>
      <w:r>
        <w:t xml:space="preserve">). This proportion is significantly lower than that obtained for tropical specialists. Yet, it has long been acknowledged that the migrant fossil record across both sides of the isthmus was essentially made up with species showing affinity with open biomes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24</w:t>
      </w:r>
      <w:r>
        <w:t xml:space="preserve">. Among the most emblematic, we find equids, proboscids or camelids on the South American side; ground sloths, toxodontids or glyptodontids on the North American. The co-occurrence of distinct taxa in temporally well-delimited fossil assemblages lead palaeontologists to postulate that the GABI was in fact a succession of exchange pulses punctuated by phases of interruption, related to the climate-driven oscillations between savannah and rainforest in Central America</w:t>
      </w:r>
      <w:r>
        <w:rPr>
          <w:vertAlign w:val="superscript"/>
        </w:rPr>
        <w:t xml:space="preserve">14</w:t>
      </w:r>
      <w:r>
        <w:t xml:space="preserve">. The majority of exchanged taxa therefore had ecologies suited to open habitats, and preferentially dispersed during cold and dry climate intervals</w:t>
      </w:r>
      <w:r>
        <w:rPr>
          <w:vertAlign w:val="superscript"/>
        </w:rPr>
        <w:t xml:space="preserve">11</w:t>
      </w:r>
      <w:r>
        <w:t xml:space="preserve">. That being said, as mentioned by Weir</w:t>
      </w:r>
      <w:r>
        <w:rPr>
          <w:vertAlign w:val="superscript"/>
        </w:rPr>
        <w:t xml:space="preserve">50</w:t>
      </w:r>
      <w:r>
        <w:t xml:space="preserve">, the mammal fossil record in the Americas is highly biased, with few occurrences coming from low-latitude tropical regions, which is particularly striking in the case of South America</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54</w:t>
      </w:r>
      <w:r>
        <w:t xml:space="preserve">. Furthermore, evidence from extant taxa suggest tropical niche conservatism</w:t>
      </w:r>
    </w:p>
    <w:p>
      <w:pPr>
        <w:pStyle w:val="BodyText"/>
      </w:pPr>
      <w:r>
        <w:t xml:space="preserve">Also, across simulations, exchange pulses manifestly don’t relate to temperature fluctuations (Figure S11), which has yet been postulated many times (</w:t>
      </w:r>
      <w:r>
        <w:rPr>
          <w:i/>
          <w:iCs/>
        </w:rPr>
        <w:t xml:space="preserve">e</w:t>
      </w:r>
      <w:r>
        <w:t xml:space="preserve">.</w:t>
      </w:r>
      <w:r>
        <w:rPr>
          <w:i/>
          <w:iCs/>
        </w:rPr>
        <w:t xml:space="preserve">g</w:t>
      </w:r>
      <w:r>
        <w:t xml:space="preserve">., Woorburne et al.</w:t>
      </w:r>
      <w:r>
        <w:rPr>
          <w:vertAlign w:val="superscript"/>
        </w:rPr>
        <w:t xml:space="preserve">11</w:t>
      </w:r>
      <w:r>
        <w:t xml:space="preserve"> </w:t>
      </w:r>
      <w:r>
        <w:t xml:space="preserve">and literature therein.</w:t>
      </w:r>
    </w:p>
    <w:p>
      <w:pPr>
        <w:pStyle w:val="BodyText"/>
      </w:pPr>
      <w:r>
        <w:t xml:space="preserve">Climate cooling associated to enhanced dispersal (FO 2024, 2025)</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36</w:t>
      </w:r>
      <w:r>
        <w:t xml:space="preserve">. Result of Figure 2C for</w:t>
      </w:r>
      <w:r>
        <w:t xml:space="preserve"> </w:t>
      </w:r>
      <m:oMath>
        <m:r>
          <m:t>M</m:t>
        </m:r>
        <m:r>
          <m:t>3</m:t>
        </m:r>
      </m:oMath>
      <w:r>
        <w:t xml:space="preserve"> </w:t>
      </w:r>
      <w:r>
        <w:t xml:space="preserve">can be related to tropical biome</w:t>
      </w:r>
    </w:p>
    <w:p>
      <w:pPr>
        <w:pStyle w:val="BodyText"/>
      </w:pPr>
      <w:r>
        <w:t xml:space="preserve">Effect of climate change to keep in mind for megafaunal extinctions</w:t>
      </w:r>
      <w:r>
        <w:rPr>
          <w:vertAlign w:val="superscript"/>
        </w:rPr>
        <w:t xml:space="preserve">55</w:t>
      </w:r>
    </w:p>
    <w:bookmarkEnd w:id="29"/>
    <w:bookmarkStart w:id="30" w:name="notes-about-tropical-niche-conservatism"/>
    <w:p>
      <w:pPr>
        <w:pStyle w:val="Heading2"/>
      </w:pPr>
      <w:r>
        <w:t xml:space="preserve">Notes about tropical niche conservatism</w:t>
      </w:r>
    </w:p>
    <w:p>
      <w:pPr>
        <w:pStyle w:val="FirstParagraph"/>
      </w:pPr>
      <w:r>
        <w:t xml:space="preserve">“</w:t>
      </w:r>
      <w:r>
        <w:t xml:space="preserve">mammal record is derived almost entirely from temperate-latitude fossils and includes few fossils from tropical forests, which may bias estimates of the direction of traffic between the continents</w:t>
      </w:r>
      <w:r>
        <w:t xml:space="preserve">”</w:t>
      </w:r>
      <w:r>
        <w:rPr>
          <w:vertAlign w:val="superscript"/>
        </w:rPr>
        <w:t xml:space="preserve">50</w:t>
      </w:r>
      <w:r>
        <w:t xml:space="preserve"> </w:t>
      </w:r>
      <w:r>
        <w:t xml:space="preserve">Could the apparent abiotic selectivity that facilitated the dispersal of temperate-adapted mammals be in fact a taphonomic bias? Could the empirically-derived migration imbalance be altered by the tropical niche conservatism of south-to-north migrants?</w:t>
      </w:r>
    </w:p>
    <w:p>
      <w:pPr>
        <w:pStyle w:val="BodyText"/>
      </w:pPr>
      <w:r>
        <w:t xml:space="preserve">Asymmetry of success postulated as a contributor to the LBG</w:t>
      </w:r>
    </w:p>
    <w:p>
      <w:pPr>
        <w:pStyle w:val="BodyText"/>
      </w:pPr>
      <w:r>
        <w:t xml:space="preserve">Our results highlight that successful simulations, either starting from North or South America, exhibit a strong tropical niche conservatism.</w:t>
      </w:r>
    </w:p>
    <w:p>
      <w:pPr>
        <w:pStyle w:val="BodyText"/>
      </w:pPr>
      <w:r>
        <w:t xml:space="preserve">North American taxa exhibit strong Tropical Niche Conservatism (TNC), but not South Americans, except for M0. TNC relaxed in M3.</w:t>
      </w:r>
    </w:p>
    <w:p>
      <w:pPr>
        <w:pStyle w:val="BodyText"/>
      </w:pPr>
      <w:r>
        <w:t xml:space="preserve">Faunistic uniqueness (ccl Tilson Smith et al. 2012 + discu Gilles)</w:t>
      </w:r>
    </w:p>
    <w:bookmarkEnd w:id="30"/>
    <w:bookmarkStart w:id="33" w:name="limitations-and-perspectives"/>
    <w:p>
      <w:pPr>
        <w:pStyle w:val="Heading2"/>
      </w:pPr>
      <w:r>
        <w:t xml:space="preserve">Limitations and perspectives</w:t>
      </w:r>
    </w:p>
    <w:bookmarkStart w:id="31" w:name="taxonomic-extinction-issue"/>
    <w:p>
      <w:pPr>
        <w:pStyle w:val="Heading3"/>
      </w:pPr>
      <w:r>
        <w:t xml:space="preserve">Taxonomic extinction issue</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b/>
          <w:bCs/>
          <w:vertAlign w:val="superscript"/>
        </w:rPr>
        <w:t xml:space="preserve">marshall1992?</w:t>
      </w:r>
      <w:r>
        <w:t xml:space="preserve"> </w:t>
      </w:r>
      <w:r>
        <w:t xml:space="preserve">indeed highlighted that northern immigrant genera experienced notoriously higher origination and lower extinction rates than native lineages in South America. They also quantified . More recently, using a probabilitic framework accounting for preservation heterogeneities to infer fossil-based macroevolutionary trends, Carrillo</w:t>
      </w:r>
      <w:r>
        <w:rPr>
          <w:vertAlign w:val="superscript"/>
        </w:rPr>
        <w:t xml:space="preserve">16</w:t>
      </w:r>
      <w:r>
        <w:t xml:space="preserve"> </w:t>
      </w:r>
      <w:r>
        <w:t xml:space="preserve">showed that the asymmetry of the GABI was not due to differences in origination or dispersal rates, but rather in extinction rates, with native South American lineages experiencing more extinction in their home range than migrant lineages. Unfortunately, our simulation framework did not allow us to test for this, as extinction issue (ref?)</w:t>
      </w:r>
    </w:p>
    <w:bookmarkEnd w:id="31"/>
    <w:bookmarkStart w:id="32" w:name="alternative-interchange-pathways"/>
    <w:p>
      <w:pPr>
        <w:pStyle w:val="Heading3"/>
      </w:pPr>
      <w:r>
        <w:t xml:space="preserve">Alternative interchange pathways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2</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56,57</w:t>
      </w:r>
      <w:r>
        <w:t xml:space="preserve">. Although over-water dispersal has long been regarded as the prevailing mechanism</w:t>
      </w:r>
      <w:r>
        <w:rPr>
          <w:vertAlign w:val="superscript"/>
        </w:rPr>
        <w:t xml:space="preserve">56</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58</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59</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Unrealistic timing of colonisation?</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Propose improvements relying on equal-area landscape !</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p>
      <w:r>
        <w:br w:type="page"/>
      </w:r>
    </w:p>
    <w:bookmarkEnd w:id="32"/>
    <w:bookmarkEnd w:id="33"/>
    <w:bookmarkEnd w:id="34"/>
    <w:bookmarkStart w:id="35" w:name="acknowledgements"/>
    <w:p>
      <w:pPr>
        <w:pStyle w:val="Heading1"/>
      </w:pPr>
      <w:r>
        <w:t xml:space="preserve">Acknowledgements</w:t>
      </w:r>
    </w:p>
    <w:p>
      <w:pPr>
        <w:pStyle w:val="FirstParagraph"/>
      </w:pPr>
      <w:r>
        <w:t xml:space="preserve">We thank Céline Devaux for her useful comments on the present work.</w:t>
      </w:r>
    </w:p>
    <w:p>
      <w:r>
        <w:br w:type="page"/>
      </w:r>
    </w:p>
    <w:bookmarkEnd w:id="35"/>
    <w:bookmarkStart w:id="36" w:name="thrash"/>
    <w:p>
      <w:pPr>
        <w:pStyle w:val="Heading1"/>
      </w:pPr>
      <w:r>
        <w:t xml:space="preserve">Thrash</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17</w:t>
      </w:r>
      <w:r>
        <w:t xml:space="preserve"> </w:t>
      </w:r>
      <w:r>
        <w:t xml:space="preserve">or sparassodonts – metatherian predators</w:t>
      </w:r>
      <w:r>
        <w:rPr>
          <w:vertAlign w:val="superscript"/>
        </w:rPr>
        <w:t xml:space="preserve">60</w:t>
      </w:r>
      <w:r>
        <w:t xml:space="preserve"> </w:t>
      </w:r>
      <w:r>
        <w:t xml:space="preserve">– that followed the establishment of northern lineages</w:t>
      </w:r>
      <w:r>
        <w:rPr>
          <w:vertAlign w:val="superscript"/>
        </w:rPr>
        <w:t xml:space="preserve">19</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20</w:t>
      </w:r>
      <w:r>
        <w:t xml:space="preserve">. Moreover, using phylogenetic regressions, Faurby et al.</w:t>
      </w:r>
      <w:r>
        <w:rPr>
          <w:vertAlign w:val="superscript"/>
        </w:rPr>
        <w:t xml:space="preserve">22</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25,26</w:t>
      </w:r>
      <w:r>
        <w:t xml:space="preserve">. Incorporating biotic compounds in mechanistic frameworks such as the one we have implemented here would be a nice way-to-go for future studies tackling the asymmetry behind the GABI.</w:t>
      </w:r>
    </w:p>
    <w:bookmarkEnd w:id="36"/>
    <w:bookmarkStart w:id="155" w:name="references"/>
    <w:p>
      <w:pPr>
        <w:pStyle w:val="Heading1"/>
      </w:pPr>
      <w:r>
        <w:t xml:space="preserve">References</w:t>
      </w:r>
    </w:p>
    <w:bookmarkStart w:id="154" w:name="refs"/>
    <w:bookmarkStart w:id="38" w:name="ref-webb1976"/>
    <w:p>
      <w:pPr>
        <w:pStyle w:val="Bibliography"/>
      </w:pPr>
      <w:r>
        <w:t xml:space="preserve">1.</w:t>
      </w:r>
      <w:r>
        <w:t xml:space="preserve"> </w:t>
      </w:r>
      <w:r>
        <w:t xml:space="preserve">	</w:t>
      </w:r>
      <w:r>
        <w:t xml:space="preserve">Webb, S.D. (1976).</w:t>
      </w:r>
      <w:r>
        <w:t xml:space="preserve"> </w:t>
      </w:r>
      <w:hyperlink r:id="rId37">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38"/>
    <w:bookmarkStart w:id="40" w:name="ref-marshall1982"/>
    <w:p>
      <w:pPr>
        <w:pStyle w:val="Bibliography"/>
      </w:pPr>
      <w:r>
        <w:t xml:space="preserve">2.</w:t>
      </w:r>
      <w:r>
        <w:t xml:space="preserve"> </w:t>
      </w:r>
      <w:r>
        <w:t xml:space="preserve">	</w:t>
      </w:r>
      <w:r>
        <w:t xml:space="preserve">Marshall, L.G., Webb, S.D., Sepkoski, J.J., and Raup, D.M. (1982).</w:t>
      </w:r>
      <w:r>
        <w:t xml:space="preserve"> </w:t>
      </w:r>
      <w:hyperlink r:id="rId39">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40"/>
    <w:bookmarkStart w:id="42" w:name="ref-stehli_great_1985"/>
    <w:p>
      <w:pPr>
        <w:pStyle w:val="Bibliography"/>
      </w:pPr>
      <w:r>
        <w:t xml:space="preserve">3.</w:t>
      </w:r>
      <w:r>
        <w:t xml:space="preserve"> </w:t>
      </w:r>
      <w:r>
        <w:t xml:space="preserve">	</w:t>
      </w:r>
      <w:r>
        <w:t xml:space="preserve">Stehli, F.G., and Webb, S.D. eds. (1985). The great american biotic interchange Plenum Press. (Springer</w:t>
      </w:r>
      <w:r>
        <w:t xml:space="preserve"> </w:t>
      </w:r>
      <w:r>
        <w:t xml:space="preserve">US</w:t>
      </w:r>
      <w:r>
        <w:t xml:space="preserve">)</w:t>
      </w:r>
      <w:r>
        <w:t xml:space="preserve"> </w:t>
      </w:r>
      <w:hyperlink r:id="rId41">
        <w:r>
          <w:rPr>
            <w:rStyle w:val="Hyperlink"/>
          </w:rPr>
          <w:t xml:space="preserve">https://doi.org/10.1007/978-1-4684-9181-4</w:t>
        </w:r>
      </w:hyperlink>
      <w:r>
        <w:t xml:space="preserve">.</w:t>
      </w:r>
    </w:p>
    <w:bookmarkEnd w:id="42"/>
    <w:bookmarkStart w:id="44" w:name="ref-montes2015"/>
    <w:p>
      <w:pPr>
        <w:pStyle w:val="Bibliography"/>
      </w:pPr>
      <w:r>
        <w:t xml:space="preserve">4.</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3">
        <w:r>
          <w:rPr>
            <w:rStyle w:val="Hyperlink"/>
          </w:rPr>
          <w:t xml:space="preserve">https://doi.org/10.1126/science.aaa2815</w:t>
        </w:r>
      </w:hyperlink>
      <w:r>
        <w:t xml:space="preserve">.</w:t>
      </w:r>
    </w:p>
    <w:bookmarkEnd w:id="44"/>
    <w:bookmarkStart w:id="46" w:name="ref-jaramillo2018"/>
    <w:p>
      <w:pPr>
        <w:pStyle w:val="Bibliography"/>
      </w:pPr>
      <w:r>
        <w:t xml:space="preserve">5.</w:t>
      </w:r>
      <w:r>
        <w:t xml:space="preserve"> </w:t>
      </w:r>
      <w:r>
        <w:t xml:space="preserve">	</w:t>
      </w:r>
      <w:r>
        <w:t xml:space="preserve">Jaramillo, C.A. (2018).</w:t>
      </w:r>
      <w:r>
        <w:t xml:space="preserve"> </w:t>
      </w:r>
      <w:hyperlink r:id="rId45">
        <w:r>
          <w:rPr>
            <w:rStyle w:val="Hyperlink"/>
          </w:rPr>
          <w:t xml:space="preserve">Evolution of the isthmus of panama: Biological, paleoceanographic and paleoclimatological implications</w:t>
        </w:r>
      </w:hyperlink>
      <w:r>
        <w:t xml:space="preserve">. In (John Wiley &amp; Sons).</w:t>
      </w:r>
    </w:p>
    <w:bookmarkEnd w:id="46"/>
    <w:bookmarkStart w:id="48" w:name="ref-odea2016"/>
    <w:p>
      <w:pPr>
        <w:pStyle w:val="Bibliography"/>
      </w:pPr>
      <w:r>
        <w:t xml:space="preserve">6.</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7">
        <w:r>
          <w:rPr>
            <w:rStyle w:val="Hyperlink"/>
          </w:rPr>
          <w:t xml:space="preserve">https://doi.org/10.1126/sciadv.1600883</w:t>
        </w:r>
      </w:hyperlink>
      <w:r>
        <w:t xml:space="preserve">.</w:t>
      </w:r>
    </w:p>
    <w:bookmarkEnd w:id="48"/>
    <w:bookmarkStart w:id="50" w:name="ref-bourke2025"/>
    <w:p>
      <w:pPr>
        <w:pStyle w:val="Bibliography"/>
      </w:pPr>
      <w:r>
        <w:t xml:space="preserve">7.</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9">
        <w:r>
          <w:rPr>
            <w:rStyle w:val="Hyperlink"/>
          </w:rPr>
          <w:t xml:space="preserve">https://doi.org/10.1029/2025GC012288</w:t>
        </w:r>
      </w:hyperlink>
      <w:r>
        <w:t xml:space="preserve">.</w:t>
      </w:r>
    </w:p>
    <w:bookmarkEnd w:id="50"/>
    <w:bookmarkStart w:id="52" w:name="ref-verzi2008"/>
    <w:p>
      <w:pPr>
        <w:pStyle w:val="Bibliography"/>
      </w:pPr>
      <w:r>
        <w:t xml:space="preserve">8.</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51">
        <w:r>
          <w:rPr>
            <w:rStyle w:val="Hyperlink"/>
          </w:rPr>
          <w:t xml:space="preserve">https://doi.org/10.1016/j.geobios.2006.09.005</w:t>
        </w:r>
      </w:hyperlink>
      <w:r>
        <w:t xml:space="preserve">.</w:t>
      </w:r>
    </w:p>
    <w:bookmarkEnd w:id="52"/>
    <w:bookmarkStart w:id="54" w:name="ref-tedford2004"/>
    <w:p>
      <w:pPr>
        <w:pStyle w:val="Bibliography"/>
      </w:pPr>
      <w:r>
        <w:t xml:space="preserve">9.</w:t>
      </w:r>
      <w:r>
        <w:t xml:space="preserve"> </w:t>
      </w:r>
      <w:r>
        <w:t xml:space="preserve">	</w:t>
      </w:r>
      <w:r>
        <w:t xml:space="preserve">Tedford, R.H., Albright, L.B., Barnosky, A.D., Ferrusquia-Villafranca, I., Hunt, R.M., Storer, J.E., Swisher, C.C., Voorhies, M.R., Webb, S.D., and Whistler, D.P. (2004).</w:t>
      </w:r>
      <w:r>
        <w:t xml:space="preserve"> </w:t>
      </w:r>
      <w:hyperlink r:id="rId53">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54"/>
    <w:bookmarkStart w:id="56" w:name="ref-carrillo2015"/>
    <w:p>
      <w:pPr>
        <w:pStyle w:val="Bibliography"/>
      </w:pPr>
      <w:r>
        <w:t xml:space="preserve">10.</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5">
        <w:r>
          <w:rPr>
            <w:rStyle w:val="Hyperlink"/>
          </w:rPr>
          <w:t xml:space="preserve">https://doi.org/10.3389/fgene.2014.00451</w:t>
        </w:r>
      </w:hyperlink>
      <w:r>
        <w:t xml:space="preserve">.</w:t>
      </w:r>
    </w:p>
    <w:bookmarkEnd w:id="56"/>
    <w:bookmarkStart w:id="58" w:name="ref-woodburne2010"/>
    <w:p>
      <w:pPr>
        <w:pStyle w:val="Bibliography"/>
      </w:pPr>
      <w:r>
        <w:t xml:space="preserve">11.</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7">
        <w:r>
          <w:rPr>
            <w:rStyle w:val="Hyperlink"/>
          </w:rPr>
          <w:t xml:space="preserve">https://doi.org/10.1007/s10914-010-9144-8</w:t>
        </w:r>
      </w:hyperlink>
      <w:r>
        <w:t xml:space="preserve">.</w:t>
      </w:r>
    </w:p>
    <w:bookmarkEnd w:id="58"/>
    <w:bookmarkStart w:id="60" w:name="ref-bacon2015"/>
    <w:p>
      <w:pPr>
        <w:pStyle w:val="Bibliography"/>
      </w:pPr>
      <w:r>
        <w:t xml:space="preserve">12.</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9">
        <w:r>
          <w:rPr>
            <w:rStyle w:val="Hyperlink"/>
          </w:rPr>
          <w:t xml:space="preserve">https://doi.org/10.1073/pnas.1423853112</w:t>
        </w:r>
      </w:hyperlink>
      <w:r>
        <w:t xml:space="preserve">.</w:t>
      </w:r>
    </w:p>
    <w:bookmarkEnd w:id="60"/>
    <w:bookmarkStart w:id="62" w:name="ref-bacon2016"/>
    <w:p>
      <w:pPr>
        <w:pStyle w:val="Bibliography"/>
      </w:pPr>
      <w:r>
        <w:t xml:space="preserve">13.</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61">
        <w:r>
          <w:rPr>
            <w:rStyle w:val="Hyperlink"/>
          </w:rPr>
          <w:t xml:space="preserve">https://doi.org/10.1130/G37624.1</w:t>
        </w:r>
      </w:hyperlink>
      <w:r>
        <w:t xml:space="preserve">.</w:t>
      </w:r>
    </w:p>
    <w:bookmarkEnd w:id="62"/>
    <w:bookmarkStart w:id="64" w:name="ref-webb1991"/>
    <w:p>
      <w:pPr>
        <w:pStyle w:val="Bibliography"/>
      </w:pPr>
      <w:r>
        <w:t xml:space="preserve">14.</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3">
        <w:r>
          <w:rPr>
            <w:rStyle w:val="Hyperlink"/>
          </w:rPr>
          <w:t xml:space="preserve">https://doi.org/10.1017/S0094837300010605</w:t>
        </w:r>
      </w:hyperlink>
      <w:r>
        <w:t xml:space="preserve">.</w:t>
      </w:r>
    </w:p>
    <w:bookmarkEnd w:id="64"/>
    <w:bookmarkStart w:id="66" w:name="ref-cione2015"/>
    <w:p>
      <w:pPr>
        <w:pStyle w:val="Bibliography"/>
      </w:pPr>
      <w:r>
        <w:t xml:space="preserve">15.</w:t>
      </w:r>
      <w:r>
        <w:t xml:space="preserve"> </w:t>
      </w:r>
      <w:r>
        <w:t xml:space="preserve">	</w:t>
      </w:r>
      <w:r>
        <w:t xml:space="preserve">Cione, A.L., Gasparini, G.M., Soibelzon, E., Soibelzon, L.H., and Tonni, E.P. (2015).</w:t>
      </w:r>
      <w:r>
        <w:t xml:space="preserve"> </w:t>
      </w:r>
      <w:hyperlink r:id="rId65">
        <w:r>
          <w:rPr>
            <w:rStyle w:val="Hyperlink"/>
          </w:rPr>
          <w:t xml:space="preserve">The Great American Biotic Interchange: A South American Perspective</w:t>
        </w:r>
      </w:hyperlink>
      <w:r>
        <w:t xml:space="preserve"> </w:t>
      </w:r>
      <w:r>
        <w:t xml:space="preserve">(Springer Netherlands).</w:t>
      </w:r>
    </w:p>
    <w:bookmarkEnd w:id="66"/>
    <w:bookmarkStart w:id="68" w:name="ref-carrillo2020"/>
    <w:p>
      <w:pPr>
        <w:pStyle w:val="Bibliography"/>
      </w:pPr>
      <w:r>
        <w:t xml:space="preserve">16.</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7">
        <w:r>
          <w:rPr>
            <w:rStyle w:val="Hyperlink"/>
          </w:rPr>
          <w:t xml:space="preserve">https://doi.org/10.1073/pnas.2009397117</w:t>
        </w:r>
      </w:hyperlink>
      <w:r>
        <w:t xml:space="preserve">.</w:t>
      </w:r>
    </w:p>
    <w:bookmarkEnd w:id="68"/>
    <w:bookmarkStart w:id="70" w:name="ref-croft2020"/>
    <w:p>
      <w:pPr>
        <w:pStyle w:val="Bibliography"/>
      </w:pPr>
      <w:r>
        <w:t xml:space="preserve">17.</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9">
        <w:r>
          <w:rPr>
            <w:rStyle w:val="Hyperlink"/>
          </w:rPr>
          <w:t xml:space="preserve">https://doi.org/10.1146/annurev-earth-072619-060126</w:t>
        </w:r>
      </w:hyperlink>
      <w:r>
        <w:t xml:space="preserve">.</w:t>
      </w:r>
    </w:p>
    <w:bookmarkEnd w:id="70"/>
    <w:bookmarkStart w:id="72" w:name="ref-boscaini2025"/>
    <w:p>
      <w:pPr>
        <w:pStyle w:val="Bibliography"/>
      </w:pPr>
      <w:r>
        <w:t xml:space="preserve">18.</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71">
        <w:r>
          <w:rPr>
            <w:rStyle w:val="Hyperlink"/>
          </w:rPr>
          <w:t xml:space="preserve">https://doi.org/10.1126/science.adu0704</w:t>
        </w:r>
      </w:hyperlink>
      <w:r>
        <w:t xml:space="preserve">.</w:t>
      </w:r>
    </w:p>
    <w:bookmarkEnd w:id="72"/>
    <w:bookmarkStart w:id="73" w:name="ref-simpson1980"/>
    <w:p>
      <w:pPr>
        <w:pStyle w:val="Bibliography"/>
      </w:pPr>
      <w:r>
        <w:t xml:space="preserve">19.</w:t>
      </w:r>
      <w:r>
        <w:t xml:space="preserve"> </w:t>
      </w:r>
      <w:r>
        <w:t xml:space="preserve">	</w:t>
      </w:r>
      <w:r>
        <w:t xml:space="preserve">Simpson, G.G. (1980). Splendid isolation : The curious history of south american mammals Yale University Press, New Haven.</w:t>
      </w:r>
    </w:p>
    <w:bookmarkEnd w:id="73"/>
    <w:bookmarkStart w:id="75" w:name="ref-domingo2020"/>
    <w:p>
      <w:pPr>
        <w:pStyle w:val="Bibliography"/>
      </w:pPr>
      <w:r>
        <w:t xml:space="preserve">20.</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4">
        <w:r>
          <w:rPr>
            <w:rStyle w:val="Hyperlink"/>
          </w:rPr>
          <w:t xml:space="preserve">https://doi.org/10.1038/s41598-020-58575-6</w:t>
        </w:r>
      </w:hyperlink>
      <w:r>
        <w:t xml:space="preserve">.</w:t>
      </w:r>
    </w:p>
    <w:bookmarkEnd w:id="75"/>
    <w:bookmarkStart w:id="76" w:name="ref-marshall1990"/>
    <w:p>
      <w:pPr>
        <w:pStyle w:val="Bibliography"/>
      </w:pPr>
      <w:r>
        <w:t xml:space="preserve">21.</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6"/>
    <w:bookmarkStart w:id="78" w:name="ref-faurby2016"/>
    <w:p>
      <w:pPr>
        <w:pStyle w:val="Bibliography"/>
      </w:pPr>
      <w:r>
        <w:t xml:space="preserve">22.</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7">
        <w:r>
          <w:rPr>
            <w:rStyle w:val="Hyperlink"/>
          </w:rPr>
          <w:t xml:space="preserve">https://doi.org/10.1111/geb.12504</w:t>
        </w:r>
      </w:hyperlink>
      <w:r>
        <w:t xml:space="preserve">.</w:t>
      </w:r>
    </w:p>
    <w:bookmarkEnd w:id="78"/>
    <w:bookmarkStart w:id="80" w:name="ref-fernández-monescillo2025"/>
    <w:p>
      <w:pPr>
        <w:pStyle w:val="Bibliography"/>
      </w:pPr>
      <w:r>
        <w:t xml:space="preserve">23.</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9">
        <w:r>
          <w:rPr>
            <w:rStyle w:val="Hyperlink"/>
          </w:rPr>
          <w:t xml:space="preserve">https://doi.org/10.1111/pala.70012</w:t>
        </w:r>
      </w:hyperlink>
      <w:r>
        <w:t xml:space="preserve">.</w:t>
      </w:r>
    </w:p>
    <w:bookmarkEnd w:id="80"/>
    <w:bookmarkStart w:id="82" w:name="ref-vrba1992"/>
    <w:p>
      <w:pPr>
        <w:pStyle w:val="Bibliography"/>
      </w:pPr>
      <w:r>
        <w:t xml:space="preserve">24.</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81">
        <w:r>
          <w:rPr>
            <w:rStyle w:val="Hyperlink"/>
          </w:rPr>
          <w:t xml:space="preserve">https://doi.org/10.2307/1381862</w:t>
        </w:r>
      </w:hyperlink>
      <w:r>
        <w:t xml:space="preserve">.</w:t>
      </w:r>
    </w:p>
    <w:bookmarkEnd w:id="82"/>
    <w:bookmarkStart w:id="84" w:name="ref-prevosti2013"/>
    <w:p>
      <w:pPr>
        <w:pStyle w:val="Bibliography"/>
      </w:pPr>
      <w:r>
        <w:t xml:space="preserve">25.</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3">
        <w:r>
          <w:rPr>
            <w:rStyle w:val="Hyperlink"/>
          </w:rPr>
          <w:t xml:space="preserve">https://doi.org/10.1007/s10914-011-9175-9</w:t>
        </w:r>
      </w:hyperlink>
      <w:r>
        <w:t xml:space="preserve">.</w:t>
      </w:r>
    </w:p>
    <w:bookmarkEnd w:id="84"/>
    <w:bookmarkStart w:id="86" w:name="ref-tarquini2022"/>
    <w:p>
      <w:pPr>
        <w:pStyle w:val="Bibliography"/>
      </w:pPr>
      <w:r>
        <w:t xml:space="preserve">26.</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5">
        <w:r>
          <w:rPr>
            <w:rStyle w:val="Hyperlink"/>
          </w:rPr>
          <w:t xml:space="preserve">https://doi.org/10.1038/s41598-022-05266-z</w:t>
        </w:r>
      </w:hyperlink>
      <w:r>
        <w:t xml:space="preserve">.</w:t>
      </w:r>
    </w:p>
    <w:bookmarkEnd w:id="86"/>
    <w:bookmarkStart w:id="88" w:name="ref-marsà2025"/>
    <w:p>
      <w:pPr>
        <w:pStyle w:val="Bibliography"/>
      </w:pPr>
      <w:r>
        <w:t xml:space="preserve">27.</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7">
        <w:r>
          <w:rPr>
            <w:rStyle w:val="Hyperlink"/>
          </w:rPr>
          <w:t xml:space="preserve">https://doi.org/10.3390/d17030153</w:t>
        </w:r>
      </w:hyperlink>
      <w:r>
        <w:t xml:space="preserve">.</w:t>
      </w:r>
    </w:p>
    <w:bookmarkEnd w:id="88"/>
    <w:bookmarkStart w:id="90" w:name="ref-freitas-oliveira_no_2024"/>
    <w:p>
      <w:pPr>
        <w:pStyle w:val="Bibliography"/>
      </w:pPr>
      <w:r>
        <w:t xml:space="preserve">28.</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9">
        <w:r>
          <w:rPr>
            <w:rStyle w:val="Hyperlink"/>
          </w:rPr>
          <w:t xml:space="preserve">https://doi.org/10.1038/s44185-024-00045-7</w:t>
        </w:r>
      </w:hyperlink>
      <w:r>
        <w:t xml:space="preserve">.</w:t>
      </w:r>
    </w:p>
    <w:bookmarkEnd w:id="90"/>
    <w:bookmarkStart w:id="91" w:name="ref-freitas-oliveira2024"/>
    <w:p>
      <w:pPr>
        <w:pStyle w:val="Bibliography"/>
      </w:pPr>
      <w:r>
        <w:t xml:space="preserve">29.</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9">
        <w:r>
          <w:rPr>
            <w:rStyle w:val="Hyperlink"/>
          </w:rPr>
          <w:t xml:space="preserve">https://doi.org/10.1038/s44185-024-00045-7</w:t>
        </w:r>
      </w:hyperlink>
      <w:r>
        <w:t xml:space="preserve">.</w:t>
      </w:r>
    </w:p>
    <w:bookmarkEnd w:id="91"/>
    <w:bookmarkStart w:id="93" w:name="ref-freitas-oliveira2025"/>
    <w:p>
      <w:pPr>
        <w:pStyle w:val="Bibliography"/>
      </w:pPr>
      <w:r>
        <w:t xml:space="preserve">30.</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92">
        <w:r>
          <w:rPr>
            <w:rStyle w:val="Hyperlink"/>
          </w:rPr>
          <w:t xml:space="preserve">https://doi.org/10.1098/rspb.2025.1745</w:t>
        </w:r>
      </w:hyperlink>
      <w:r>
        <w:t xml:space="preserve">.</w:t>
      </w:r>
    </w:p>
    <w:bookmarkEnd w:id="93"/>
    <w:bookmarkStart w:id="95" w:name="ref-pilowsky2022"/>
    <w:p>
      <w:pPr>
        <w:pStyle w:val="Bibliography"/>
      </w:pPr>
      <w:r>
        <w:t xml:space="preserve">31.</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4">
        <w:r>
          <w:rPr>
            <w:rStyle w:val="Hyperlink"/>
          </w:rPr>
          <w:t xml:space="preserve">https://doi.org/10.1126/sciadv.abj2271</w:t>
        </w:r>
      </w:hyperlink>
      <w:r>
        <w:t xml:space="preserve">.</w:t>
      </w:r>
    </w:p>
    <w:bookmarkEnd w:id="95"/>
    <w:bookmarkStart w:id="97" w:name="ref-hagen2023"/>
    <w:p>
      <w:pPr>
        <w:pStyle w:val="Bibliography"/>
      </w:pPr>
      <w:r>
        <w:t xml:space="preserve">32.</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6">
        <w:r>
          <w:rPr>
            <w:rStyle w:val="Hyperlink"/>
          </w:rPr>
          <w:t xml:space="preserve">https://doi.org/10.1111/ecog.06132</w:t>
        </w:r>
      </w:hyperlink>
      <w:r>
        <w:t xml:space="preserve">.</w:t>
      </w:r>
    </w:p>
    <w:bookmarkEnd w:id="97"/>
    <w:bookmarkStart w:id="99" w:name="ref-hagen2021"/>
    <w:p>
      <w:pPr>
        <w:pStyle w:val="Bibliography"/>
      </w:pPr>
      <w:r>
        <w:t xml:space="preserve">33.</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8">
        <w:r>
          <w:rPr>
            <w:rStyle w:val="Hyperlink"/>
          </w:rPr>
          <w:t xml:space="preserve">https://doi.org/10.1371/journal.pbio.3001340</w:t>
        </w:r>
      </w:hyperlink>
      <w:r>
        <w:t xml:space="preserve">.</w:t>
      </w:r>
    </w:p>
    <w:bookmarkEnd w:id="99"/>
    <w:bookmarkStart w:id="101" w:name="ref-lorcery2025"/>
    <w:p>
      <w:pPr>
        <w:pStyle w:val="Bibliography"/>
      </w:pPr>
      <w:r>
        <w:t xml:space="preserve">34.</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100">
        <w:r>
          <w:rPr>
            <w:rStyle w:val="Hyperlink"/>
          </w:rPr>
          <w:t xml:space="preserve">https://doi.org/10.1371/journal.pone.0332766</w:t>
        </w:r>
      </w:hyperlink>
      <w:r>
        <w:t xml:space="preserve">.</w:t>
      </w:r>
    </w:p>
    <w:bookmarkEnd w:id="101"/>
    <w:bookmarkStart w:id="103" w:name="ref-hagen2021b"/>
    <w:p>
      <w:pPr>
        <w:pStyle w:val="Bibliography"/>
      </w:pPr>
      <w:r>
        <w:t xml:space="preserve">35.</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102">
        <w:r>
          <w:rPr>
            <w:rStyle w:val="Hyperlink"/>
          </w:rPr>
          <w:t xml:space="preserve">https://doi.org/10.1073/pnas.2026347118</w:t>
        </w:r>
      </w:hyperlink>
      <w:r>
        <w:t xml:space="preserve">.</w:t>
      </w:r>
    </w:p>
    <w:bookmarkEnd w:id="103"/>
    <w:bookmarkStart w:id="105" w:name="ref-skeels2023b"/>
    <w:p>
      <w:pPr>
        <w:pStyle w:val="Bibliography"/>
      </w:pPr>
      <w:r>
        <w:t xml:space="preserve">36.</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4">
        <w:r>
          <w:rPr>
            <w:rStyle w:val="Hyperlink"/>
          </w:rPr>
          <w:t xml:space="preserve">https://doi.org/10.1126/science.adf7122</w:t>
        </w:r>
      </w:hyperlink>
      <w:r>
        <w:t xml:space="preserve">.</w:t>
      </w:r>
    </w:p>
    <w:bookmarkEnd w:id="105"/>
    <w:bookmarkStart w:id="107" w:name="ref-boschman2023"/>
    <w:p>
      <w:pPr>
        <w:pStyle w:val="Bibliography"/>
      </w:pPr>
      <w:r>
        <w:t xml:space="preserve">37.</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6">
        <w:r>
          <w:rPr>
            <w:rStyle w:val="Hyperlink"/>
          </w:rPr>
          <w:t xml:space="preserve">https://doi.org/10.1038/s41559-023-02220-8</w:t>
        </w:r>
      </w:hyperlink>
      <w:r>
        <w:t xml:space="preserve">.</w:t>
      </w:r>
    </w:p>
    <w:bookmarkEnd w:id="107"/>
    <w:bookmarkStart w:id="109" w:name="ref-skeels2023"/>
    <w:p>
      <w:pPr>
        <w:pStyle w:val="Bibliography"/>
      </w:pPr>
      <w:r>
        <w:t xml:space="preserve">38.</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8">
        <w:r>
          <w:rPr>
            <w:rStyle w:val="Hyperlink"/>
          </w:rPr>
          <w:t xml:space="preserve">https://doi.org/10.1093/sysbio/syac048</w:t>
        </w:r>
      </w:hyperlink>
      <w:r>
        <w:t xml:space="preserve">.</w:t>
      </w:r>
    </w:p>
    <w:bookmarkEnd w:id="109"/>
    <w:bookmarkStart w:id="111" w:name="ref-liu2024"/>
    <w:p>
      <w:pPr>
        <w:pStyle w:val="Bibliography"/>
      </w:pPr>
      <w:r>
        <w:t xml:space="preserve">39.</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10">
        <w:r>
          <w:rPr>
            <w:rStyle w:val="Hyperlink"/>
          </w:rPr>
          <w:t xml:space="preserve">https://doi.org/10.1126/science.adi0833</w:t>
        </w:r>
      </w:hyperlink>
      <w:r>
        <w:t xml:space="preserve">.</w:t>
      </w:r>
    </w:p>
    <w:bookmarkEnd w:id="111"/>
    <w:bookmarkStart w:id="113" w:name="ref-holden2019"/>
    <w:p>
      <w:pPr>
        <w:pStyle w:val="Bibliography"/>
      </w:pPr>
      <w:r>
        <w:t xml:space="preserve">40.</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12">
        <w:r>
          <w:rPr>
            <w:rStyle w:val="Hyperlink"/>
          </w:rPr>
          <w:t xml:space="preserve">https://doi.org/10.5194/gmd-12-5137-2019</w:t>
        </w:r>
      </w:hyperlink>
      <w:r>
        <w:t xml:space="preserve">.</w:t>
      </w:r>
    </w:p>
    <w:bookmarkEnd w:id="113"/>
    <w:bookmarkStart w:id="115" w:name="ref-barreto2023"/>
    <w:p>
      <w:pPr>
        <w:pStyle w:val="Bibliography"/>
      </w:pPr>
      <w:r>
        <w:t xml:space="preserve">41.</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4">
        <w:r>
          <w:rPr>
            <w:rStyle w:val="Hyperlink"/>
          </w:rPr>
          <w:t xml:space="preserve">https://doi.org/10.1111/geb.13683</w:t>
        </w:r>
      </w:hyperlink>
      <w:r>
        <w:t xml:space="preserve">.</w:t>
      </w:r>
    </w:p>
    <w:bookmarkEnd w:id="115"/>
    <w:bookmarkStart w:id="117" w:name="ref-beck2018"/>
    <w:p>
      <w:pPr>
        <w:pStyle w:val="Bibliography"/>
      </w:pPr>
      <w:r>
        <w:t xml:space="preserve">42.</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6">
        <w:r>
          <w:rPr>
            <w:rStyle w:val="Hyperlink"/>
          </w:rPr>
          <w:t xml:space="preserve">https://doi.org/10.1038/sdata.2018.214</w:t>
        </w:r>
      </w:hyperlink>
      <w:r>
        <w:t xml:space="preserve">.</w:t>
      </w:r>
    </w:p>
    <w:bookmarkEnd w:id="117"/>
    <w:bookmarkStart w:id="119" w:name="ref-galván2023"/>
    <w:p>
      <w:pPr>
        <w:pStyle w:val="Bibliography"/>
      </w:pPr>
      <w:r>
        <w:t xml:space="preserve">43.</w:t>
      </w:r>
      <w:r>
        <w:t xml:space="preserve"> </w:t>
      </w:r>
      <w:r>
        <w:t xml:space="preserve">	</w:t>
      </w:r>
      <w:r>
        <w:t xml:space="preserve">Galván, S., Gamboa, S., and Varela, S. (2023).</w:t>
      </w:r>
      <w:r>
        <w:t xml:space="preserve"> </w:t>
      </w:r>
      <w:hyperlink r:id="rId118">
        <w:r>
          <w:rPr>
            <w:rStyle w:val="Hyperlink"/>
          </w:rPr>
          <w:t xml:space="preserve">Köppen Geiger climatic classification for R users.</w:t>
        </w:r>
      </w:hyperlink>
    </w:p>
    <w:bookmarkEnd w:id="119"/>
    <w:bookmarkStart w:id="120" w:name="ref-macarthur1967"/>
    <w:p>
      <w:pPr>
        <w:pStyle w:val="Bibliography"/>
      </w:pPr>
      <w:r>
        <w:t xml:space="preserve">44.</w:t>
      </w:r>
      <w:r>
        <w:t xml:space="preserve"> </w:t>
      </w:r>
      <w:r>
        <w:t xml:space="preserve">	</w:t>
      </w:r>
      <w:r>
        <w:t xml:space="preserve">MacArthur, R.H., and Wilson, E.O. (1967). The theory of island biogeography Princeton University Press.</w:t>
      </w:r>
    </w:p>
    <w:bookmarkEnd w:id="120"/>
    <w:bookmarkStart w:id="122" w:name="ref-willig2003"/>
    <w:p>
      <w:pPr>
        <w:pStyle w:val="Bibliography"/>
      </w:pPr>
      <w:r>
        <w:t xml:space="preserve">45.</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21">
        <w:r>
          <w:rPr>
            <w:rStyle w:val="Hyperlink"/>
          </w:rPr>
          <w:t xml:space="preserve">https://doi.org/10.1146/annurev.ecolsys.34.012103.144032</w:t>
        </w:r>
      </w:hyperlink>
      <w:r>
        <w:t xml:space="preserve">.</w:t>
      </w:r>
    </w:p>
    <w:bookmarkEnd w:id="122"/>
    <w:bookmarkStart w:id="124" w:name="ref-raven2020"/>
    <w:p>
      <w:pPr>
        <w:pStyle w:val="Bibliography"/>
      </w:pPr>
      <w:r>
        <w:t xml:space="preserve">46.</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23">
        <w:r>
          <w:rPr>
            <w:rStyle w:val="Hyperlink"/>
          </w:rPr>
          <w:t xml:space="preserve">https://doi.org/10.1126/sciadv.abc6228</w:t>
        </w:r>
      </w:hyperlink>
      <w:r>
        <w:t xml:space="preserve">.</w:t>
      </w:r>
    </w:p>
    <w:bookmarkEnd w:id="124"/>
    <w:bookmarkStart w:id="125" w:name="ref-lomolino2006"/>
    <w:p>
      <w:pPr>
        <w:pStyle w:val="Bibliography"/>
      </w:pPr>
      <w:r>
        <w:t xml:space="preserve">47.</w:t>
      </w:r>
      <w:r>
        <w:t xml:space="preserve"> </w:t>
      </w:r>
      <w:r>
        <w:t xml:space="preserve">	</w:t>
      </w:r>
      <w:r>
        <w:t xml:space="preserve">Lomolino, M.V., Riddle, B.R., and Brown, J.H. (2006). The geography of divesification</w:t>
      </w:r>
      <w:r>
        <w:t xml:space="preserve"> </w:t>
      </w:r>
      <w:r>
        <w:t xml:space="preserve">-</w:t>
      </w:r>
      <w:r>
        <w:t xml:space="preserve"> </w:t>
      </w:r>
      <w:r>
        <w:t xml:space="preserve">the great american biotic interchange. In (Sinauer Associates Inc.), pp. 406–413.</w:t>
      </w:r>
    </w:p>
    <w:bookmarkEnd w:id="125"/>
    <w:bookmarkStart w:id="127" w:name="ref-chakrabarty2011"/>
    <w:p>
      <w:pPr>
        <w:pStyle w:val="Bibliography"/>
      </w:pPr>
      <w:r>
        <w:t xml:space="preserve">48.</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6">
        <w:r>
          <w:rPr>
            <w:rStyle w:val="Hyperlink"/>
          </w:rPr>
          <w:t xml:space="preserve">https://doi.org/10.1525/california/9780520268685.003.0018</w:t>
        </w:r>
      </w:hyperlink>
      <w:r>
        <w:t xml:space="preserve">.</w:t>
      </w:r>
    </w:p>
    <w:bookmarkEnd w:id="127"/>
    <w:bookmarkStart w:id="129" w:name="ref-smith2012"/>
    <w:p>
      <w:pPr>
        <w:pStyle w:val="Bibliography"/>
      </w:pPr>
      <w:r>
        <w:t xml:space="preserve">49.</w:t>
      </w:r>
      <w:r>
        <w:t xml:space="preserve"> </w:t>
      </w:r>
      <w:r>
        <w:t xml:space="preserve">	</w:t>
      </w:r>
      <w:r>
        <w:t xml:space="preserve">Smith, B.T., Bryson Jr., R.W., Houston, D.D., and Klicka, J. (2012). An asymmetry in niche conservatism contributes to the latitudinal species diversity gradient in New World vertebrates. Ecology Letters</w:t>
      </w:r>
      <w:r>
        <w:t xml:space="preserve"> </w:t>
      </w:r>
      <w:r>
        <w:rPr>
          <w:i/>
          <w:iCs/>
        </w:rPr>
        <w:t xml:space="preserve">15</w:t>
      </w:r>
      <w:r>
        <w:t xml:space="preserve">, 1318–1325.</w:t>
      </w:r>
      <w:r>
        <w:t xml:space="preserve"> </w:t>
      </w:r>
      <w:hyperlink r:id="rId128">
        <w:r>
          <w:rPr>
            <w:rStyle w:val="Hyperlink"/>
          </w:rPr>
          <w:t xml:space="preserve">https://doi.org/10.1111/j.1461-0248.2012.01855.x</w:t>
        </w:r>
      </w:hyperlink>
      <w:r>
        <w:t xml:space="preserve">.</w:t>
      </w:r>
    </w:p>
    <w:bookmarkEnd w:id="129"/>
    <w:bookmarkStart w:id="131" w:name="ref-weir2009"/>
    <w:p>
      <w:pPr>
        <w:pStyle w:val="Bibliography"/>
      </w:pPr>
      <w:r>
        <w:t xml:space="preserve">50.</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30">
        <w:r>
          <w:rPr>
            <w:rStyle w:val="Hyperlink"/>
          </w:rPr>
          <w:t xml:space="preserve">https://doi.org/10.1073/pnas.0903811106</w:t>
        </w:r>
      </w:hyperlink>
      <w:r>
        <w:t xml:space="preserve">.</w:t>
      </w:r>
    </w:p>
    <w:bookmarkEnd w:id="131"/>
    <w:bookmarkStart w:id="133" w:name="ref-smith2010"/>
    <w:p>
      <w:pPr>
        <w:pStyle w:val="Bibliography"/>
      </w:pPr>
      <w:r>
        <w:t xml:space="preserve">51.</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32">
        <w:r>
          <w:rPr>
            <w:rStyle w:val="Hyperlink"/>
          </w:rPr>
          <w:t xml:space="preserve">https://doi.org/10.1111/j.1600-0587.2009.06335.x</w:t>
        </w:r>
      </w:hyperlink>
      <w:r>
        <w:t xml:space="preserve">.</w:t>
      </w:r>
    </w:p>
    <w:bookmarkEnd w:id="133"/>
    <w:bookmarkStart w:id="135" w:name="ref-motta2025"/>
    <w:p>
      <w:pPr>
        <w:pStyle w:val="Bibliography"/>
      </w:pPr>
      <w:r>
        <w:t xml:space="preserve">52.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34">
        <w:r>
          <w:rPr>
            <w:rStyle w:val="Hyperlink"/>
          </w:rPr>
          <w:t xml:space="preserve">https://doi.org/10.1016/j.palaeo.2025.112905</w:t>
        </w:r>
      </w:hyperlink>
      <w:r>
        <w:t xml:space="preserve">.</w:t>
      </w:r>
    </w:p>
    <w:bookmarkEnd w:id="135"/>
    <w:bookmarkStart w:id="137" w:name="ref-haffer1969"/>
    <w:p>
      <w:pPr>
        <w:pStyle w:val="Bibliography"/>
      </w:pPr>
      <w:r>
        <w:t xml:space="preserve">53.</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36">
        <w:r>
          <w:rPr>
            <w:rStyle w:val="Hyperlink"/>
          </w:rPr>
          <w:t xml:space="preserve">https://doi.org/10.1126/science.165.3889.131</w:t>
        </w:r>
      </w:hyperlink>
      <w:r>
        <w:t xml:space="preserve">.</w:t>
      </w:r>
    </w:p>
    <w:bookmarkEnd w:id="137"/>
    <w:bookmarkStart w:id="139" w:name="ref-ugarte2025"/>
    <w:p>
      <w:pPr>
        <w:pStyle w:val="Bibliography"/>
      </w:pPr>
      <w:r>
        <w:t xml:space="preserve">54.</w:t>
      </w:r>
      <w:r>
        <w:t xml:space="preserve"> </w:t>
      </w:r>
      <w:r>
        <w:t xml:space="preserve">	</w:t>
      </w:r>
      <w:r>
        <w:t xml:space="preserve">Ugarte, P.D. de S., Nascimento, J.C.S., and Pires, M.M. (2025). Spatiotemporal variability in the south american mammalian fossil record and its impact on macroevolutionary inference. Frontiers in Mammal Science</w:t>
      </w:r>
      <w:r>
        <w:t xml:space="preserve"> </w:t>
      </w:r>
      <w:r>
        <w:rPr>
          <w:i/>
          <w:iCs/>
        </w:rPr>
        <w:t xml:space="preserve">3</w:t>
      </w:r>
      <w:r>
        <w:t xml:space="preserve">.</w:t>
      </w:r>
      <w:r>
        <w:t xml:space="preserve"> </w:t>
      </w:r>
      <w:hyperlink r:id="rId138">
        <w:r>
          <w:rPr>
            <w:rStyle w:val="Hyperlink"/>
          </w:rPr>
          <w:t xml:space="preserve">https://doi.org/10.3389/fmamm.2024.1518039</w:t>
        </w:r>
      </w:hyperlink>
      <w:r>
        <w:t xml:space="preserve">.</w:t>
      </w:r>
    </w:p>
    <w:bookmarkEnd w:id="139"/>
    <w:bookmarkStart w:id="141" w:name="ref-cruz2025"/>
    <w:p>
      <w:pPr>
        <w:pStyle w:val="Bibliography"/>
      </w:pPr>
      <w:r>
        <w:t xml:space="preserve">55.</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40">
        <w:r>
          <w:rPr>
            <w:rStyle w:val="Hyperlink"/>
          </w:rPr>
          <w:t xml:space="preserve">https://doi.org/10.1590/S1984-4689.v42.e24051</w:t>
        </w:r>
      </w:hyperlink>
      <w:r>
        <w:t xml:space="preserve">.</w:t>
      </w:r>
    </w:p>
    <w:bookmarkEnd w:id="141"/>
    <w:bookmarkStart w:id="143" w:name="ref-morgan1993"/>
    <w:p>
      <w:pPr>
        <w:pStyle w:val="Bibliography"/>
      </w:pPr>
      <w:r>
        <w:t xml:space="preserve">56.</w:t>
      </w:r>
      <w:r>
        <w:t xml:space="preserve"> </w:t>
      </w:r>
      <w:r>
        <w:t xml:space="preserve">	</w:t>
      </w:r>
      <w:r>
        <w:t xml:space="preserve">Morgan, G.S. (1993). Quaternary land vertebrates of jamaica. In, R. M. Wright and E. Robinson, eds. (Geological Society of America), p. 0.</w:t>
      </w:r>
      <w:r>
        <w:t xml:space="preserve"> </w:t>
      </w:r>
      <w:hyperlink r:id="rId142">
        <w:r>
          <w:rPr>
            <w:rStyle w:val="Hyperlink"/>
          </w:rPr>
          <w:t xml:space="preserve">https://doi.org/10.1130/MEM182-p417</w:t>
        </w:r>
      </w:hyperlink>
      <w:r>
        <w:t xml:space="preserve">.</w:t>
      </w:r>
    </w:p>
    <w:bookmarkEnd w:id="143"/>
    <w:bookmarkStart w:id="145" w:name="ref-ali2021b"/>
    <w:p>
      <w:pPr>
        <w:pStyle w:val="Bibliography"/>
      </w:pPr>
      <w:r>
        <w:t xml:space="preserve">57.</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44">
        <w:r>
          <w:rPr>
            <w:rStyle w:val="Hyperlink"/>
          </w:rPr>
          <w:t xml:space="preserve">https://doi.org/10.1111/jbi.14234</w:t>
        </w:r>
      </w:hyperlink>
      <w:r>
        <w:t xml:space="preserve">.</w:t>
      </w:r>
    </w:p>
    <w:bookmarkEnd w:id="145"/>
    <w:bookmarkStart w:id="147" w:name="ref-cornée2021"/>
    <w:p>
      <w:pPr>
        <w:pStyle w:val="Bibliography"/>
      </w:pPr>
      <w:r>
        <w:t xml:space="preserve">58.</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46">
        <w:r>
          <w:rPr>
            <w:rStyle w:val="Hyperlink"/>
          </w:rPr>
          <w:t xml:space="preserve">https://doi.org/10.1016/j.earscirev.2021.103617</w:t>
        </w:r>
      </w:hyperlink>
      <w:r>
        <w:t xml:space="preserve">.</w:t>
      </w:r>
    </w:p>
    <w:bookmarkEnd w:id="147"/>
    <w:bookmarkStart w:id="149" w:name="ref-warren2015"/>
    <w:p>
      <w:pPr>
        <w:pStyle w:val="Bibliography"/>
      </w:pPr>
      <w:r>
        <w:t xml:space="preserve">59.</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48">
        <w:r>
          <w:rPr>
            <w:rStyle w:val="Hyperlink"/>
          </w:rPr>
          <w:t xml:space="preserve">https://doi.org/10.1111/ele.12398</w:t>
        </w:r>
      </w:hyperlink>
      <w:r>
        <w:t xml:space="preserve">.</w:t>
      </w:r>
    </w:p>
    <w:bookmarkEnd w:id="149"/>
    <w:bookmarkStart w:id="151" w:name="ref-pino2022"/>
    <w:p>
      <w:pPr>
        <w:pStyle w:val="Bibliography"/>
      </w:pPr>
      <w:r>
        <w:t xml:space="preserve">60.</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50">
        <w:r>
          <w:rPr>
            <w:rStyle w:val="Hyperlink"/>
          </w:rPr>
          <w:t xml:space="preserve">https://doi.org/10.1016/j.gloplacha.2022.103758</w:t>
        </w:r>
      </w:hyperlink>
      <w:r>
        <w:t xml:space="preserve">.</w:t>
      </w:r>
    </w:p>
    <w:bookmarkEnd w:id="151"/>
    <w:bookmarkStart w:id="153" w:name="ref-gearty2023"/>
    <w:p>
      <w:pPr>
        <w:pStyle w:val="Bibliography"/>
      </w:pPr>
      <w:r>
        <w:t xml:space="preserve">61.</w:t>
      </w:r>
      <w:r>
        <w:t xml:space="preserve"> </w:t>
      </w:r>
      <w:r>
        <w:t xml:space="preserve">	</w:t>
      </w:r>
      <w:r>
        <w:t xml:space="preserve">Gearty, W. (2023).</w:t>
      </w:r>
      <w:r>
        <w:t xml:space="preserve"> </w:t>
      </w:r>
      <w:hyperlink r:id="rId152">
        <w:r>
          <w:rPr>
            <w:rStyle w:val="Hyperlink"/>
          </w:rPr>
          <w:t xml:space="preserve">Deeptime: Plotting tools for anyone working in deep time. R package version 1.0.1.</w:t>
        </w:r>
      </w:hyperlink>
    </w:p>
    <w:bookmarkEnd w:id="153"/>
    <w:bookmarkEnd w:id="154"/>
    <w:bookmarkEnd w:id="155"/>
    <w:bookmarkStart w:id="17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59" w:name="fig-framework"/>
          <w:p>
            <w:pPr>
              <w:pStyle w:val="Compact"/>
              <w:jc w:val="center"/>
            </w:pPr>
            <w:r>
              <w:drawing>
                <wp:inline>
                  <wp:extent cx="3959999" cy="3959999"/>
                  <wp:effectExtent b="0" l="0" r="0" t="0"/>
                  <wp:docPr descr="" title="" id="157" name="Picture"/>
                  <a:graphic>
                    <a:graphicData uri="http://schemas.openxmlformats.org/drawingml/2006/picture">
                      <pic:pic>
                        <pic:nvPicPr>
                          <pic:cNvPr descr="../Figures/MS/Main/Figure_framework/Figure_framework.png" id="158" name="Picture"/>
                          <pic:cNvPicPr>
                            <a:picLocks noChangeArrowheads="1" noChangeAspect="1"/>
                          </pic:cNvPicPr>
                        </pic:nvPicPr>
                        <pic:blipFill>
                          <a:blip r:embed="rId156"/>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40</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11,13</w:t>
            </w:r>
            <w:r>
              <w:t xml:space="preserve"> </w:t>
            </w:r>
            <w:r>
              <w:t xml:space="preserve">is indicated by the light purple vertical bands. Geological timescale was depicted using the deeptime R package</w:t>
            </w:r>
            <w:r>
              <w:rPr>
                <w:vertAlign w:val="superscript"/>
              </w:rPr>
              <w:t xml:space="preserve">61</w:t>
            </w:r>
            <w:r>
              <w:t xml:space="preserve">. The empirically-derived asymmetry of the transcontinental land mammal exchange is represented by the thickness of the two arrows, the thicker the arrow, the more intense the exchange.</w:t>
            </w:r>
          </w:p>
          <w:bookmarkEnd w:id="159"/>
        </w:tc>
      </w:tr>
    </w:tbl>
    <w:tbl>
      <w:tblPr>
        <w:tblStyle w:val="Table"/>
        <w:tblW w:type="pct" w:w="5000"/>
        <w:tblLayout w:type="fixed"/>
        <w:tblLook w:firstRow="0" w:lastRow="0" w:firstColumn="0" w:lastColumn="0" w:noHBand="0" w:noVBand="0" w:val="0000"/>
      </w:tblPr>
      <w:tblGrid>
        <w:gridCol w:w="7920"/>
      </w:tblGrid>
      <w:tr>
        <w:tc>
          <w:tcPr/>
          <w:bookmarkStart w:id="163" w:name="fig-propsuccess"/>
          <w:p>
            <w:pPr>
              <w:pStyle w:val="Compact"/>
              <w:jc w:val="center"/>
            </w:pPr>
            <w:r>
              <w:drawing>
                <wp:inline>
                  <wp:extent cx="3599999" cy="3779999"/>
                  <wp:effectExtent b="0" l="0" r="0" t="0"/>
                  <wp:docPr descr="" title="" id="161" name="Picture"/>
                  <a:graphic>
                    <a:graphicData uri="http://schemas.openxmlformats.org/drawingml/2006/picture">
                      <pic:pic>
                        <pic:nvPicPr>
                          <pic:cNvPr descr="../Figures/MS/Main/Figure_PropSuccess/Figure_PropSuccess.png" id="162" name="Picture"/>
                          <pic:cNvPicPr>
                            <a:picLocks noChangeArrowheads="1" noChangeAspect="1"/>
                          </pic:cNvPicPr>
                        </pic:nvPicPr>
                        <pic:blipFill>
                          <a:blip r:embed="rId160"/>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metrics"/>
          <w:p>
            <w:pPr>
              <w:pStyle w:val="Compact"/>
              <w:jc w:val="left"/>
            </w:pPr>
            <w:r>
              <w:drawing>
                <wp:inline>
                  <wp:extent cx="5039999" cy="4319999"/>
                  <wp:effectExtent b="0" l="0" r="0" t="0"/>
                  <wp:docPr descr="" title="" id="165" name="Picture"/>
                  <a:graphic>
                    <a:graphicData uri="http://schemas.openxmlformats.org/drawingml/2006/picture">
                      <pic:pic>
                        <pic:nvPicPr>
                          <pic:cNvPr descr="../Figures/MS/Main/Figure_metrics/Figure_metrics.png" id="166" name="Picture"/>
                          <pic:cNvPicPr>
                            <a:picLocks noChangeArrowheads="1" noChangeAspect="1"/>
                          </pic:cNvPicPr>
                        </pic:nvPicPr>
                        <pic:blipFill>
                          <a:blip r:embed="rId164"/>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67"/>
        </w:tc>
      </w:tr>
    </w:tbl>
    <w:tbl>
      <w:tblPr>
        <w:tblStyle w:val="Table"/>
        <w:tblW w:type="pct" w:w="5000"/>
        <w:tblLayout w:type="fixed"/>
        <w:tblLook w:firstRow="0" w:lastRow="0" w:firstColumn="0" w:lastColumn="0" w:noHBand="0" w:noVBand="0" w:val="0000"/>
      </w:tblPr>
      <w:tblGrid>
        <w:gridCol w:w="7920"/>
      </w:tblGrid>
      <w:tr>
        <w:tc>
          <w:tcPr/>
          <w:bookmarkStart w:id="171" w:name="fig-biome"/>
          <w:p>
            <w:pPr>
              <w:pStyle w:val="Compact"/>
              <w:jc w:val="center"/>
            </w:pPr>
            <w:r>
              <w:drawing>
                <wp:inline>
                  <wp:extent cx="5399999" cy="5399999"/>
                  <wp:effectExtent b="0" l="0" r="0" t="0"/>
                  <wp:docPr descr="" title="" id="169" name="Picture"/>
                  <a:graphic>
                    <a:graphicData uri="http://schemas.openxmlformats.org/drawingml/2006/picture">
                      <pic:pic>
                        <pic:nvPicPr>
                          <pic:cNvPr descr="../Figures/MS/Main/Figure_biomes/Figure_biomes.png" id="170" name="Picture"/>
                          <pic:cNvPicPr>
                            <a:picLocks noChangeArrowheads="1" noChangeAspect="1"/>
                          </pic:cNvPicPr>
                        </pic:nvPicPr>
                        <pic:blipFill>
                          <a:blip r:embed="rId168"/>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71"/>
        </w:tc>
      </w:tr>
    </w:tbl>
    <w:bookmarkEnd w:id="17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hyperlink" Id="rId45" Target="http://repository.si.edu/xmlui/handle/10088/35473" TargetMode="External" /><Relationship Type="http://schemas.openxmlformats.org/officeDocument/2006/relationships/hyperlink" Id="rId152" Target="https://CRAN.R-project.org/package=deeptime" TargetMode="External" /><Relationship Type="http://schemas.openxmlformats.org/officeDocument/2006/relationships/hyperlink" Id="rId41" Target="https://doi.org/10.1007/978-1-4684-9181-4" TargetMode="External" /><Relationship Type="http://schemas.openxmlformats.org/officeDocument/2006/relationships/hyperlink" Id="rId57"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46" Target="https://doi.org/10.1016/j.earscirev.2021.103617" TargetMode="External" /><Relationship Type="http://schemas.openxmlformats.org/officeDocument/2006/relationships/hyperlink" Id="rId51" Target="https://doi.org/10.1016/j.geobios.2006.09.005" TargetMode="External" /><Relationship Type="http://schemas.openxmlformats.org/officeDocument/2006/relationships/hyperlink" Id="rId150" Target="https://doi.org/10.1016/j.gloplacha.2022.103758" TargetMode="External" /><Relationship Type="http://schemas.openxmlformats.org/officeDocument/2006/relationships/hyperlink" Id="rId134"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49" Target="https://doi.org/10.1029/2025GC012288" TargetMode="External" /><Relationship Type="http://schemas.openxmlformats.org/officeDocument/2006/relationships/hyperlink" Id="rId106" Target="https://doi.org/10.1038/s41559-023-02220-8"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6" Target="https://doi.org/10.1038/sdata.2018.214" TargetMode="External" /><Relationship Type="http://schemas.openxmlformats.org/officeDocument/2006/relationships/hyperlink" Id="rId130"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102" Target="https://doi.org/10.1073/pnas.2026347118" TargetMode="External" /><Relationship Type="http://schemas.openxmlformats.org/officeDocument/2006/relationships/hyperlink" Id="rId108" Target="https://doi.org/10.1093/sysbio/syac048" TargetMode="External" /><Relationship Type="http://schemas.openxmlformats.org/officeDocument/2006/relationships/hyperlink" Id="rId92"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148"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4" Target="https://doi.org/10.1111/geb.13683" TargetMode="External" /><Relationship Type="http://schemas.openxmlformats.org/officeDocument/2006/relationships/hyperlink" Id="rId128" Target="https://doi.org/10.1111/j.1461-0248.2012.01855.x" TargetMode="External" /><Relationship Type="http://schemas.openxmlformats.org/officeDocument/2006/relationships/hyperlink" Id="rId132" Target="https://doi.org/10.1111/j.1600-0587.2009.06335.x" TargetMode="External" /><Relationship Type="http://schemas.openxmlformats.org/officeDocument/2006/relationships/hyperlink" Id="rId144"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47" Target="https://doi.org/10.1126/sciadv.1600883" TargetMode="External" /><Relationship Type="http://schemas.openxmlformats.org/officeDocument/2006/relationships/hyperlink" Id="rId123" Target="https://doi.org/10.1126/sciadv.abc6228" TargetMode="External" /><Relationship Type="http://schemas.openxmlformats.org/officeDocument/2006/relationships/hyperlink" Id="rId94"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3" Target="https://doi.org/10.1126/science.aaa2815" TargetMode="External" /><Relationship Type="http://schemas.openxmlformats.org/officeDocument/2006/relationships/hyperlink" Id="rId104"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142"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121" Target="https://doi.org/10.1146/annurev.ecolsys.34.012103.144032" TargetMode="External" /><Relationship Type="http://schemas.openxmlformats.org/officeDocument/2006/relationships/hyperlink" Id="rId98" Target="https://doi.org/10.1371/journal.pbio.3001340" TargetMode="External" /><Relationship Type="http://schemas.openxmlformats.org/officeDocument/2006/relationships/hyperlink" Id="rId100" Target="https://doi.org/10.1371/journal.pone.0332766" TargetMode="External" /><Relationship Type="http://schemas.openxmlformats.org/officeDocument/2006/relationships/hyperlink" Id="rId126" Target="https://doi.org/10.1525/california/9780520268685.003.0018" TargetMode="External" /><Relationship Type="http://schemas.openxmlformats.org/officeDocument/2006/relationships/hyperlink" Id="rId140" Target="https://doi.org/10.1590/S1984-4689.v42.e24051" TargetMode="External" /><Relationship Type="http://schemas.openxmlformats.org/officeDocument/2006/relationships/hyperlink" Id="rId81" Target="https://doi.org/10.2307/1381862" TargetMode="External" /><Relationship Type="http://schemas.openxmlformats.org/officeDocument/2006/relationships/hyperlink" Id="rId55"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87" Target="https://doi.org/10.3390/d17030153" TargetMode="External" /><Relationship Type="http://schemas.openxmlformats.org/officeDocument/2006/relationships/hyperlink" Id="rId112" Target="https://doi.org/10.5194/gmd-12-5137-2019" TargetMode="External" /><Relationship Type="http://schemas.openxmlformats.org/officeDocument/2006/relationships/hyperlink" Id="rId118"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53" Target="https://www.degruyterbrill.com/document/doi/10.7312/wood13040-008/html" TargetMode="External" /><Relationship Type="http://schemas.openxmlformats.org/officeDocument/2006/relationships/hyperlink" Id="rId39" Target="https://www.jstor.org/stable/1688046" TargetMode="External" /><Relationship Type="http://schemas.openxmlformats.org/officeDocument/2006/relationships/hyperlink" Id="rId37"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5" Target="http://repository.si.edu/xmlui/handle/10088/35473" TargetMode="External" /><Relationship Type="http://schemas.openxmlformats.org/officeDocument/2006/relationships/hyperlink" Id="rId152" Target="https://CRAN.R-project.org/package=deeptime" TargetMode="External" /><Relationship Type="http://schemas.openxmlformats.org/officeDocument/2006/relationships/hyperlink" Id="rId41" Target="https://doi.org/10.1007/978-1-4684-9181-4" TargetMode="External" /><Relationship Type="http://schemas.openxmlformats.org/officeDocument/2006/relationships/hyperlink" Id="rId57"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46" Target="https://doi.org/10.1016/j.earscirev.2021.103617" TargetMode="External" /><Relationship Type="http://schemas.openxmlformats.org/officeDocument/2006/relationships/hyperlink" Id="rId51" Target="https://doi.org/10.1016/j.geobios.2006.09.005" TargetMode="External" /><Relationship Type="http://schemas.openxmlformats.org/officeDocument/2006/relationships/hyperlink" Id="rId150" Target="https://doi.org/10.1016/j.gloplacha.2022.103758" TargetMode="External" /><Relationship Type="http://schemas.openxmlformats.org/officeDocument/2006/relationships/hyperlink" Id="rId134"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49" Target="https://doi.org/10.1029/2025GC012288" TargetMode="External" /><Relationship Type="http://schemas.openxmlformats.org/officeDocument/2006/relationships/hyperlink" Id="rId106" Target="https://doi.org/10.1038/s41559-023-02220-8"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6" Target="https://doi.org/10.1038/sdata.2018.214" TargetMode="External" /><Relationship Type="http://schemas.openxmlformats.org/officeDocument/2006/relationships/hyperlink" Id="rId130" Target="https://doi.org/10.1073/pnas.0903811106" TargetMode="External" /><Relationship Type="http://schemas.openxmlformats.org/officeDocument/2006/relationships/hyperlink" Id="rId59"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102" Target="https://doi.org/10.1073/pnas.2026347118" TargetMode="External" /><Relationship Type="http://schemas.openxmlformats.org/officeDocument/2006/relationships/hyperlink" Id="rId108" Target="https://doi.org/10.1093/sysbio/syac048" TargetMode="External" /><Relationship Type="http://schemas.openxmlformats.org/officeDocument/2006/relationships/hyperlink" Id="rId92" Target="https://doi.org/10.1098/rspb.2025.1745" TargetMode="External" /><Relationship Type="http://schemas.openxmlformats.org/officeDocument/2006/relationships/hyperlink" Id="rId96" Target="https://doi.org/10.1111/ecog.06132" TargetMode="External" /><Relationship Type="http://schemas.openxmlformats.org/officeDocument/2006/relationships/hyperlink" Id="rId148"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4" Target="https://doi.org/10.1111/geb.13683" TargetMode="External" /><Relationship Type="http://schemas.openxmlformats.org/officeDocument/2006/relationships/hyperlink" Id="rId128" Target="https://doi.org/10.1111/j.1461-0248.2012.01855.x" TargetMode="External" /><Relationship Type="http://schemas.openxmlformats.org/officeDocument/2006/relationships/hyperlink" Id="rId132" Target="https://doi.org/10.1111/j.1600-0587.2009.06335.x" TargetMode="External" /><Relationship Type="http://schemas.openxmlformats.org/officeDocument/2006/relationships/hyperlink" Id="rId144"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47" Target="https://doi.org/10.1126/sciadv.1600883" TargetMode="External" /><Relationship Type="http://schemas.openxmlformats.org/officeDocument/2006/relationships/hyperlink" Id="rId123" Target="https://doi.org/10.1126/sciadv.abc6228" TargetMode="External" /><Relationship Type="http://schemas.openxmlformats.org/officeDocument/2006/relationships/hyperlink" Id="rId94" Target="https://doi.org/10.1126/sciadv.abj2271" TargetMode="External" /><Relationship Type="http://schemas.openxmlformats.org/officeDocument/2006/relationships/hyperlink" Id="rId136" Target="https://doi.org/10.1126/science.165.3889.131" TargetMode="External" /><Relationship Type="http://schemas.openxmlformats.org/officeDocument/2006/relationships/hyperlink" Id="rId43" Target="https://doi.org/10.1126/science.aaa2815" TargetMode="External" /><Relationship Type="http://schemas.openxmlformats.org/officeDocument/2006/relationships/hyperlink" Id="rId104" Target="https://doi.org/10.1126/science.adf7122" TargetMode="External" /><Relationship Type="http://schemas.openxmlformats.org/officeDocument/2006/relationships/hyperlink" Id="rId110"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61" Target="https://doi.org/10.1130/G37624.1" TargetMode="External" /><Relationship Type="http://schemas.openxmlformats.org/officeDocument/2006/relationships/hyperlink" Id="rId142"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121" Target="https://doi.org/10.1146/annurev.ecolsys.34.012103.144032" TargetMode="External" /><Relationship Type="http://schemas.openxmlformats.org/officeDocument/2006/relationships/hyperlink" Id="rId98" Target="https://doi.org/10.1371/journal.pbio.3001340" TargetMode="External" /><Relationship Type="http://schemas.openxmlformats.org/officeDocument/2006/relationships/hyperlink" Id="rId100" Target="https://doi.org/10.1371/journal.pone.0332766" TargetMode="External" /><Relationship Type="http://schemas.openxmlformats.org/officeDocument/2006/relationships/hyperlink" Id="rId126" Target="https://doi.org/10.1525/california/9780520268685.003.0018" TargetMode="External" /><Relationship Type="http://schemas.openxmlformats.org/officeDocument/2006/relationships/hyperlink" Id="rId140" Target="https://doi.org/10.1590/S1984-4689.v42.e24051" TargetMode="External" /><Relationship Type="http://schemas.openxmlformats.org/officeDocument/2006/relationships/hyperlink" Id="rId81" Target="https://doi.org/10.2307/1381862" TargetMode="External" /><Relationship Type="http://schemas.openxmlformats.org/officeDocument/2006/relationships/hyperlink" Id="rId55" Target="https://doi.org/10.3389/fgene.2014.00451" TargetMode="External" /><Relationship Type="http://schemas.openxmlformats.org/officeDocument/2006/relationships/hyperlink" Id="rId138" Target="https://doi.org/10.3389/fmamm.2024.1518039" TargetMode="External" /><Relationship Type="http://schemas.openxmlformats.org/officeDocument/2006/relationships/hyperlink" Id="rId87" Target="https://doi.org/10.3390/d17030153" TargetMode="External" /><Relationship Type="http://schemas.openxmlformats.org/officeDocument/2006/relationships/hyperlink" Id="rId112" Target="https://doi.org/10.5194/gmd-12-5137-2019" TargetMode="External" /><Relationship Type="http://schemas.openxmlformats.org/officeDocument/2006/relationships/hyperlink" Id="rId118"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53" Target="https://www.degruyterbrill.com/document/doi/10.7312/wood13040-008/html" TargetMode="External" /><Relationship Type="http://schemas.openxmlformats.org/officeDocument/2006/relationships/hyperlink" Id="rId39" Target="https://www.jstor.org/stable/1688046" TargetMode="External" /><Relationship Type="http://schemas.openxmlformats.org/officeDocument/2006/relationships/hyperlink" Id="rId37"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2025-12-01T16:51:33Z</dcterms:created>
  <dcterms:modified xsi:type="dcterms:W3CDTF">2025-12-01T16:51:33Z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