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46.png" ContentType="image/png"/>
  <Override PartName="/word/media/rId134.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Affiliations:</w:t>
      </w:r>
    </w:p>
    <w:p>
      <w:pPr>
        <w:pStyle w:val="BodyText"/>
      </w:pPr>
      <w:r>
        <w:t xml:space="preserve">¹ Institut des Sciences de l’Evolution de Montpellier, Université de Montpellier, CNRS, IRD, Place Eugène Bataillon, 34095 Montpellier cedex 5, France.</w:t>
      </w:r>
    </w:p>
    <w:p>
      <w:pPr>
        <w:pStyle w:val="BodyText"/>
      </w:pPr>
      <w:r>
        <w:t xml:space="preserve">² Centro de Investigación Mariña, Departamento de Ecoloxía e Bioloxía Animal, Universidade de Vigo, Campus Lagoas-Marcosende, 36310 Vigo, Spain</w:t>
      </w:r>
    </w:p>
    <w:bookmarkStart w:id="20" w:name="abstract"/>
    <w:p>
      <w:pPr>
        <w:pStyle w:val="Heading1"/>
      </w:pPr>
      <w:r>
        <w:t xml:space="preserve">Abstract</w:t>
      </w:r>
    </w:p>
    <w:p>
      <w:pPr>
        <w:pStyle w:val="FirstParagraph"/>
      </w:pPr>
      <w:r>
        <w:t xml:space="preserve">The Great American Biotic Interchange (GABI) refers to the admixture of North and South American faunas promoted by the closure of the isthmus of Panama. Among land mammals, this faunal exchange was asymmetric because it witnessed a greater ability of North American lineages to establish southwards, meanwhile many South Americans went extinct. Here, coupling a mechanistic eco-evolutionary simulator with palaeoclimatic reconstructions for the last 5 million years, we explore the extent to which palaeoclimate, alone, may have shaped such a biogeographic asymmetry. When climatic variables are the only constraints to virtual species’ dispersal, our results indicate that (1) successful interchanges are more frequently achieved when simulations start from South America than from North America, contrasting with empirical observations. In addition, (2) our models fail at explaining the higher representation of temperate-adapted mammals in the fossil record of successfully exchanged mammals, particularly of North American origin, but (3) suggest that successful colonisers from North America occupy larger areas in South America than the other way around. Hence, our findings stress that spatio-temporal palaeoclimate dynamics are not sufficient to explain the imbalanced success of North American migrants in South America following the GABI, suggesting the implication of additional biogeographic and ecological filters. This study offers valuable insights into the processes behind one of the most puzzling macroecological enigmas in the history of life on Earth.</w:t>
      </w:r>
    </w:p>
    <w:bookmarkEnd w:id="20"/>
    <w:bookmarkStart w:id="21" w:name="keywords"/>
    <w:p>
      <w:pPr>
        <w:pStyle w:val="Heading1"/>
      </w:pPr>
      <w:r>
        <w:t xml:space="preserve">Keywords</w:t>
      </w:r>
    </w:p>
    <w:p>
      <w:pPr>
        <w:pStyle w:val="FirstParagraph"/>
      </w:pPr>
      <w:r>
        <w:t xml:space="preserve">Eco-evolutionary simulations; Mammals; Macroecology; Palaeoclimate</w:t>
      </w:r>
      <w:r>
        <w:t xml:space="preserve"> </w:t>
      </w:r>
    </w:p>
    <w:bookmarkEnd w:id="21"/>
    <w:bookmarkStart w:id="22"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rPr>
          <w:vertAlign w:val="superscript"/>
        </w:rPr>
        <w:t xml:space="preserve">1</w:t>
      </w:r>
      <w:r>
        <w:t xml:space="preserve">. Though the exact timing of the closure of the isthmus is still debated</w:t>
      </w:r>
      <w:r>
        <w:rPr>
          <w:vertAlign w:val="superscript"/>
        </w:rPr>
        <w:t xml:space="preserve">2–4</w:t>
      </w:r>
      <w:r>
        <w:t xml:space="preserve">, palaeontological evidence and molecular phylogenies both agree with a late Miocene onset of land mammal exchange between the Americas, but with effective pulses of mammal crossings occurring not earlier than</w:t>
      </w:r>
      <w:r>
        <w:t xml:space="preserve"> </w:t>
      </w:r>
      <w:r>
        <w:rPr>
          <w:i/>
          <w:iCs/>
        </w:rPr>
        <w:t xml:space="preserve">c.</w:t>
      </w:r>
      <w:r>
        <w:t xml:space="preserve"> </w:t>
      </w:r>
      <w:r>
        <w:t xml:space="preserve">3 Million years ago</w:t>
      </w:r>
      <w:r>
        <w:rPr>
          <w:vertAlign w:val="superscript"/>
        </w:rP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rPr>
          <w:vertAlign w:val="superscript"/>
        </w:rPr>
        <w:t xml:space="preserve">1,6,9</w:t>
      </w:r>
      <w:r>
        <w:t xml:space="preserve">. However, during the Quaternary, the ability of migrant lineages to maintain and diversify in the foreign continent became greater in South America</w:t>
      </w:r>
      <w:r>
        <w:rPr>
          <w:vertAlign w:val="superscript"/>
        </w:rPr>
        <w:t xml:space="preserve">6</w:t>
      </w:r>
      <w:r>
        <w:t xml:space="preserve">, and many native South American mammal lineages concomitantly declined, some of which even going totally extinct</w:t>
      </w:r>
      <w:r>
        <w:rPr>
          <w:vertAlign w:val="superscript"/>
        </w:rP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rPr>
          <w:vertAlign w:val="superscript"/>
        </w:rPr>
        <w:t xml:space="preserve">9,15,16</w:t>
      </w:r>
      <w:r>
        <w:t xml:space="preserve"> </w:t>
      </w:r>
      <w:r>
        <w:t xml:space="preserve">or predation of predator-naive preys</w:t>
      </w:r>
      <w:r>
        <w:rPr>
          <w:vertAlign w:val="superscript"/>
        </w:rPr>
        <w:t xml:space="preserve">9,17–19</w:t>
      </w:r>
      <w:r>
        <w:t xml:space="preserve">. However, their contribution to the asymmetry of the GABI has been increasingly called into question</w:t>
      </w:r>
      <w:r>
        <w:rPr>
          <w:i/>
          <w:iCs/>
          <w:vertAlign w:val="superscript"/>
        </w:rPr>
        <w:t xml:space="preserve">e</w:t>
      </w:r>
      <w:r>
        <w:rPr>
          <w:vertAlign w:val="superscript"/>
        </w:rPr>
        <w:t xml:space="preserve">.</w:t>
      </w:r>
      <w:r>
        <w:rPr>
          <w:i/>
          <w:iCs/>
          <w:vertAlign w:val="superscript"/>
        </w:rPr>
        <w:t xml:space="preserve">g</w:t>
      </w:r>
      <w:r>
        <w:rPr>
          <w:vertAlign w:val="superscript"/>
        </w:rPr>
        <w:t xml:space="preserve">., 20,21–23</w:t>
      </w:r>
      <w:r>
        <w:t xml:space="preserve">. On the other hand, several studies proposed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m:oMath>
        <m:sSup>
          <m:e>
            <m:r>
              <m:t>​</m:t>
            </m:r>
          </m:e>
          <m:sup>
            <m:r>
              <m:t>e</m:t>
            </m:r>
            <m:r>
              <m:rPr>
                <m:sty m:val="p"/>
              </m:rPr>
              <m:t>.</m:t>
            </m:r>
            <m:r>
              <m:t>g</m:t>
            </m:r>
            <m:r>
              <m:rPr>
                <m:sty m:val="p"/>
              </m:rPr>
              <m:t>.</m:t>
            </m:r>
            <m:r>
              <m:rPr>
                <m:sty m:val="p"/>
              </m:rPr>
              <m:t>,</m:t>
            </m:r>
          </m:sup>
        </m:sSup>
      </m:oMath>
      <w:r>
        <w:rPr>
          <w:vertAlign w:val="superscript"/>
        </w:rPr>
        <w:t xml:space="preserve">8,10,17,20,24</w:t>
      </w:r>
      <w:r>
        <w:t xml:space="preserve">. The prevailing view, proposed by Webb.</w:t>
      </w:r>
      <w:r>
        <w:rPr>
          <w:vertAlign w:val="superscript"/>
        </w:rPr>
        <w:t xml:space="preserve">10</w:t>
      </w:r>
      <w:r>
        <w:t xml:space="preserve"> </w:t>
      </w:r>
      <w:r>
        <w:t xml:space="preserve">and Vrba.</w:t>
      </w:r>
      <w:r>
        <w:rPr>
          <w:vertAlign w:val="superscript"/>
        </w:rPr>
        <w:t xml:space="preserve">20</w:t>
      </w:r>
      <w:r>
        <w:t xml:space="preserve">, consists of relating pulses of transcontinental mammal exchanges with Pleistocene climatic oscillation, promoting the transition from tropical rainforests to savannah-like environments in Central America during glacial maxima. This climate-driven landscape opening would have in turn facilitated the dispersal of taxa with non-tropical ecological affinities, fitter to these environment, which goes well in line with the migrant fossil record across both sides of the isthmus</w:t>
      </w:r>
      <w:r>
        <w:rPr>
          <w:vertAlign w:val="superscript"/>
        </w:rPr>
        <w:t xml:space="preserve">6</w:t>
      </w:r>
      <w:r>
        <w:t xml:space="preserve">. However, so far, studies supporting this view have only been descriptive, tackling the issue from a fossil data-driven pattern-oriented perspective but, to our knowledge, never from a mechanistic process-oriented perspective.</w:t>
      </w:r>
    </w:p>
    <w:p>
      <w:pPr>
        <w:pStyle w:val="BodyText"/>
      </w:pPr>
      <w:r>
        <w:t xml:space="preserve">Recent improvements in process-explicit modelling have marked a turning point in the study of biodiversity</w:t>
      </w:r>
      <w:r>
        <w:rPr>
          <w:vertAlign w:val="superscript"/>
        </w:rP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rPr>
          <w:vertAlign w:val="superscript"/>
        </w:rPr>
        <w:t xml:space="preserve">26</w:t>
      </w:r>
      <w:r>
        <w:t xml:space="preserve">. Recently, this family of models has provided unprecedented insights into the underlying forces behind widely-recognised biodiversity patterns, such as the latitudinal biodiversity gradient</w:t>
      </w:r>
      <w:r>
        <w:rPr>
          <w:vertAlign w:val="superscript"/>
        </w:rPr>
        <w:t xml:space="preserve">27,28</w:t>
      </w:r>
      <w:r>
        <w:t xml:space="preserve">, the diversity desequilibrium between tropical rainforests across the globe</w:t>
      </w:r>
      <w:r>
        <w:rPr>
          <w:vertAlign w:val="superscript"/>
        </w:rPr>
        <w:t xml:space="preserve">29</w:t>
      </w:r>
      <w:r>
        <w:t xml:space="preserve">, the build-up of the unique biodiversity along the Wallace line</w:t>
      </w:r>
      <w:r>
        <w:rPr>
          <w:vertAlign w:val="superscript"/>
        </w:rPr>
        <w:t xml:space="preserve">30</w:t>
      </w:r>
      <w:r>
        <w:t xml:space="preserve"> </w:t>
      </w:r>
      <w:r>
        <w:t xml:space="preserve">and many others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31,32,33</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around, (ii) successful simulations starting from a North American ancestor would result in a more diverse and spatially spread radiation in the foreign continent and (iii) successful interchange would be more frequently achieved among biome generalists, temperate and arid specialists rather than tropical specialists.</w:t>
      </w:r>
    </w:p>
    <w:p>
      <w:r>
        <w:br w:type="page"/>
      </w:r>
    </w:p>
    <w:bookmarkEnd w:id="22"/>
    <w:bookmarkStart w:id="26" w:name="results"/>
    <w:p>
      <w:pPr>
        <w:pStyle w:val="Heading1"/>
      </w:pPr>
      <w:r>
        <w:t xml:space="preserve">Results</w:t>
      </w:r>
    </w:p>
    <w:bookmarkStart w:id="23" w:name="X4567fbc203e26536a8b2c1d2a805dae2efaff00"/>
    <w:p>
      <w:pPr>
        <w:pStyle w:val="Heading2"/>
      </w:pPr>
      <w:r>
        <w:t xml:space="preserve">Climate makes northwards dispersal events easier than southwards ones</w:t>
      </w:r>
    </w:p>
    <w:p>
      <w:pPr>
        <w:pStyle w:val="FirstParagraph"/>
      </w:pPr>
      <w:r>
        <w:t xml:space="preserve">The contribution of palaeoclimate to the biogeographic asymmetry of the Great American Biotic Interchange (GABI) was tested in a simulation-based framework relying on gen3sis</w:t>
      </w:r>
      <w:r>
        <w:rPr>
          <w:vertAlign w:val="superscript"/>
        </w:rPr>
        <w:t xml:space="preserve">27</w:t>
      </w:r>
      <w:r>
        <w:t xml:space="preserve">, a mechanistic eco-evolutionary simulator, incorporating palaeoclimatic layers (annual temperature and precipitation) covering the last 5 million years generated by the PALEO-PGEM emulator</w:t>
      </w:r>
      <w:r>
        <w:rPr>
          <w:vertAlign w:val="superscript"/>
        </w:rPr>
        <w:t xml:space="preserve">34,35</w:t>
      </w:r>
      <w:r>
        <w:t xml:space="preserve">. Each set of simulations tracked the radiation of a clade originating at a random location either in North or South America. Climate was the only ecological constraint limiting virtual species’ biogeography. We further compared the ability of virtual species to colonise the continent where they did not originate between the two initial conditions. For additional details, please refer to the</w:t>
      </w:r>
      <w:r>
        <w:t xml:space="preserve"> </w:t>
      </w:r>
      <w:r>
        <w:rPr>
          <w:i/>
          <w:iCs/>
        </w:rPr>
        <w:t xml:space="preserve">STAR Methods</w:t>
      </w:r>
      <w:r>
        <w:t xml:space="preserve"> </w:t>
      </w:r>
      <w:r>
        <w:t xml:space="preserve">section.</w:t>
      </w:r>
    </w:p>
    <w:p>
      <w:pPr>
        <w:pStyle w:val="BodyText"/>
      </w:pPr>
      <w:r>
        <w:t xml:space="preserve">Our results suggest asymmetric proportions of simulations successfully reaching the other continent, being always higher – by approx. a factor 2 – when starting from South America than from North America (</w:t>
      </w:r>
      <w:hyperlink w:anchor="fig-propsuccess">
        <w:r>
          <w:rPr>
            <w:rStyle w:val="Hyperlink"/>
          </w:rPr>
          <w:t xml:space="preserve">Figure 2</w:t>
        </w:r>
      </w:hyperlink>
      <w:r>
        <w:t xml:space="preserve">). This imbalance is maintained whether we allow species climatic niche to evolve following the direction of local climatic change (</w:t>
      </w:r>
      <m:oMath>
        <m:r>
          <m:t>44</m:t>
        </m:r>
        <m:r>
          <m:rPr>
            <m:sty m:val="p"/>
          </m:rPr>
          <m:t>±</m:t>
        </m:r>
        <m:r>
          <m:t>6</m:t>
        </m:r>
        <m:r>
          <m:rPr>
            <m:sty m:val="p"/>
          </m:rPr>
          <m:t>%</m:t>
        </m:r>
      </m:oMath>
      <w:r>
        <w:t xml:space="preserve"> </w:t>
      </w:r>
      <w:r>
        <w:t xml:space="preserve">vs. </w:t>
      </w:r>
      <m:oMath>
        <m:r>
          <m:t>87</m:t>
        </m:r>
        <m:r>
          <m:rPr>
            <m:sty m:val="p"/>
          </m:rPr>
          <m:t>±</m:t>
        </m:r>
        <m:r>
          <m:t>3</m:t>
        </m:r>
        <m:r>
          <m:rPr>
            <m:sty m:val="p"/>
          </m:rPr>
          <m:t>%</m:t>
        </m:r>
      </m:oMath>
      <w:r>
        <w:t xml:space="preserve">, model</w:t>
      </w:r>
      <w:r>
        <w:t xml:space="preserve"> </w:t>
      </w:r>
      <m:oMath>
        <m:r>
          <m:t>M</m:t>
        </m:r>
        <m:r>
          <m:t>1</m:t>
        </m:r>
      </m:oMath>
      <w:r>
        <w:t xml:space="preserve">) or not (</w:t>
      </w:r>
      <m:oMath>
        <m:r>
          <m:t>29</m:t>
        </m:r>
        <m:r>
          <m:rPr>
            <m:sty m:val="p"/>
          </m:rPr>
          <m:t>±</m:t>
        </m:r>
        <m:r>
          <m:t>6</m:t>
        </m:r>
        <m:r>
          <m:rPr>
            <m:sty m:val="p"/>
          </m:rPr>
          <m:t>%</m:t>
        </m:r>
      </m:oMath>
      <w:r>
        <w:t xml:space="preserve"> </w:t>
      </w:r>
      <w:r>
        <w:t xml:space="preserve">vs. </w:t>
      </w:r>
      <m:oMath>
        <m:r>
          <m:t>59</m:t>
        </m:r>
        <m:r>
          <m:rPr>
            <m:sty m:val="p"/>
          </m:rPr>
          <m:t>±</m:t>
        </m:r>
        <m:r>
          <m:t>5</m:t>
        </m:r>
        <m:r>
          <m:rPr>
            <m:sty m:val="p"/>
          </m:rPr>
          <m:t>%</m:t>
        </m:r>
      </m:oMath>
      <w:r>
        <w:t xml:space="preserve">,</w:t>
      </w:r>
      <w:r>
        <w:t xml:space="preserve"> </w:t>
      </w:r>
      <m:oMath>
        <m:r>
          <m:t>M</m:t>
        </m:r>
        <m:r>
          <m:t>0</m:t>
        </m:r>
      </m:oMath>
      <w:r>
        <w:t xml:space="preserve">), though we can notice that overall transcontinental exchange frequencies are lower in the latter case. When allowing climatic niches to evolve, amputation of either their temperature (</w:t>
      </w:r>
      <m:oMath>
        <m:r>
          <m:t>47</m:t>
        </m:r>
        <m:r>
          <m:rPr>
            <m:sty m:val="p"/>
          </m:rPr>
          <m:t>±</m:t>
        </m:r>
        <m:r>
          <m:t>7</m:t>
        </m:r>
        <m:r>
          <m:rPr>
            <m:sty m:val="p"/>
          </m:rPr>
          <m:t>%</m:t>
        </m:r>
      </m:oMath>
      <w:r>
        <w:t xml:space="preserve"> </w:t>
      </w:r>
      <w:r>
        <w:t xml:space="preserve">vs. </w:t>
      </w:r>
      <m:oMath>
        <m:r>
          <m:t>88</m:t>
        </m:r>
        <m:r>
          <m:rPr>
            <m:sty m:val="p"/>
          </m:rPr>
          <m:t>±</m:t>
        </m:r>
        <m:r>
          <m:t>3</m:t>
        </m:r>
        <m:r>
          <m:rPr>
            <m:sty m:val="p"/>
          </m:rPr>
          <m:t>%</m:t>
        </m:r>
      </m:oMath>
      <w:r>
        <w:t xml:space="preserve">,</w:t>
      </w:r>
      <w:r>
        <w:t xml:space="preserve"> </w:t>
      </w:r>
      <m:oMath>
        <m:r>
          <m:t>M</m:t>
        </m:r>
        <m:r>
          <m:t>2</m:t>
        </m:r>
      </m:oMath>
      <w:r>
        <w:t xml:space="preserve">) or precipitation (</w:t>
      </w:r>
      <m:oMath>
        <m:r>
          <m:t>38</m:t>
        </m:r>
        <m:r>
          <m:rPr>
            <m:sty m:val="p"/>
          </m:rPr>
          <m:t>±</m:t>
        </m:r>
        <m:r>
          <m:t>4</m:t>
        </m:r>
        <m:r>
          <m:rPr>
            <m:sty m:val="p"/>
          </m:rPr>
          <m:t>%</m:t>
        </m:r>
      </m:oMath>
      <w:r>
        <w:t xml:space="preserve"> </w:t>
      </w:r>
      <w:r>
        <w:t xml:space="preserve">vs. </w:t>
      </w:r>
      <m:oMath>
        <m:r>
          <m:t>89</m:t>
        </m:r>
        <m:r>
          <m:rPr>
            <m:sty m:val="p"/>
          </m:rPr>
          <m:t>±</m:t>
        </m:r>
        <m:r>
          <m:t>3</m:t>
        </m:r>
        <m:r>
          <m:rPr>
            <m:sty m:val="p"/>
          </m:rPr>
          <m:t>%</m:t>
        </m:r>
      </m:oMath>
      <w:r>
        <w:t xml:space="preserve">,</w:t>
      </w:r>
      <w:r>
        <w:t xml:space="preserve"> </w:t>
      </w:r>
      <m:oMath>
        <m:r>
          <m:t>M</m:t>
        </m:r>
        <m:r>
          <m:t>3</m:t>
        </m:r>
      </m:oMath>
      <w:r>
        <w:t xml:space="preserve">) compounds did not alter the pattern. The characterised imbalance was also maintained when standardising initial distances to the isthmus of simulated species originating in North America to those of simulated species from South America, except for simulations generated under the zero-adaptationist model (</w:t>
      </w:r>
      <m:oMath>
        <m:r>
          <m:t>50</m:t>
        </m:r>
        <m:r>
          <m:rPr>
            <m:sty m:val="p"/>
          </m:rPr>
          <m:t>±</m:t>
        </m:r>
        <m:r>
          <m:t>6</m:t>
        </m:r>
        <m:r>
          <m:rPr>
            <m:sty m:val="p"/>
          </m:rPr>
          <m:t>%</m:t>
        </m:r>
      </m:oMath>
      <w:r>
        <w:t xml:space="preserve"> </w:t>
      </w:r>
      <w:r>
        <w:t xml:space="preserve">vs. </w:t>
      </w:r>
      <m:oMath>
        <m:r>
          <m:t>59</m:t>
        </m:r>
        <m:r>
          <m:rPr>
            <m:sty m:val="p"/>
          </m:rPr>
          <m:t>±</m:t>
        </m:r>
        <m:r>
          <m:t>5</m:t>
        </m:r>
        <m:r>
          <m:rPr>
            <m:sty m:val="p"/>
          </m:rPr>
          <m:t>%</m:t>
        </m:r>
      </m:oMath>
      <w:r>
        <w:t xml:space="preserve">) (Figure S2). This spatial standardisation aimed at controlling for the fact that simulations starting from South America originated on average closer to the isthmus than those starting from North America, therefore introducing a spatial bias (see</w:t>
      </w:r>
      <w:r>
        <w:t xml:space="preserve"> </w:t>
      </w:r>
      <w:r>
        <w:rPr>
          <w:i/>
          <w:iCs/>
        </w:rPr>
        <w:t xml:space="preserve">STAR Methods</w:t>
      </w:r>
      <w:r>
        <w:t xml:space="preserve"> </w:t>
      </w:r>
      <w:r>
        <w:t xml:space="preserve">and Figure S1).</w:t>
      </w:r>
    </w:p>
    <w:p>
      <w:pPr>
        <w:pStyle w:val="BodyText"/>
      </w:pPr>
      <w:r>
        <w:t xml:space="preserve">That being said, out of the 500 runs carried out for each initial landmass-modelling scenario combination, the proportion of simulations leading to no living representative (=crash) was on average three times higher for simulations starting from North America, except for model</w:t>
      </w:r>
      <w:r>
        <w:t xml:space="preserve"> </w:t>
      </w:r>
      <m:oMath>
        <m:r>
          <m:t>M</m:t>
        </m:r>
        <m:r>
          <m:t>3</m:t>
        </m:r>
      </m:oMath>
      <w:r>
        <w:t xml:space="preserve">, recording almost no crash (Table S2). This difference, although attenuated, persisted after the previously-introduced spatial standardisation procedure.</w:t>
      </w:r>
    </w:p>
    <w:bookmarkEnd w:id="23"/>
    <w:bookmarkStart w:id="24" w:name="success-on-the-foreign-continent"/>
    <w:p>
      <w:pPr>
        <w:pStyle w:val="Heading2"/>
      </w:pPr>
      <w:r>
        <w:t xml:space="preserve">Success on the foreign continent</w:t>
      </w:r>
    </w:p>
    <w:p>
      <w:pPr>
        <w:pStyle w:val="FirstParagraph"/>
      </w:pPr>
      <w:r>
        <w:t xml:space="preserve">Our findings highlight that, irrespective of the initial continent, at the final state, successful simulations generated under models allowing species climatic niches to evolve (</w:t>
      </w:r>
      <m:oMath>
        <m:r>
          <m:t>M</m:t>
        </m:r>
        <m:r>
          <m:t>1</m:t>
        </m:r>
        <m:r>
          <m:rPr>
            <m:sty m:val="p"/>
          </m:rPr>
          <m:t>−</m:t>
        </m:r>
        <m:r>
          <m:t>M</m:t>
        </m:r>
        <m:r>
          <m:t>3</m:t>
        </m:r>
      </m:oMath>
      <w:r>
        <w:t xml:space="preserve">) colonised a larger area on the foreign continent – quantified as the ratio between the number of pixels recording a presence in the landmass to colonise and the total number of pixels offered by this landmass – than those generated under the</w:t>
      </w:r>
      <w:r>
        <w:t xml:space="preserve"> </w:t>
      </w:r>
      <m:oMath>
        <m:r>
          <m:t>M</m:t>
        </m:r>
        <m:r>
          <m:t>0</m:t>
        </m:r>
      </m:oMath>
      <w:r>
        <w:t xml:space="preserve"> </w:t>
      </w:r>
      <w:r>
        <w:t xml:space="preserve">model – where climatic niche evolution was not allowed (</w:t>
      </w:r>
      <w:hyperlink w:anchor="fig-metrics">
        <w:r>
          <w:rPr>
            <w:rStyle w:val="Hyperlink"/>
          </w:rPr>
          <w:t xml:space="preserve">Figure 3</w:t>
        </w:r>
      </w:hyperlink>
      <w:r>
        <w:t xml:space="preserve"> </w:t>
      </w:r>
      <w:r>
        <w:t xml:space="preserve">A). Furthermore, virtual species of North American origin that successfully made it to South America generally colonised a greater area than those of South American origin reaching North America (</w:t>
      </w:r>
      <w:hyperlink w:anchor="fig-metrics">
        <w:r>
          <w:rPr>
            <w:rStyle w:val="Hyperlink"/>
          </w:rPr>
          <w:t xml:space="preserve">Figure 3</w:t>
        </w:r>
      </w:hyperlink>
      <w:r>
        <w:t xml:space="preserve"> </w:t>
      </w:r>
      <w:r>
        <w:t xml:space="preserve">A). This pattern, particularly striking for simulations generated under the</w:t>
      </w:r>
      <w:r>
        <w:t xml:space="preserve"> </w:t>
      </w:r>
      <m:oMath>
        <m:r>
          <m:t>M</m:t>
        </m:r>
        <m:r>
          <m:t>0</m:t>
        </m:r>
      </m:oMath>
      <w:r>
        <w:t xml:space="preserve"> </w:t>
      </w:r>
      <w:r>
        <w:t xml:space="preserve">model (</w:t>
      </w:r>
      <m:oMath>
        <m:r>
          <m:t>36.5</m:t>
        </m:r>
        <m:r>
          <m:rPr>
            <m:sty m:val="p"/>
          </m:rPr>
          <m:t>±</m:t>
        </m:r>
        <m:r>
          <m:t>3.5</m:t>
        </m:r>
        <m:r>
          <m:rPr>
            <m:sty m:val="p"/>
          </m:rPr>
          <m:t>%</m:t>
        </m:r>
      </m:oMath>
      <w:r>
        <w:t xml:space="preserve"> </w:t>
      </w:r>
      <w:r>
        <w:t xml:space="preserve">vs. </w:t>
      </w:r>
      <m:oMath>
        <m:r>
          <m:t>11.7</m:t>
        </m:r>
        <m:r>
          <m:rPr>
            <m:sty m:val="p"/>
          </m:rPr>
          <m:t>±</m:t>
        </m:r>
        <m:r>
          <m:t>0.4</m:t>
        </m:r>
        <m:r>
          <m:rPr>
            <m:sty m:val="p"/>
          </m:rPr>
          <m:t>%</m:t>
        </m:r>
      </m:oMath>
      <w:r>
        <w:t xml:space="preserve">), holds for all but the</w:t>
      </w:r>
      <w:r>
        <w:t xml:space="preserve"> </w:t>
      </w:r>
      <m:oMath>
        <m:r>
          <m:t>M</m:t>
        </m:r>
        <m:r>
          <m:t>3</m:t>
        </m:r>
      </m:oMath>
      <w:r>
        <w:t xml:space="preserve"> </w:t>
      </w:r>
      <w:r>
        <w:t xml:space="preserve">model – relaxing the precipitation constraint on virtual species’ niche –, the latter suggesting an opposite trend (</w:t>
      </w:r>
      <m:oMath>
        <m:r>
          <m:t>69.9</m:t>
        </m:r>
        <m:r>
          <m:rPr>
            <m:sty m:val="p"/>
          </m:rPr>
          <m:t>±</m:t>
        </m:r>
        <m:r>
          <m:t>3.3</m:t>
        </m:r>
        <m:r>
          <m:rPr>
            <m:sty m:val="p"/>
          </m:rPr>
          <m:t>%</m:t>
        </m:r>
      </m:oMath>
      <w:r>
        <w:t xml:space="preserve"> </w:t>
      </w:r>
      <w:r>
        <w:t xml:space="preserve">vs</w:t>
      </w:r>
      <w:r>
        <w:t xml:space="preserve"> </w:t>
      </w:r>
      <m:oMath>
        <m:r>
          <m:t>79.4</m:t>
        </m:r>
        <m:r>
          <m:rPr>
            <m:sty m:val="p"/>
          </m:rPr>
          <m:t>±</m:t>
        </m:r>
        <m:r>
          <m:t>3.9</m:t>
        </m:r>
        <m:r>
          <m:rPr>
            <m:sty m:val="p"/>
          </m:rPr>
          <m:t>%</m:t>
        </m:r>
      </m:oMath>
      <w:r>
        <w:t xml:space="preserve">).</w:t>
      </w:r>
    </w:p>
    <w:p>
      <w:pPr>
        <w:pStyle w:val="BodyText"/>
      </w:pPr>
      <w:r>
        <w:t xml:space="preserve">Besides, contrary to the proportion of colonised area, for a given ancestral continent, colonised</w:t>
      </w:r>
      <w:r>
        <w:t xml:space="preserve"> </w:t>
      </w:r>
      <m:oMath>
        <m:r>
          <m:t>α</m:t>
        </m:r>
      </m:oMath>
      <w:r>
        <w:t xml:space="preserve">-diversity –</w:t>
      </w:r>
      <w:r>
        <w:t xml:space="preserve"> </w:t>
      </w:r>
      <w:r>
        <w:rPr>
          <w:i/>
          <w:iCs/>
        </w:rPr>
        <w:t xml:space="preserve">i</w:t>
      </w:r>
      <w:r>
        <w:t xml:space="preserve">.</w:t>
      </w:r>
      <w:r>
        <w:rPr>
          <w:i/>
          <w:iCs/>
        </w:rPr>
        <w:t xml:space="preserve">e</w:t>
      </w:r>
      <w:r>
        <w:t xml:space="preserve">., number of taxa within the colonised continent – does not exhibit huge variations across our four models, though a significant decrease is to be reported for simulations starting from North America generated under the</w:t>
      </w:r>
      <w:r>
        <w:t xml:space="preserve"> </w:t>
      </w:r>
      <m:oMath>
        <m:r>
          <m:t>M</m:t>
        </m:r>
        <m:r>
          <m:t>3</m:t>
        </m:r>
      </m:oMath>
      <w:r>
        <w:t xml:space="preserve"> </w:t>
      </w:r>
      <w:r>
        <w:t xml:space="preserve">model (</w:t>
      </w:r>
      <w:hyperlink w:anchor="fig-metrics">
        <w:r>
          <w:rPr>
            <w:rStyle w:val="Hyperlink"/>
          </w:rPr>
          <w:t xml:space="preserve">Figure 3</w:t>
        </w:r>
      </w:hyperlink>
      <w:r>
        <w:t xml:space="preserve"> </w:t>
      </w:r>
      <w:r>
        <w:t xml:space="preserve">B). Moreover, ancestral continent does not seem to affect mean colonised</w:t>
      </w:r>
      <w:r>
        <w:t xml:space="preserve"> </w:t>
      </w:r>
      <m:oMath>
        <m:r>
          <m:t>α</m:t>
        </m:r>
      </m:oMath>
      <w:r>
        <w:t xml:space="preserve">-diversity values in the case of the</w:t>
      </w:r>
      <w:r>
        <w:t xml:space="preserve"> </w:t>
      </w:r>
      <m:oMath>
        <m:r>
          <m:t>M</m:t>
        </m:r>
        <m:r>
          <m:t>1</m:t>
        </m:r>
      </m:oMath>
      <w:r>
        <w:t xml:space="preserve"> </w:t>
      </w:r>
      <w:r>
        <w:t xml:space="preserve">(</w:t>
      </w:r>
      <m:oMath>
        <m:r>
          <m:t>212</m:t>
        </m:r>
        <m:r>
          <m:rPr>
            <m:sty m:val="p"/>
          </m:rPr>
          <m:t>±</m:t>
        </m:r>
        <m:r>
          <m:t>61</m:t>
        </m:r>
      </m:oMath>
      <w:r>
        <w:t xml:space="preserve"> </w:t>
      </w:r>
      <w:r>
        <w:t xml:space="preserve">vs. </w:t>
      </w:r>
      <m:oMath>
        <m:r>
          <m:t>170</m:t>
        </m:r>
        <m:r>
          <m:rPr>
            <m:sty m:val="p"/>
          </m:rPr>
          <m:t>±</m:t>
        </m:r>
        <m:r>
          <m:t>25</m:t>
        </m:r>
      </m:oMath>
      <w:r>
        <w:t xml:space="preserve"> </w:t>
      </w:r>
      <w:r>
        <w:t xml:space="preserve">species respectively retrieved in the foreign continent after starting from North or South America) and</w:t>
      </w:r>
      <w:r>
        <w:t xml:space="preserve"> </w:t>
      </w:r>
      <m:oMath>
        <m:r>
          <m:t>M</m:t>
        </m:r>
        <m:r>
          <m:t>2</m:t>
        </m:r>
      </m:oMath>
      <w:r>
        <w:t xml:space="preserve"> </w:t>
      </w:r>
      <w:r>
        <w:t xml:space="preserve">(</w:t>
      </w:r>
      <m:oMath>
        <m:r>
          <m:t>161</m:t>
        </m:r>
        <m:r>
          <m:rPr>
            <m:sty m:val="p"/>
          </m:rPr>
          <m:t>±</m:t>
        </m:r>
        <m:r>
          <m:t>48</m:t>
        </m:r>
      </m:oMath>
      <w:r>
        <w:t xml:space="preserve"> </w:t>
      </w:r>
      <w:r>
        <w:t xml:space="preserve">vs. </w:t>
      </w:r>
      <m:oMath>
        <m:r>
          <m:t>171</m:t>
        </m:r>
        <m:r>
          <m:rPr>
            <m:sty m:val="p"/>
          </m:rPr>
          <m:t>±</m:t>
        </m:r>
        <m:r>
          <m:t>27</m:t>
        </m:r>
      </m:oMath>
      <w:r>
        <w:t xml:space="preserve"> </w:t>
      </w:r>
      <w:r>
        <w:t xml:space="preserve">species) models. It does however affect</w:t>
      </w:r>
    </w:p>
    <w:p>
      <w:pPr>
        <w:pStyle w:val="BodyText"/>
      </w:pPr>
      <w:r>
        <w:t xml:space="preserve">In addition, successful simulations starting from North America generally started from an ancestor located closer to the isthmus than those starting from South America (</w:t>
      </w:r>
      <w:hyperlink w:anchor="fig-metrics">
        <w:r>
          <w:rPr>
            <w:rStyle w:val="Hyperlink"/>
          </w:rPr>
          <w:t xml:space="preserve">Figure 3</w:t>
        </w:r>
      </w:hyperlink>
      <w:r>
        <w:t xml:space="preserve"> </w:t>
      </w:r>
      <w:r>
        <w:t xml:space="preserve">C), again except for simulation generated under</w:t>
      </w:r>
      <w:r>
        <w:t xml:space="preserve"> </w:t>
      </w:r>
      <m:oMath>
        <m:r>
          <m:t>M</m:t>
        </m:r>
        <m:r>
          <m:t>3</m:t>
        </m:r>
      </m:oMath>
      <w:r>
        <w:t xml:space="preserve">. Also, we can highlight a general trend that ancestral species originated closer to the isthmus in the case of successful simulations compared to unsuccessful ones (Figure S6-7). Interestingly enough, the results obtained for this metric, just like those obtained for the other two, hold for simulations generated after standardising the initial distances to the isthmus of North American virtual species with those starting from South America (Figure S3).</w:t>
      </w:r>
    </w:p>
    <w:bookmarkEnd w:id="24"/>
    <w:bookmarkStart w:id="25" w:name="X82f98bdfcac253573425d1541df4621b4f5d747"/>
    <w:p>
      <w:pPr>
        <w:pStyle w:val="Heading2"/>
      </w:pPr>
      <w:r>
        <w:t xml:space="preserve">Biome selectivity of the simulated faunal exchanges</w:t>
      </w:r>
    </w:p>
    <w:p>
      <w:pPr>
        <w:pStyle w:val="FirstParagraph"/>
      </w:pPr>
      <w:r>
        <w:t xml:space="preserve">We classified the climatic landscape at the time of the simulation onset (</w:t>
      </w:r>
      <m:oMath>
        <m:r>
          <m:t>t</m:t>
        </m:r>
        <m:r>
          <m:rPr>
            <m:sty m:val="p"/>
          </m:rPr>
          <m:t>=</m:t>
        </m:r>
        <m:r>
          <m:t>5</m:t>
        </m:r>
      </m:oMath>
      <w:r>
        <w:t xml:space="preserve"> </w:t>
      </w:r>
      <w:r>
        <w:t xml:space="preserve">Million years ago, Ma) following the five broad climatic zones proposed by Beck et al.</w:t>
      </w:r>
      <w:r>
        <w:rPr>
          <w:vertAlign w:val="superscript"/>
        </w:rPr>
        <w:t xml:space="preserve">36</w:t>
      </w:r>
      <w:r>
        <w:t xml:space="preserve"> </w:t>
      </w:r>
      <w:r>
        <w:t xml:space="preserve">and Galván et al.</w:t>
      </w:r>
      <w:r>
        <w:rPr>
          <w:vertAlign w:val="superscript"/>
        </w:rPr>
        <w:t xml:space="preserve">37</w:t>
      </w:r>
      <w:r>
        <w:t xml:space="preserve">: Tropical, Arid, Temperate, Cold and Polar (</w:t>
      </w:r>
      <w:hyperlink w:anchor="fig-biome">
        <w:r>
          <w:rPr>
            <w:rStyle w:val="Hyperlink"/>
          </w:rPr>
          <w:t xml:space="preserve">Figure 4</w:t>
        </w:r>
      </w:hyperlink>
      <w:r>
        <w:t xml:space="preserve"> </w:t>
      </w:r>
      <w:r>
        <w:t xml:space="preserve">A). The ancestral species of each simulation was therefore assigned an initial biome based on the location of the site where it originated, randomly drawn within an equal-area grid overlaying our landscape (see</w:t>
      </w:r>
      <w:r>
        <w:t xml:space="preserve"> </w:t>
      </w:r>
      <w:r>
        <w:rPr>
          <w:i/>
          <w:iCs/>
        </w:rPr>
        <w:t xml:space="preserve">STAR Methods</w:t>
      </w:r>
      <w:r>
        <w:t xml:space="preserve">). We propose simulations generated under the</w:t>
      </w:r>
      <w:r>
        <w:t xml:space="preserve"> </w:t>
      </w:r>
      <m:oMath>
        <m:r>
          <m:t>M</m:t>
        </m:r>
        <m:r>
          <m:t>0</m:t>
        </m:r>
      </m:oMath>
      <w:r>
        <w:t xml:space="preserve"> </w:t>
      </w:r>
      <w:r>
        <w:t xml:space="preserve">model – where climatic niche does not evolve – to reflect the macroecological behaviour of biome specialists, maintaining an ecological affinity with the biome where they originated. On the other hand, species generated under the other models (</w:t>
      </w:r>
      <m:oMath>
        <m:r>
          <m:t>M</m:t>
        </m:r>
        <m:r>
          <m:t>1</m:t>
        </m:r>
        <m:r>
          <m:rPr>
            <m:sty m:val="p"/>
          </m:rPr>
          <m:t>−</m:t>
        </m:r>
        <m:r>
          <m:t>3</m:t>
        </m:r>
      </m:oMath>
      <w:r>
        <w:t xml:space="preserve">) – allowing climatic niche evolution over time – were considered biome generalists.</w:t>
      </w:r>
    </w:p>
    <w:p>
      <w:pPr>
        <w:pStyle w:val="BodyText"/>
      </w:pPr>
      <w:r>
        <w:t xml:space="preserve">Due to the unequal area occupied by each biome between the two continents, the number of simulations starting within each biome was largely uneven across biome classes and continents (</w:t>
      </w:r>
      <w:hyperlink w:anchor="fig-biome">
        <w:r>
          <w:rPr>
            <w:rStyle w:val="Hyperlink"/>
          </w:rPr>
          <w:t xml:space="preserve">Figure 4</w:t>
        </w:r>
      </w:hyperlink>
      <w:r>
        <w:t xml:space="preserve"> </w:t>
      </w:r>
      <w:r>
        <w:t xml:space="preserve">B). The majority of North American ancestral species originated in the cold biome (</w:t>
      </w:r>
      <m:oMath>
        <m:r>
          <m:t>57</m:t>
        </m:r>
        <m:r>
          <m:rPr>
            <m:sty m:val="p"/>
          </m:rPr>
          <m:t>%</m:t>
        </m:r>
      </m:oMath>
      <w:r>
        <w:t xml:space="preserve">), whereas the tropical biome recorded the largest proportion of ancestral species origination in South America (</w:t>
      </w:r>
      <m:oMath>
        <m:r>
          <m:t>58</m:t>
        </m:r>
        <m:r>
          <m:rPr>
            <m:sty m:val="p"/>
          </m:rPr>
          <m:t>%</m:t>
        </m:r>
      </m:oMath>
      <w:r>
        <w:t xml:space="preserve">). Standardising initial distances to the isthmus of simulations originating in North America increased the proportion of simulations originating under low latitudes, to the detriment of those originating in high ones, less represented in South America (</w:t>
      </w:r>
      <w:hyperlink w:anchor="fig-biome">
        <w:r>
          <w:rPr>
            <w:rStyle w:val="Hyperlink"/>
          </w:rPr>
          <w:t xml:space="preserve">Figure 4</w:t>
        </w:r>
      </w:hyperlink>
      <w:r>
        <w:t xml:space="preserve"> </w:t>
      </w:r>
      <w:r>
        <w:t xml:space="preserve">A and Figure S4). Consequently, this increased the representativity of the tropical (from</w:t>
      </w:r>
      <w:r>
        <w:t xml:space="preserve"> </w:t>
      </w:r>
      <m:oMath>
        <m:r>
          <m:t>5</m:t>
        </m:r>
        <m:r>
          <m:rPr>
            <m:sty m:val="p"/>
          </m:rPr>
          <m:t>%</m:t>
        </m:r>
      </m:oMath>
      <w:r>
        <w:t xml:space="preserve"> </w:t>
      </w:r>
      <w:r>
        <w:t xml:space="preserve">to</w:t>
      </w:r>
      <w:r>
        <w:t xml:space="preserve"> </w:t>
      </w:r>
      <m:oMath>
        <m:r>
          <m:t>10</m:t>
        </m:r>
        <m:r>
          <m:rPr>
            <m:sty m:val="p"/>
          </m:rPr>
          <m:t>%</m:t>
        </m:r>
      </m:oMath>
      <w:r>
        <w:t xml:space="preserve">) and arid (from</w:t>
      </w:r>
      <w:r>
        <w:t xml:space="preserve"> </w:t>
      </w:r>
      <m:oMath>
        <m:r>
          <m:t>16</m:t>
        </m:r>
        <m:r>
          <m:rPr>
            <m:sty m:val="p"/>
          </m:rPr>
          <m:t>%</m:t>
        </m:r>
      </m:oMath>
      <w:r>
        <w:t xml:space="preserve"> </w:t>
      </w:r>
      <w:r>
        <w:t xml:space="preserve">to</w:t>
      </w:r>
      <w:r>
        <w:t xml:space="preserve"> </w:t>
      </w:r>
      <m:oMath>
        <m:r>
          <m:t>26</m:t>
        </m:r>
        <m:r>
          <m:rPr>
            <m:sty m:val="p"/>
          </m:rPr>
          <m:t>%</m:t>
        </m:r>
      </m:oMath>
      <w:r>
        <w:t xml:space="preserve">) biomes in the starting ranges of simulations originating in North America, and decreased the proportion of simulations originating in the cold (from</w:t>
      </w:r>
      <w:r>
        <w:t xml:space="preserve"> </w:t>
      </w:r>
      <m:oMath>
        <m:r>
          <m:t>57</m:t>
        </m:r>
        <m:r>
          <m:rPr>
            <m:sty m:val="p"/>
          </m:rPr>
          <m:t>%</m:t>
        </m:r>
      </m:oMath>
      <w:r>
        <w:t xml:space="preserve"> </w:t>
      </w:r>
      <w:r>
        <w:t xml:space="preserve">to</w:t>
      </w:r>
      <w:r>
        <w:t xml:space="preserve"> </w:t>
      </w:r>
      <m:oMath>
        <m:r>
          <m:t>40</m:t>
        </m:r>
        <m:r>
          <m:rPr>
            <m:sty m:val="p"/>
          </m:rPr>
          <m:t>%</m:t>
        </m:r>
      </m:oMath>
      <w:r>
        <w:t xml:space="preserve">) and polar (from</w:t>
      </w:r>
      <w:r>
        <w:t xml:space="preserve"> </w:t>
      </w:r>
      <m:oMath>
        <m:r>
          <m:t>4</m:t>
        </m:r>
        <m:r>
          <m:rPr>
            <m:sty m:val="p"/>
          </m:rPr>
          <m:t>%</m:t>
        </m:r>
      </m:oMath>
      <w:r>
        <w:t xml:space="preserve"> </w:t>
      </w:r>
      <w:r>
        <w:t xml:space="preserve">to</w:t>
      </w:r>
      <w:r>
        <w:t xml:space="preserve"> </w:t>
      </w:r>
      <m:oMath>
        <m:r>
          <m:t>2</m:t>
        </m:r>
        <m:r>
          <m:rPr>
            <m:sty m:val="p"/>
          </m:rPr>
          <m:t>%</m:t>
        </m:r>
      </m:oMath>
      <w:r>
        <w:t xml:space="preserve">) ones (Figure S9).</w:t>
      </w:r>
    </w:p>
    <w:p>
      <w:pPr>
        <w:pStyle w:val="BodyText"/>
      </w:pPr>
      <w:r>
        <w:t xml:space="preserve">Despite this initial imbalance, when simulations were generated under the</w:t>
      </w:r>
      <w:r>
        <w:t xml:space="preserve"> </w:t>
      </w:r>
      <m:oMath>
        <m:r>
          <m:t>M</m:t>
        </m:r>
        <m:r>
          <m:t>0</m:t>
        </m:r>
      </m:oMath>
      <w:r>
        <w:t xml:space="preserve"> </w:t>
      </w:r>
      <w:r>
        <w:t xml:space="preserve">model, our results suggest similar exchange intensity patterns between simulations starting from North and South America (</w:t>
      </w:r>
      <w:hyperlink w:anchor="fig-biome">
        <w:r>
          <w:rPr>
            <w:rStyle w:val="Hyperlink"/>
          </w:rPr>
          <w:t xml:space="preserve">Figure 4</w:t>
        </w:r>
      </w:hyperlink>
      <w:r>
        <w:t xml:space="preserve"> </w:t>
      </w:r>
      <w:r>
        <w:t xml:space="preserve">C, first row). Tropical specialists (</w:t>
      </w:r>
      <w:r>
        <w:rPr>
          <w:i/>
          <w:iCs/>
        </w:rPr>
        <w:t xml:space="preserve">i</w:t>
      </w:r>
      <w:r>
        <w:t xml:space="preserve">.</w:t>
      </w:r>
      <w:r>
        <w:rPr>
          <w:i/>
          <w:iCs/>
        </w:rPr>
        <w:t xml:space="preserve">e</w:t>
      </w:r>
      <w:r>
        <w:t xml:space="preserve">., originating in the tropical biome and evolving under</w:t>
      </w:r>
      <w:r>
        <w:t xml:space="preserve"> </w:t>
      </w:r>
      <m:oMath>
        <m:r>
          <m:t>M</m:t>
        </m:r>
        <m:r>
          <m:t>0</m:t>
        </m:r>
      </m:oMath>
      <w:r>
        <w:t xml:space="preserve">) were largely more frequently exchanged than other biome specialists, with on average</w:t>
      </w:r>
      <w:r>
        <w:t xml:space="preserve"> </w:t>
      </w:r>
      <m:oMath>
        <m:r>
          <m:t>90</m:t>
        </m:r>
        <m:d>
          <m:dPr>
            <m:begChr m:val="["/>
            <m:endChr m:val="]"/>
            <m:sepChr m:val=""/>
            <m:grow/>
          </m:dPr>
          <m:e>
            <m:r>
              <m:t>77</m:t>
            </m:r>
            <m:r>
              <m:rPr>
                <m:sty m:val="p"/>
              </m:rPr>
              <m:t>,</m:t>
            </m:r>
            <m:r>
              <m:t>100</m:t>
            </m:r>
          </m:e>
        </m:d>
        <m:r>
          <m:rPr>
            <m:sty m:val="p"/>
          </m:rPr>
          <m:t>%</m:t>
        </m:r>
      </m:oMath>
      <w:r>
        <w:t xml:space="preserve"> </w:t>
      </w:r>
      <w:r>
        <w:t xml:space="preserve">successful exchanges southwards (</w:t>
      </w:r>
      <w:r>
        <w:rPr>
          <w:i/>
          <w:iCs/>
        </w:rPr>
        <w:t xml:space="preserve">i</w:t>
      </w:r>
      <w:r>
        <w:t xml:space="preserve">.</w:t>
      </w:r>
      <w:r>
        <w:rPr>
          <w:i/>
          <w:iCs/>
        </w:rPr>
        <w:t xml:space="preserve">e</w:t>
      </w:r>
      <w:r>
        <w:t xml:space="preserve">., from simulations originating in North America) and</w:t>
      </w:r>
      <w:r>
        <w:t xml:space="preserve"> </w:t>
      </w:r>
      <m:oMath>
        <m:r>
          <m:t>66</m:t>
        </m:r>
        <m:r>
          <m:rPr>
            <m:sty m:val="p"/>
          </m:rPr>
          <m:t>±</m:t>
        </m:r>
        <m:r>
          <m:t>5</m:t>
        </m:r>
        <m:r>
          <m:rPr>
            <m:sty m:val="p"/>
          </m:rPr>
          <m:t>%</m:t>
        </m:r>
      </m:oMath>
      <w:r>
        <w:t xml:space="preserve"> </w:t>
      </w:r>
      <w:r>
        <w:t xml:space="preserve">northwards (</w:t>
      </w:r>
      <w:r>
        <w:rPr>
          <w:i/>
          <w:iCs/>
        </w:rPr>
        <w:t xml:space="preserve">i</w:t>
      </w:r>
      <w:r>
        <w:t xml:space="preserve">.</w:t>
      </w:r>
      <w:r>
        <w:rPr>
          <w:i/>
          <w:iCs/>
        </w:rPr>
        <w:t xml:space="preserve">e</w:t>
      </w:r>
      <w:r>
        <w:t xml:space="preserve">., from simulations originating in South America). Such proportions were significantly reduced for arid (</w:t>
      </w:r>
      <m:oMath>
        <m:r>
          <m:t>26</m:t>
        </m:r>
        <m:r>
          <m:rPr>
            <m:sty m:val="p"/>
          </m:rPr>
          <m:t>±</m:t>
        </m:r>
        <m:r>
          <m:t>6</m:t>
        </m:r>
        <m:r>
          <m:rPr>
            <m:sty m:val="p"/>
          </m:rPr>
          <m:t>%</m:t>
        </m:r>
      </m:oMath>
      <w:r>
        <w:t xml:space="preserve"> </w:t>
      </w:r>
      <w:r>
        <w:t xml:space="preserve">southwards,</w:t>
      </w:r>
      <w:r>
        <w:t xml:space="preserve"> </w:t>
      </w:r>
      <m:oMath>
        <m:r>
          <m:t>18</m:t>
        </m:r>
        <m:r>
          <m:rPr>
            <m:sty m:val="p"/>
          </m:rPr>
          <m:t>±</m:t>
        </m:r>
        <m:r>
          <m:t>9</m:t>
        </m:r>
        <m:r>
          <m:rPr>
            <m:sty m:val="p"/>
          </m:rPr>
          <m:t>%</m:t>
        </m:r>
      </m:oMath>
      <w:r>
        <w:t xml:space="preserve"> </w:t>
      </w:r>
      <w:r>
        <w:t xml:space="preserve">northwards) and temperate specialists (</w:t>
      </w:r>
      <m:oMath>
        <m:r>
          <m:t>26</m:t>
        </m:r>
        <m:r>
          <m:rPr>
            <m:sty m:val="p"/>
          </m:rPr>
          <m:t>±</m:t>
        </m:r>
        <m:r>
          <m:t>10</m:t>
        </m:r>
        <m:r>
          <m:rPr>
            <m:sty m:val="p"/>
          </m:rPr>
          <m:t>%</m:t>
        </m:r>
      </m:oMath>
      <w:r>
        <w:t xml:space="preserve"> </w:t>
      </w:r>
      <w:r>
        <w:t xml:space="preserve">southwards,</w:t>
      </w:r>
      <w:r>
        <w:t xml:space="preserve"> </w:t>
      </w:r>
      <m:oMath>
        <m:r>
          <m:t>29</m:t>
        </m:r>
        <m:r>
          <m:rPr>
            <m:sty m:val="p"/>
          </m:rPr>
          <m:t>±</m:t>
        </m:r>
        <m:r>
          <m:t>8</m:t>
        </m:r>
        <m:r>
          <m:rPr>
            <m:sty m:val="p"/>
          </m:rPr>
          <m:t>%</m:t>
        </m:r>
      </m:oMath>
      <w:r>
        <w:t xml:space="preserve"> </w:t>
      </w:r>
      <w:r>
        <w:t xml:space="preserve">northwards), and almost no cold or polar specialist, no matter where it originated, successfully made it to the other continent. The exact same pattern is obtained for southwards dispersal events occurring after standardising initial distances to the isthmus (Figure S8,</w:t>
      </w:r>
      <w:r>
        <w:t xml:space="preserve"> </w:t>
      </w:r>
      <m:oMath>
        <m:r>
          <m:t>M</m:t>
        </m:r>
        <m:r>
          <m:t>0</m:t>
        </m:r>
      </m:oMath>
      <w:r>
        <w:t xml:space="preserve">).</w:t>
      </w:r>
    </w:p>
    <w:p>
      <w:pPr>
        <w:pStyle w:val="BodyText"/>
      </w:pPr>
      <w:r>
        <w:t xml:space="preserve">Regarding biome generalists (models</w:t>
      </w:r>
      <w:r>
        <w:t xml:space="preserve"> </w:t>
      </w:r>
      <m:oMath>
        <m:r>
          <m:t>M</m:t>
        </m:r>
        <m:r>
          <m:t>1</m:t>
        </m:r>
        <m:r>
          <m:rPr>
            <m:sty m:val="p"/>
          </m:rPr>
          <m:t>−</m:t>
        </m:r>
        <m:r>
          <m:t>3</m:t>
        </m:r>
      </m:oMath>
      <w:r>
        <w:t xml:space="preserve">), simulations starting from North America maintained the same distribution of exchange intensities across biomes as biome specialists. Generalists that originated in the tropical biome record the highest proportion of exchange success (</w:t>
      </w:r>
      <m:oMath>
        <m:r>
          <m:t>89</m:t>
        </m:r>
        <m:d>
          <m:dPr>
            <m:begChr m:val="["/>
            <m:endChr m:val="]"/>
            <m:sepChr m:val=""/>
            <m:grow/>
          </m:dPr>
          <m:e>
            <m:r>
              <m:t>75</m:t>
            </m:r>
            <m:r>
              <m:rPr>
                <m:sty m:val="p"/>
              </m:rPr>
              <m:t>,</m:t>
            </m:r>
            <m:r>
              <m:t>100</m:t>
            </m:r>
          </m:e>
        </m:d>
        <m:r>
          <m:rPr>
            <m:sty m:val="p"/>
          </m:rPr>
          <m:t>%</m:t>
        </m:r>
      </m:oMath>
      <w:r>
        <w:t xml:space="preserve"> </w:t>
      </w:r>
      <w:r>
        <w:t xml:space="preserve">for</w:t>
      </w:r>
      <w:r>
        <w:t xml:space="preserve"> </w:t>
      </w:r>
      <m:oMath>
        <m:r>
          <m:t>M</m:t>
        </m:r>
        <m:r>
          <m:t>1</m:t>
        </m:r>
      </m:oMath>
      <w:r>
        <w:t xml:space="preserve">), followed by those originating in the temperate (</w:t>
      </w:r>
      <m:oMath>
        <m:r>
          <m:t>40</m:t>
        </m:r>
        <m:r>
          <m:rPr>
            <m:sty m:val="p"/>
          </m:rPr>
          <m:t>±</m:t>
        </m:r>
        <m:r>
          <m:t>10</m:t>
        </m:r>
        <m:r>
          <m:rPr>
            <m:sty m:val="p"/>
          </m:rPr>
          <m:t>%</m:t>
        </m:r>
      </m:oMath>
      <w:r>
        <w:t xml:space="preserve">,</w:t>
      </w:r>
      <w:r>
        <w:t xml:space="preserve"> </w:t>
      </w:r>
      <m:oMath>
        <m:r>
          <m:t>M</m:t>
        </m:r>
        <m:r>
          <m:t>1</m:t>
        </m:r>
      </m:oMath>
      <w:r>
        <w:t xml:space="preserve">) and arid (</w:t>
      </w:r>
      <m:oMath>
        <m:r>
          <m:t>34</m:t>
        </m:r>
        <m:r>
          <m:rPr>
            <m:sty m:val="p"/>
          </m:rPr>
          <m:t>±</m:t>
        </m:r>
        <m:r>
          <m:t>11</m:t>
        </m:r>
        <m:r>
          <m:rPr>
            <m:sty m:val="p"/>
          </m:rPr>
          <m:t>%</m:t>
        </m:r>
      </m:oMath>
      <w:r>
        <w:t xml:space="preserve">,</w:t>
      </w:r>
      <w:r>
        <w:t xml:space="preserve"> </w:t>
      </w:r>
      <m:oMath>
        <m:r>
          <m:t>M</m:t>
        </m:r>
        <m:r>
          <m:t>1</m:t>
        </m:r>
      </m:oMath>
      <w:r>
        <w:t xml:space="preserve">) biomes. Also, generalists originating in the cold or polar biomes almost never made it to South America (</w:t>
      </w:r>
      <w:hyperlink w:anchor="fig-biome">
        <w:r>
          <w:rPr>
            <w:rStyle w:val="Hyperlink"/>
          </w:rPr>
          <w:t xml:space="preserve">Figure 4</w:t>
        </w:r>
      </w:hyperlink>
      <w:r>
        <w:t xml:space="preserve"> </w:t>
      </w:r>
      <w:r>
        <w:t xml:space="preserve">C</w:t>
      </w:r>
      <w:r>
        <w:t xml:space="preserve"> </w:t>
      </w:r>
      <m:oMath>
        <m:r>
          <m:t>M</m:t>
        </m:r>
        <m:r>
          <m:t>1</m:t>
        </m:r>
        <m:r>
          <m:rPr>
            <m:sty m:val="p"/>
          </m:rPr>
          <m:t>−</m:t>
        </m:r>
        <m:r>
          <m:t>2</m:t>
        </m:r>
      </m:oMath>
      <w:r>
        <w:t xml:space="preserve">). That being said, we should notice that removing the precipitation constraint on species climatic niche (</w:t>
      </w:r>
      <w:r>
        <w:rPr>
          <w:i/>
          <w:iCs/>
        </w:rPr>
        <w:t xml:space="preserve">i</w:t>
      </w:r>
      <w:r>
        <w:t xml:space="preserve">.</w:t>
      </w:r>
      <w:r>
        <w:rPr>
          <w:i/>
          <w:iCs/>
        </w:rPr>
        <w:t xml:space="preserve">e</w:t>
      </w:r>
      <w:r>
        <w:t xml:space="preserve">., model</w:t>
      </w:r>
      <w:r>
        <w:t xml:space="preserve"> </w:t>
      </w:r>
      <m:oMath>
        <m:r>
          <m:t>M</m:t>
        </m:r>
        <m:r>
          <m:t>3</m:t>
        </m:r>
      </m:oMath>
      <w:r>
        <w:t xml:space="preserve">) tends to attenuate this imbalance (</w:t>
      </w:r>
      <w:hyperlink w:anchor="fig-biome">
        <w:r>
          <w:rPr>
            <w:rStyle w:val="Hyperlink"/>
          </w:rPr>
          <w:t xml:space="preserve">Figure 4</w:t>
        </w:r>
      </w:hyperlink>
      <w:r>
        <w:t xml:space="preserve"> </w:t>
      </w:r>
      <w:r>
        <w:t xml:space="preserve">C</w:t>
      </w:r>
      <w:r>
        <w:t xml:space="preserve"> </w:t>
      </w:r>
      <m:oMath>
        <m:r>
          <m:t>M</m:t>
        </m:r>
        <m:r>
          <m:t>3</m:t>
        </m:r>
      </m:oMath>
      <w:r>
        <w:t xml:space="preserve">). All this still hold when standardising initial distances to the isthmus of simulations starting from North America to those starting from South America (Figure S8,</w:t>
      </w:r>
      <w:r>
        <w:t xml:space="preserve"> </w:t>
      </w:r>
      <m:oMath>
        <m:r>
          <m:t>M</m:t>
        </m:r>
        <m:r>
          <m:t>1</m:t>
        </m:r>
        <m:r>
          <m:rPr>
            <m:sty m:val="p"/>
          </m:rPr>
          <m:t>−</m:t>
        </m:r>
        <m:r>
          <m:t>3</m:t>
        </m:r>
      </m:oMath>
      <w:r>
        <w:t xml:space="preserve">). Conversely, the disparity in proportion of successful exchanges across biomes was largely attenuated for biome generalists originating in South America, for which a successful exchange appears almost equally-likely, no matters the biome where they originate (</w:t>
      </w:r>
      <w:hyperlink w:anchor="fig-biome">
        <w:r>
          <w:rPr>
            <w:rStyle w:val="Hyperlink"/>
          </w:rPr>
          <w:t xml:space="preserve">Figure 4</w:t>
        </w:r>
      </w:hyperlink>
      <w:r>
        <w:t xml:space="preserve"> </w:t>
      </w:r>
      <w:r>
        <w:t xml:space="preserve">C</w:t>
      </w:r>
      <w:r>
        <w:t xml:space="preserve"> </w:t>
      </w:r>
      <m:oMath>
        <m:r>
          <m:t>M</m:t>
        </m:r>
        <m:r>
          <m:t>1</m:t>
        </m:r>
        <m:r>
          <m:rPr>
            <m:sty m:val="p"/>
          </m:rPr>
          <m:t>−</m:t>
        </m:r>
        <m:r>
          <m:t>3</m:t>
        </m:r>
      </m:oMath>
      <w:r>
        <w:t xml:space="preserve">).</w:t>
      </w:r>
    </w:p>
    <w:p>
      <w:r>
        <w:br w:type="page"/>
      </w:r>
    </w:p>
    <w:bookmarkEnd w:id="25"/>
    <w:bookmarkEnd w:id="26"/>
    <w:bookmarkStart w:id="31" w:name="discussion"/>
    <w:p>
      <w:pPr>
        <w:pStyle w:val="Heading1"/>
      </w:pPr>
      <w:r>
        <w:t xml:space="preserve">Discussion</w:t>
      </w:r>
    </w:p>
    <w:p>
      <w:pPr>
        <w:pStyle w:val="FirstParagraph"/>
      </w:pPr>
      <w:r>
        <w:t xml:space="preserve">Smoothing asymmetry =&gt; echo to birds</w:t>
      </w:r>
      <w:r>
        <w:rPr>
          <w:vertAlign w:val="superscript"/>
        </w:rPr>
        <w:t xml:space="preserve">38</w:t>
      </w:r>
      <w:r>
        <w:t xml:space="preserve">, flying behaviour relaxing constraints applied to land mammals ?</w:t>
      </w:r>
    </w:p>
    <w:p>
      <w:pPr>
        <w:pStyle w:val="BodyText"/>
      </w:pPr>
      <w:r>
        <w:t xml:space="preserve">Species pool proved relevant in the case of the interchange along the Wallacea</w:t>
      </w:r>
      <w:r>
        <w:rPr>
          <w:vertAlign w:val="superscript"/>
        </w:rPr>
        <w:t xml:space="preserve">32</w:t>
      </w:r>
      <w:r>
        <w:t xml:space="preserve">. But here, we expect to find more species in South America, encompassing one of earth’s major and long-standing biodiversity hotspot – Amazonia</w:t>
      </w:r>
      <w:r>
        <w:rPr>
          <w:vertAlign w:val="superscript"/>
        </w:rPr>
        <w:t xml:space="preserve">39</w:t>
      </w:r>
      <w:r>
        <w:t xml:space="preserve"> </w:t>
      </w:r>
      <w:r>
        <w:t xml:space="preserve">– than in North America, though see Vrba.</w:t>
      </w:r>
    </w:p>
    <w:bookmarkStart w:id="27" w:name="climate"/>
    <w:p>
      <w:pPr>
        <w:pStyle w:val="Heading2"/>
      </w:pPr>
      <w:r>
        <w:t xml:space="preserve">Climate</w:t>
      </w:r>
    </w:p>
    <w:p>
      <w:pPr>
        <w:pStyle w:val="FirstParagraph"/>
      </w:pPr>
      <w:r>
        <w:t xml:space="preserve">Our results suggests that, under abiotic constraints, alone North America would have been easier to reach by South American species than the other way around (</w:t>
      </w:r>
      <w:hyperlink w:anchor="fig-propsuccess">
        <w:r>
          <w:rPr>
            <w:rStyle w:val="Hyperlink"/>
          </w:rPr>
          <w:t xml:space="preserve">Figure 2</w:t>
        </w:r>
      </w:hyperlink>
      <w:r>
        <w:t xml:space="preserve">).</w:t>
      </w:r>
    </w:p>
    <w:p>
      <w:pPr>
        <w:pStyle w:val="BodyText"/>
      </w:pPr>
      <w:r>
        <w:t xml:space="preserve">One of the predictions of Vrba’s resource-use hypotheses formulated in the framework of the habitat theory applied to the GABI is that tropical specialists, in the aftermath of the global cooling occurring in the Plio-Pleistocene boundary (decreasing trend visible on the temperature plots displayed in</w:t>
      </w:r>
      <w:r>
        <w:t xml:space="preserve"> </w:t>
      </w:r>
      <w:hyperlink w:anchor="fig-framework">
        <w:r>
          <w:rPr>
            <w:rStyle w:val="Hyperlink"/>
          </w:rPr>
          <w:t xml:space="preserve">Figure 1</w:t>
        </w:r>
      </w:hyperlink>
      <w:r>
        <w:t xml:space="preserve">, from</w:t>
      </w:r>
      <w:r>
        <w:t xml:space="preserve"> </w:t>
      </w:r>
      <w:r>
        <w:rPr>
          <w:i/>
          <w:iCs/>
        </w:rPr>
        <w:t xml:space="preserve">c.</w:t>
      </w:r>
      <w:r>
        <w:t xml:space="preserve"> </w:t>
      </w:r>
      <w:r>
        <w:t xml:space="preserve">3 Ma), would have been naturally attracted towards the equator following tropical belt’s contraction, in turn actively promoting some North American mammal’s establishment in South America</w:t>
      </w:r>
      <w:r>
        <w:rPr>
          <w:vertAlign w:val="superscript"/>
        </w:rPr>
        <w:t xml:space="preserve">20</w:t>
      </w:r>
      <w:r>
        <w:t xml:space="preserve">. On the other hand, fewer mammals – only biome generalists or open-habitat specialists – from South America would be expected to roam the other way around. These predictions meet those of the</w:t>
      </w:r>
      <w:r>
        <w:t xml:space="preserve"> </w:t>
      </w:r>
      <w:r>
        <w:t xml:space="preserve">‘</w:t>
      </w:r>
      <w:r>
        <w:t xml:space="preserve">tropical refugia</w:t>
      </w:r>
      <w:r>
        <w:t xml:space="preserve">’</w:t>
      </w:r>
      <w:r>
        <w:t xml:space="preserve"> </w:t>
      </w:r>
      <w:r>
        <w:t xml:space="preserve">hypothesis formulated by Haffer</w:t>
      </w:r>
      <w:r>
        <w:rPr>
          <w:vertAlign w:val="superscript"/>
        </w:rPr>
        <w:t xml:space="preserve">40</w:t>
      </w:r>
      <w:r>
        <w:t xml:space="preserve"> </w:t>
      </w:r>
      <w:r>
        <w:t xml:space="preserve">a few decades earlier. The latter views the high diversity in the (Neo)tropics as a result of past climatic fragmentation of the tropical climatic region, generating discontinuities within populations of tropical-specialist species. In case of climatic disruption, tropical specialists would therefore follow the contraction-expansion of their habitat, in turn driving speciation by vicariance on evolutionary timescales</w:t>
      </w:r>
      <w:r>
        <w:rPr>
          <w:vertAlign w:val="superscript"/>
        </w:rPr>
        <w:t xml:space="preserve">40</w:t>
      </w:r>
      <w:r>
        <w:t xml:space="preserve">. Here, our virtual experiments partially corroborate these historical predictions. Indeed, simulated tropical-adapted taxa of North American origin – coming from simulations starting in the North American tropical biome and of which climatic niche could not evolve, model</w:t>
      </w:r>
      <w:r>
        <w:t xml:space="preserve"> </w:t>
      </w:r>
      <m:oMath>
        <m:r>
          <m:t>M</m:t>
        </m:r>
        <m:r>
          <m:t>0</m:t>
        </m:r>
      </m:oMath>
      <w:r>
        <w:t xml:space="preserve"> </w:t>
      </w:r>
      <w:r>
        <w:t xml:space="preserve">– have a higher prevalence of crossing the isthmus than other biome specialists of North American origin (</w:t>
      </w:r>
      <w:hyperlink w:anchor="fig-biome">
        <w:r>
          <w:rPr>
            <w:rStyle w:val="Hyperlink"/>
          </w:rPr>
          <w:t xml:space="preserve">Figure 4</w:t>
        </w:r>
      </w:hyperlink>
      <w:r>
        <w:t xml:space="preserve"> </w:t>
      </w:r>
      <w:r>
        <w:t xml:space="preserve">B, model</w:t>
      </w:r>
      <w:r>
        <w:t xml:space="preserve"> </w:t>
      </w:r>
      <m:oMath>
        <m:r>
          <m:t>M</m:t>
        </m:r>
        <m:r>
          <m:t>0</m:t>
        </m:r>
      </m:oMath>
      <w:r>
        <w:t xml:space="preserve">).</w:t>
      </w:r>
    </w:p>
    <w:p>
      <w:pPr>
        <w:pStyle w:val="BodyText"/>
      </w:pPr>
      <w:r>
        <w:t xml:space="preserve">Success in South America for temperate-adapted species, posited as the most successful , not recovered, with tropical meeting the gighest success.</w:t>
      </w:r>
      <w:r>
        <w:t xml:space="preserve"> </w:t>
      </w:r>
      <w:r>
        <w:t xml:space="preserve">“</w:t>
      </w:r>
      <w:r>
        <w:t xml:space="preserve">major overland dispersal of terrestrial mammalian taxa apparently did not take place until the climate was conducive to support the temperate-adapted taxa that experienced the changes in their respective home ranges</w:t>
      </w:r>
      <w:r>
        <w:t xml:space="preserve">”</w:t>
      </w:r>
      <w:r>
        <w:rPr>
          <w:vertAlign w:val="superscript"/>
        </w:rPr>
        <w:t xml:space="preserve">6</w:t>
      </w:r>
    </w:p>
    <w:p>
      <w:pPr>
        <w:pStyle w:val="BodyText"/>
      </w:pPr>
      <w:r>
        <w:t xml:space="preserve">Tropics as a</w:t>
      </w:r>
      <w:r>
        <w:t xml:space="preserve"> </w:t>
      </w:r>
      <w:r>
        <w:t xml:space="preserve">“</w:t>
      </w:r>
      <w:r>
        <w:t xml:space="preserve">holding pen</w:t>
      </w:r>
      <w:r>
        <w:t xml:space="preserve">”</w:t>
      </w:r>
      <w:r>
        <w:rPr>
          <w:vertAlign w:val="superscript"/>
        </w:rPr>
        <w:t xml:space="preserve">6</w:t>
      </w:r>
      <w:r>
        <w:t xml:space="preserve"> </w:t>
      </w:r>
      <w:r>
        <w:t xml:space="preserve">– read more this paper</w:t>
      </w:r>
    </w:p>
    <w:p>
      <w:pPr>
        <w:pStyle w:val="BodyText"/>
      </w:pPr>
      <w:r>
        <w:t xml:space="preserve">Biome pattern (Figure S6) directly reflects the diffencial amount of surface that each biome represents in the two continents.</w:t>
      </w:r>
    </w:p>
    <w:p>
      <w:pPr>
        <w:pStyle w:val="BodyText"/>
      </w:pPr>
      <w:r>
        <w:t xml:space="preserve">Precipitation niche</w:t>
      </w:r>
      <w:r>
        <w:rPr>
          <w:vertAlign w:val="superscript"/>
        </w:rPr>
        <w:t xml:space="preserve">30</w:t>
      </w:r>
      <w:r>
        <w:t xml:space="preserve">. Result of Figure 2C for</w:t>
      </w:r>
      <w:r>
        <w:t xml:space="preserve"> </w:t>
      </w:r>
      <m:oMath>
        <m:r>
          <m:t>M</m:t>
        </m:r>
        <m:r>
          <m:t>3</m:t>
        </m:r>
      </m:oMath>
      <w:r>
        <w:t xml:space="preserve"> </w:t>
      </w:r>
      <w:r>
        <w:t xml:space="preserve">can be related to tropical biome</w:t>
      </w:r>
    </w:p>
    <w:p>
      <w:pPr>
        <w:pStyle w:val="BodyText"/>
      </w:pPr>
      <w:r>
        <w:t xml:space="preserve">North American taxa exhibit strong Tropical Niche Conservatism (TNC), but not South Americans, except for M0. TNC relaxed in M3.</w:t>
      </w:r>
    </w:p>
    <w:p>
      <w:pPr>
        <w:pStyle w:val="BodyText"/>
      </w:pPr>
      <w:r>
        <w:t xml:space="preserve">Effect of climate change to keep in mind for megafaunal extinctions</w:t>
      </w:r>
      <w:r>
        <w:rPr>
          <w:vertAlign w:val="superscript"/>
        </w:rPr>
        <w:t xml:space="preserve">41</w:t>
      </w:r>
    </w:p>
    <w:bookmarkEnd w:id="27"/>
    <w:bookmarkStart w:id="2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rPr>
          <w:vertAlign w:val="superscript"/>
        </w:rPr>
        <w:t xml:space="preserve">42</w:t>
      </w:r>
      <w:r>
        <w:t xml:space="preserve">.</w:t>
      </w:r>
    </w:p>
    <w:p>
      <w:pPr>
        <w:pStyle w:val="BodyText"/>
      </w:pPr>
      <w:r>
        <w:t xml:space="preserve">Imbalance in colonised area btwn SA and NA comes from the difference in pixel nb between both continents in our framework</w:t>
      </w:r>
      <w:r>
        <w:t xml:space="preserve"> </w:t>
      </w:r>
      <w:hyperlink w:anchor="fig-framework">
        <w:r>
          <w:rPr>
            <w:rStyle w:val="Hyperlink"/>
          </w:rPr>
          <w:t xml:space="preserve">Figure 1</w:t>
        </w:r>
      </w:hyperlink>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bookmarkEnd w:id="28"/>
    <w:bookmarkStart w:id="29" w:name="X0160ffd22f787d001a7841291dc9859bf7a1aab"/>
    <w:p>
      <w:pPr>
        <w:pStyle w:val="Heading2"/>
      </w:pPr>
      <w:r>
        <w:t xml:space="preserve">On the drivers behind the asymmetry of the GABI</w:t>
      </w:r>
    </w:p>
    <w:p>
      <w:pPr>
        <w:pStyle w:val="FirstParagraph"/>
      </w:pPr>
      <w:r>
        <w:t xml:space="preserve">Our study indicates that climate alone is not sufficient to reproduce the asymmetry of the GABI. This suggests that other factors, unaccounted here, might have been at work to shape the uneven faunal exchange that occured across the America. Among them, one can think about biotic interactions. In fact, in the first studies investigating the GABI, competition involving clades of similar ecology appeared as a likely first-order explanation to the recent demise of South American endemic mammalian clades such as native ungulates</w:t>
      </w:r>
      <w:r>
        <w:rPr>
          <w:vertAlign w:val="superscript"/>
        </w:rPr>
        <w:t xml:space="preserve">13</w:t>
      </w:r>
      <w:r>
        <w:t xml:space="preserve"> </w:t>
      </w:r>
      <w:r>
        <w:t xml:space="preserve">or sparassodonts – metatherian predators</w:t>
      </w:r>
      <w:r>
        <w:rPr>
          <w:vertAlign w:val="superscript"/>
        </w:rPr>
        <w:t xml:space="preserve">43</w:t>
      </w:r>
      <w:r>
        <w:t xml:space="preserve"> </w:t>
      </w:r>
      <w:r>
        <w:t xml:space="preserve">– that followed the establishment of northern lineages</w:t>
      </w:r>
      <w:r>
        <w:rPr>
          <w:vertAlign w:val="superscript"/>
        </w:rPr>
        <w:t xml:space="preserve">15</w:t>
      </w:r>
      <w:r>
        <w:t xml:space="preserve">. Hypotheses invoking competition mostly relied on striking morphological convergences between the clades assumed to have competed –</w:t>
      </w:r>
      <w:r>
        <w:t xml:space="preserve"> </w:t>
      </w:r>
      <w:r>
        <w:rPr>
          <w:i/>
          <w:iCs/>
        </w:rPr>
        <w:t xml:space="preserve">e</w:t>
      </w:r>
      <w:r>
        <w:t xml:space="preserve">.</w:t>
      </w:r>
      <w:r>
        <w:rPr>
          <w:i/>
          <w:iCs/>
        </w:rPr>
        <w:t xml:space="preserve">g</w:t>
      </w:r>
      <w:r>
        <w:t xml:space="preserve">., sabertooth among predators, high-crowned and ever-growing cheek teeth among herbivores. In addition, recent evidence from stable isotope analyses of mammalian herbivore ennamel from Southern South America suggested that North American clades had broader trophic niches than their South American counterparts, this dietary flexibility therefore offering a larger adaptative power to North American herbivores in South America</w:t>
      </w:r>
      <w:r>
        <w:rPr>
          <w:vertAlign w:val="superscript"/>
        </w:rPr>
        <w:t xml:space="preserve">16</w:t>
      </w:r>
      <w:r>
        <w:t xml:space="preserve">. Moreover, using phylogenetic regressions, Faurby et al.</w:t>
      </w:r>
      <w:r>
        <w:rPr>
          <w:vertAlign w:val="superscript"/>
        </w:rPr>
        <w:t xml:space="preserve">18</w:t>
      </w:r>
      <w:r>
        <w:t xml:space="preserve"> </w:t>
      </w:r>
      <w:r>
        <w:t xml:space="preserve">found support for another biotic interaction that could have played a role in shaping GABI’s asymmetry: predation. They indeed characterised a higher prevalence of traits increasing prey susceptibility among the endemic South American mammals. However, several process-based analyses of the fossil record provided no evidence for biotic interactions involving native South American mammals and their northern counterparts</w:t>
      </w:r>
      <w:r>
        <w:rPr>
          <w:vertAlign w:val="superscript"/>
        </w:rPr>
        <w:t xml:space="preserve">21,22</w:t>
      </w:r>
      <w:r>
        <w:t xml:space="preserve">. Incorporating biotic compounds in mechanistic frameworks such as the one we have implemented here would be a nice way-to-go for future studies tackling the asymmetry behind the GABI.</w:t>
      </w:r>
    </w:p>
    <w:p>
      <w:pPr>
        <w:pStyle w:val="BodyText"/>
      </w:pPr>
      <w:r>
        <w:t xml:space="preserve">Temporality (red queen vs. court jester, Benton 2001) =&gt; favouring biotic ?</w:t>
      </w:r>
    </w:p>
    <w:p>
      <w:pPr>
        <w:pStyle w:val="BodyText"/>
      </w:pPr>
      <w:r>
        <w:t xml:space="preserve">Fortuitous experiment ?</w:t>
      </w:r>
    </w:p>
    <w:bookmarkEnd w:id="29"/>
    <w:bookmarkStart w:id="30" w:name="limitations-perspectives"/>
    <w:p>
      <w:pPr>
        <w:pStyle w:val="Heading2"/>
      </w:pPr>
      <w:r>
        <w:t xml:space="preserve">Limitations &amp; perspectives</w:t>
      </w:r>
    </w:p>
    <w:p>
      <w:pPr>
        <w:pStyle w:val="FirstParagraph"/>
      </w:pPr>
      <w:r>
        <w:t xml:space="preserve">The landscape designed for the purpose of this study (</w:t>
      </w:r>
      <w:hyperlink w:anchor="fig-framework">
        <w:r>
          <w:rPr>
            <w:rStyle w:val="Hyperlink"/>
          </w:rPr>
          <w:t xml:space="preserve">Figure 1</w:t>
        </w:r>
      </w:hyperlink>
      <w:r>
        <w:t xml:space="preserve">) only permitted transcontinental faunal exchange via the isthmus of Panama, the closure of which being assumed as the main trigger of the GABI</w:t>
      </w:r>
      <w:r>
        <w:rPr>
          <w:vertAlign w:val="superscript"/>
        </w:rPr>
        <w:t xml:space="preserve">1</w:t>
      </w:r>
      <w:r>
        <w:t xml:space="preserve">. Yet, the fossil record of the West Indies has provided evidence for faunal supply both from the South and the North American landmasses, in particular since the late Miocene</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44,45</w:t>
      </w:r>
      <w:r>
        <w:t xml:space="preserve">. Although over-water dispersal has long been regarded as the prevailing mechanism</w:t>
      </w:r>
      <w:r>
        <w:rPr>
          <w:vertAlign w:val="superscript"/>
        </w:rPr>
        <w:t xml:space="preserve">44</w:t>
      </w:r>
      <w:r>
        <w:t xml:space="preserve">, recent geological advances have providing evidence for (1) the emergence of land bridges connecting South America to Caribbean islands and (2) the formation of mega-islands – during Pleistocene glacial maximum episodes – several times since the Mio-Pliocene boundary</w:t>
      </w:r>
      <w:r>
        <w:rPr>
          <w:vertAlign w:val="superscript"/>
        </w:rPr>
        <w:t xml:space="preserve">46</w:t>
      </w:r>
      <w:r>
        <w:t xml:space="preserve">. Hence, it would make sense to consider West Indies as an alternative dispersal pathway between the Americas. However, due to the idiosyncratic eco-evolutionary processes shaping insular systems</w:t>
      </w:r>
      <w:r>
        <w:rPr>
          <w:i/>
          <w:iCs/>
          <w:vertAlign w:val="superscript"/>
        </w:rPr>
        <w:t xml:space="preserve">e</w:t>
      </w:r>
      <w:r>
        <w:rPr>
          <w:vertAlign w:val="superscript"/>
        </w:rPr>
        <w:t xml:space="preserve">.</w:t>
      </w:r>
      <w:r>
        <w:rPr>
          <w:i/>
          <w:iCs/>
          <w:vertAlign w:val="superscript"/>
        </w:rPr>
        <w:t xml:space="preserve">g</w:t>
      </w:r>
      <w:r>
        <w:rPr>
          <w:vertAlign w:val="superscript"/>
        </w:rPr>
        <w:t xml:space="preserve">., 47</w:t>
      </w:r>
      <w:r>
        <w:t xml:space="preserve"> </w:t>
      </w:r>
      <w:r>
        <w:t xml:space="preserve">as well as the poor mention of West Indies as a stepping-stone in the literature, we believe that considering this alternative route in the framework of the GABI would rather deserve to be the topic of a study in itself.</w:t>
      </w:r>
    </w:p>
    <w:p>
      <w:pPr>
        <w:pStyle w:val="BodyText"/>
      </w:pPr>
      <w:r>
        <w:t xml:space="preserve">Bias in the number of simulations crashing, with on average twice as many crashes when simulations started in North America when compared to those starting from South America. Also, an obvious spatial clustering of crashes in North America is to be reported, mainly affecting the centre of the landmass (temperate and cold biomes)</w:t>
      </w:r>
      <w:r>
        <w:t xml:space="preserve"> </w:t>
      </w:r>
      <w:r>
        <w:rPr>
          <w:b/>
          <w:bCs/>
        </w:rPr>
        <w:t xml:space="preserve">biome histogram + maps in SI</w:t>
      </w:r>
      <w:r>
        <w:t xml:space="preserve">.</w:t>
      </w:r>
    </w:p>
    <w:p>
      <w:pPr>
        <w:pStyle w:val="BodyText"/>
      </w:pPr>
      <w:r>
        <w:t xml:space="preserve">Assumption of fixed palaeogeography, particularly near the isthmus, whereas we know that this region changed across our study.</w:t>
      </w:r>
    </w:p>
    <w:p>
      <w:pPr>
        <w:pStyle w:val="BodyText"/>
      </w:pPr>
      <w:r>
        <w:t xml:space="preserve">spatial clustering of simulation crashing in temperate/cold North America =&gt; related to biome instability in the zone ?</w:t>
      </w:r>
    </w:p>
    <w:p>
      <w:pPr>
        <w:pStyle w:val="BodyText"/>
      </w:pPr>
      <w:r>
        <w:t xml:space="preserve">Higher proportion of colonised area could come from the different size of the continents, North America being wider both in terms of absolute surface and number of pixels.</w:t>
      </w:r>
    </w:p>
    <w:p>
      <w:pPr>
        <w:pStyle w:val="BodyText"/>
      </w:pPr>
      <w:r>
        <w:t xml:space="preserve">Problem of taxonomic extinctions in Gen3sis!</w:t>
      </w:r>
    </w:p>
    <w:p>
      <w:pPr>
        <w:pStyle w:val="BodyText"/>
      </w:pPr>
      <w:r>
        <w:t xml:space="preserve">Timeline of the simulation (last 5Myrs). Some claim for an onset of the interchange further back in time, but we justify our choice as (1) most studies agree with an onset of significant mammal exchange</w:t>
      </w:r>
      <w:r>
        <w:t xml:space="preserve"> </w:t>
      </w:r>
      <w:r>
        <w:rPr>
          <w:i/>
          <w:iCs/>
        </w:rPr>
        <w:t xml:space="preserve">c.</w:t>
      </w:r>
      <w:r>
        <w:t xml:space="preserve"> </w:t>
      </w:r>
      <w:r>
        <w:t xml:space="preserve">3.5 Ma and (2) assumption of fixed palaeogeography.</w:t>
      </w:r>
    </w:p>
    <w:bookmarkEnd w:id="30"/>
    <w:bookmarkEnd w:id="31"/>
    <w:bookmarkStart w:id="32" w:name="acknowledgements"/>
    <w:p>
      <w:pPr>
        <w:pStyle w:val="Heading1"/>
      </w:pPr>
      <w:r>
        <w:t xml:space="preserve">Acknowledgements</w:t>
      </w:r>
    </w:p>
    <w:p>
      <w:pPr>
        <w:pStyle w:val="FirstParagraph"/>
      </w:pPr>
      <w:r>
        <w:t xml:space="preserve">We thank Céline Devaux for her useful comments and feedbacks on the present work.</w:t>
      </w:r>
    </w:p>
    <w:bookmarkEnd w:id="32"/>
    <w:bookmarkStart w:id="33"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rPr>
          <w:vertAlign w:val="superscript"/>
        </w:rPr>
        <w:t xml:space="preserve">49</w:t>
      </w:r>
      <w:r>
        <w:t xml:space="preserve">.</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rPr>
          <w:vertAlign w:val="superscript"/>
        </w:rPr>
        <w:t xml:space="preserve">8,10,17</w:t>
      </w:r>
      <w:r>
        <w:t xml:space="preserve">. Others drew direct relationships between the higher extinction rates of native South American mammal genera and temperature change</w:t>
      </w:r>
      <w:r>
        <w:rPr>
          <w:vertAlign w:val="superscript"/>
        </w:rPr>
        <w:t xml:space="preserve">24</w:t>
      </w:r>
      <w:r>
        <w:t xml:space="preserve">.</w:t>
      </w:r>
    </w:p>
    <w:p>
      <w:pPr>
        <w:pStyle w:val="BodyText"/>
      </w:pPr>
      <w:r>
        <w:t xml:space="preserve">several studies proposed that palaeoclimate change shaped unequal dispersal abilities between northern and southern taxa</w:t>
      </w:r>
      <w:r>
        <w:rPr>
          <w:vertAlign w:val="superscript"/>
        </w:rPr>
        <w:t xml:space="preserve">8,10,17,24</w:t>
      </w:r>
      <w:r>
        <w:t xml:space="preserve">, although the hypothesis according to which the asymmetry of the GABI would stem from dispersal rates is still largely debated</w:t>
      </w:r>
      <w:r>
        <w:rPr>
          <w:i/>
          <w:iCs/>
          <w:vertAlign w:val="superscript"/>
        </w:rPr>
        <w:t xml:space="preserve">e</w:t>
      </w:r>
      <w:r>
        <w:rPr>
          <w:vertAlign w:val="superscript"/>
        </w:rPr>
        <w:t xml:space="preserve">.</w:t>
      </w:r>
      <w:r>
        <w:rPr>
          <w:i/>
          <w:iCs/>
          <w:vertAlign w:val="superscript"/>
        </w:rPr>
        <w:t xml:space="preserve">g</w:t>
      </w:r>
      <w:r>
        <w:rPr>
          <w:vertAlign w:val="superscript"/>
        </w:rPr>
        <w:t xml:space="preserve">., 12</w:t>
      </w:r>
      <w:r>
        <w:t xml:space="preserve">.</w:t>
      </w:r>
    </w:p>
    <w:p>
      <w:r>
        <w:br w:type="page"/>
      </w:r>
    </w:p>
    <w:bookmarkEnd w:id="33"/>
    <w:bookmarkStart w:id="133" w:name="references"/>
    <w:p>
      <w:pPr>
        <w:pStyle w:val="Heading1"/>
      </w:pPr>
      <w:r>
        <w:t xml:space="preserve">References</w:t>
      </w:r>
    </w:p>
    <w:bookmarkStart w:id="132" w:name="refs"/>
    <w:bookmarkStart w:id="35" w:name="ref-marshall1982"/>
    <w:p>
      <w:pPr>
        <w:pStyle w:val="Bibliography"/>
      </w:pPr>
      <w:r>
        <w:t xml:space="preserve">1.</w:t>
      </w:r>
      <w:r>
        <w:t xml:space="preserve"> </w:t>
      </w:r>
      <w:r>
        <w:t xml:space="preserve">	</w:t>
      </w:r>
      <w:r>
        <w:t xml:space="preserve">Marshall, L.G., Webb, S.D., Sepkoski, J.J., and Raup, D.M. (1982).</w:t>
      </w:r>
      <w:r>
        <w:t xml:space="preserve"> </w:t>
      </w:r>
      <w:hyperlink r:id="rId34">
        <w:r>
          <w:rPr>
            <w:rStyle w:val="Hyperlink"/>
          </w:rPr>
          <w:t xml:space="preserve">Mammalian evolution and the great american interchange</w:t>
        </w:r>
      </w:hyperlink>
      <w:r>
        <w:t xml:space="preserve">. Science</w:t>
      </w:r>
      <w:r>
        <w:t xml:space="preserve"> </w:t>
      </w:r>
      <w:r>
        <w:rPr>
          <w:i/>
          <w:iCs/>
        </w:rPr>
        <w:t xml:space="preserve">215</w:t>
      </w:r>
      <w:r>
        <w:t xml:space="preserve">, 1351–1357.</w:t>
      </w:r>
    </w:p>
    <w:bookmarkEnd w:id="35"/>
    <w:bookmarkStart w:id="37" w:name="ref-montes2015"/>
    <w:p>
      <w:pPr>
        <w:pStyle w:val="Bibliography"/>
      </w:pPr>
      <w:r>
        <w:t xml:space="preserve">2.</w:t>
      </w:r>
      <w:r>
        <w:t xml:space="preserve"> </w:t>
      </w:r>
      <w:r>
        <w:t xml:space="preserve">	</w:t>
      </w:r>
      <w:r>
        <w:t xml:space="preserve">Montes, C., Cardona, A., Jaramillo, C., Pardo, A., Silva, J.C., Valencia, V., Ayala, C., Pérez-Angel, L.C., Rodriguez-Parra, L.A., Ramirez, V., et al. (2015). Middle miocene closure of the central american seaway. Science</w:t>
      </w:r>
      <w:r>
        <w:t xml:space="preserve"> </w:t>
      </w:r>
      <w:r>
        <w:rPr>
          <w:i/>
          <w:iCs/>
        </w:rPr>
        <w:t xml:space="preserve">348</w:t>
      </w:r>
      <w:r>
        <w:t xml:space="preserve">, 226–229.</w:t>
      </w:r>
      <w:r>
        <w:t xml:space="preserve"> </w:t>
      </w:r>
      <w:hyperlink r:id="rId36">
        <w:r>
          <w:rPr>
            <w:rStyle w:val="Hyperlink"/>
          </w:rPr>
          <w:t xml:space="preserve">https://doi.org/10.1126/science.aaa2815</w:t>
        </w:r>
      </w:hyperlink>
      <w:r>
        <w:t xml:space="preserve">.</w:t>
      </w:r>
    </w:p>
    <w:bookmarkEnd w:id="37"/>
    <w:bookmarkStart w:id="39" w:name="ref-jaramillo2018"/>
    <w:p>
      <w:pPr>
        <w:pStyle w:val="Bibliography"/>
      </w:pPr>
      <w:r>
        <w:t xml:space="preserve">3.</w:t>
      </w:r>
      <w:r>
        <w:t xml:space="preserve"> </w:t>
      </w:r>
      <w:r>
        <w:t xml:space="preserve">	</w:t>
      </w:r>
      <w:r>
        <w:t xml:space="preserve">Jaramillo, C.A. (2018).</w:t>
      </w:r>
      <w:r>
        <w:t xml:space="preserve"> </w:t>
      </w:r>
      <w:hyperlink r:id="rId38">
        <w:r>
          <w:rPr>
            <w:rStyle w:val="Hyperlink"/>
          </w:rPr>
          <w:t xml:space="preserve">Evolution of the isthmus of panama: Biological, paleoceanographic and paleoclimatological implications</w:t>
        </w:r>
      </w:hyperlink>
      <w:r>
        <w:t xml:space="preserve">. In (John Wiley &amp; Sons).</w:t>
      </w:r>
    </w:p>
    <w:bookmarkEnd w:id="39"/>
    <w:bookmarkStart w:id="41" w:name="ref-odea2016"/>
    <w:p>
      <w:pPr>
        <w:pStyle w:val="Bibliography"/>
      </w:pPr>
      <w:r>
        <w:t xml:space="preserve">4.</w:t>
      </w:r>
      <w:r>
        <w:t xml:space="preserve"> </w:t>
      </w:r>
      <w:r>
        <w:t xml:space="preserve">	</w:t>
      </w:r>
      <w:r>
        <w:t xml:space="preserve">O’Dea, A., Lessios, H.A., Coates, A.G., Eytan, R.I., Restrepo-Moreno, S.A., Cione, A.L., Collins, L.S., Queiroz, A. de, Farris, D.W., Norris, R.D., et al. (2016). Formation of the isthmus of panama. Science Advances</w:t>
      </w:r>
      <w:r>
        <w:t xml:space="preserve"> </w:t>
      </w:r>
      <w:r>
        <w:rPr>
          <w:i/>
          <w:iCs/>
        </w:rPr>
        <w:t xml:space="preserve">2</w:t>
      </w:r>
      <w:r>
        <w:t xml:space="preserve">, e1600883.</w:t>
      </w:r>
      <w:r>
        <w:t xml:space="preserve"> </w:t>
      </w:r>
      <w:hyperlink r:id="rId40">
        <w:r>
          <w:rPr>
            <w:rStyle w:val="Hyperlink"/>
          </w:rPr>
          <w:t xml:space="preserve">https://doi.org/10.1126/sciadv.1600883</w:t>
        </w:r>
      </w:hyperlink>
      <w:r>
        <w:t xml:space="preserve">.</w:t>
      </w:r>
    </w:p>
    <w:bookmarkEnd w:id="41"/>
    <w:bookmarkStart w:id="43" w:name="ref-verzi2008"/>
    <w:p>
      <w:pPr>
        <w:pStyle w:val="Bibliography"/>
      </w:pPr>
      <w:r>
        <w:t xml:space="preserve">5.</w:t>
      </w:r>
      <w:r>
        <w:t xml:space="preserve"> </w:t>
      </w:r>
      <w:r>
        <w:t xml:space="preserve">	</w:t>
      </w:r>
      <w:r>
        <w:t xml:space="preserve">Verzi, D.H., Montalvo, C.I., and Deschamps, C.M. (2008). Biostratigraphy and biochronology of the late miocene of central argentina: Evidence from rodents and taphonomy. Geobios</w:t>
      </w:r>
      <w:r>
        <w:t xml:space="preserve"> </w:t>
      </w:r>
      <w:r>
        <w:rPr>
          <w:i/>
          <w:iCs/>
        </w:rPr>
        <w:t xml:space="preserve">41</w:t>
      </w:r>
      <w:r>
        <w:t xml:space="preserve">, 145–155.</w:t>
      </w:r>
      <w:r>
        <w:t xml:space="preserve"> </w:t>
      </w:r>
      <w:hyperlink r:id="rId42">
        <w:r>
          <w:rPr>
            <w:rStyle w:val="Hyperlink"/>
          </w:rPr>
          <w:t xml:space="preserve">https://doi.org/10.1016/j.geobios.2006.09.005</w:t>
        </w:r>
      </w:hyperlink>
      <w:r>
        <w:t xml:space="preserve">.</w:t>
      </w:r>
    </w:p>
    <w:bookmarkEnd w:id="43"/>
    <w:bookmarkStart w:id="45"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 Journal of Mammalian Evolution</w:t>
      </w:r>
      <w:r>
        <w:t xml:space="preserve"> </w:t>
      </w:r>
      <w:r>
        <w:rPr>
          <w:i/>
          <w:iCs/>
        </w:rPr>
        <w:t xml:space="preserve">17</w:t>
      </w:r>
      <w:r>
        <w:t xml:space="preserve">, 245–264.</w:t>
      </w:r>
      <w:r>
        <w:t xml:space="preserve"> </w:t>
      </w:r>
      <w:hyperlink r:id="rId44">
        <w:r>
          <w:rPr>
            <w:rStyle w:val="Hyperlink"/>
          </w:rPr>
          <w:t xml:space="preserve">https://doi.org/10.1007/s10914-010-9144-8</w:t>
        </w:r>
      </w:hyperlink>
      <w:r>
        <w:t xml:space="preserve">.</w:t>
      </w:r>
    </w:p>
    <w:bookmarkEnd w:id="45"/>
    <w:bookmarkStart w:id="47" w:name="ref-bacon2015"/>
    <w:p>
      <w:pPr>
        <w:pStyle w:val="Bibliography"/>
      </w:pPr>
      <w:r>
        <w:t xml:space="preserve">7.</w:t>
      </w:r>
      <w:r>
        <w:t xml:space="preserve"> </w:t>
      </w:r>
      <w:r>
        <w:t xml:space="preserve">	</w:t>
      </w:r>
      <w:r>
        <w:t xml:space="preserve">Bacon, C.D., Silvestro, D., Jaramillo, C., Smith, B.T., Chakrabarty, P., and Antonelli, A. (2015). Biological evidence supports an early and complex emergence of the isthmus of panama. Proceedings of the National Academy of Sciences</w:t>
      </w:r>
      <w:r>
        <w:t xml:space="preserve"> </w:t>
      </w:r>
      <w:r>
        <w:rPr>
          <w:i/>
          <w:iCs/>
        </w:rPr>
        <w:t xml:space="preserve">112</w:t>
      </w:r>
      <w:r>
        <w:t xml:space="preserve">, 6110–6115.</w:t>
      </w:r>
      <w:r>
        <w:t xml:space="preserve"> </w:t>
      </w:r>
      <w:hyperlink r:id="rId46">
        <w:r>
          <w:rPr>
            <w:rStyle w:val="Hyperlink"/>
          </w:rPr>
          <w:t xml:space="preserve">https://doi.org/10.1073/pnas.1423853112</w:t>
        </w:r>
      </w:hyperlink>
      <w:r>
        <w:t xml:space="preserve">.</w:t>
      </w:r>
    </w:p>
    <w:bookmarkEnd w:id="47"/>
    <w:bookmarkStart w:id="49" w:name="ref-bacon2016"/>
    <w:p>
      <w:pPr>
        <w:pStyle w:val="Bibliography"/>
      </w:pPr>
      <w:r>
        <w:t xml:space="preserve">8.</w:t>
      </w:r>
      <w:r>
        <w:t xml:space="preserve"> </w:t>
      </w:r>
      <w:r>
        <w:t xml:space="preserve">	</w:t>
      </w:r>
      <w:r>
        <w:t xml:space="preserve">Bacon, C.D., Molnar, P., Antonelli, A., Crawford, A.J., Montes, C., and Vallejo-Pareja, M.C. (2016). Quaternary glaciation and the great american biotic interchange. Geology</w:t>
      </w:r>
      <w:r>
        <w:t xml:space="preserve"> </w:t>
      </w:r>
      <w:r>
        <w:rPr>
          <w:i/>
          <w:iCs/>
        </w:rPr>
        <w:t xml:space="preserve">44</w:t>
      </w:r>
      <w:r>
        <w:t xml:space="preserve">, 375–378.</w:t>
      </w:r>
      <w:r>
        <w:t xml:space="preserve"> </w:t>
      </w:r>
      <w:hyperlink r:id="rId48">
        <w:r>
          <w:rPr>
            <w:rStyle w:val="Hyperlink"/>
          </w:rPr>
          <w:t xml:space="preserve">https://doi.org/10.1130/G37624.1</w:t>
        </w:r>
      </w:hyperlink>
      <w:r>
        <w:t xml:space="preserve">.</w:t>
      </w:r>
    </w:p>
    <w:bookmarkEnd w:id="49"/>
    <w:bookmarkStart w:id="51" w:name="ref-webb1976"/>
    <w:p>
      <w:pPr>
        <w:pStyle w:val="Bibliography"/>
      </w:pPr>
      <w:r>
        <w:t xml:space="preserve">9.</w:t>
      </w:r>
      <w:r>
        <w:t xml:space="preserve"> </w:t>
      </w:r>
      <w:r>
        <w:t xml:space="preserve">	</w:t>
      </w:r>
      <w:r>
        <w:t xml:space="preserve">Webb, S.D. (1976).</w:t>
      </w:r>
      <w:r>
        <w:t xml:space="preserve"> </w:t>
      </w:r>
      <w:hyperlink r:id="rId50">
        <w:r>
          <w:rPr>
            <w:rStyle w:val="Hyperlink"/>
          </w:rPr>
          <w:t xml:space="preserve">Mammalian faunal dynamics of the great american interchange</w:t>
        </w:r>
      </w:hyperlink>
      <w:r>
        <w:t xml:space="preserve">. Paleobiology</w:t>
      </w:r>
      <w:r>
        <w:t xml:space="preserve"> </w:t>
      </w:r>
      <w:r>
        <w:rPr>
          <w:i/>
          <w:iCs/>
        </w:rPr>
        <w:t xml:space="preserve">2</w:t>
      </w:r>
      <w:r>
        <w:t xml:space="preserve">, 220–234.</w:t>
      </w:r>
    </w:p>
    <w:bookmarkEnd w:id="51"/>
    <w:bookmarkStart w:id="53" w:name="ref-webb1991"/>
    <w:p>
      <w:pPr>
        <w:pStyle w:val="Bibliography"/>
      </w:pPr>
      <w:r>
        <w:t xml:space="preserve">10.</w:t>
      </w:r>
      <w:r>
        <w:t xml:space="preserve"> </w:t>
      </w:r>
      <w:r>
        <w:t xml:space="preserve">	</w:t>
      </w:r>
      <w:r>
        <w:t xml:space="preserve">Webb, S.D. (1991). Ecogeography and the Great American Interchange. Paleobiology</w:t>
      </w:r>
      <w:r>
        <w:t xml:space="preserve"> </w:t>
      </w:r>
      <w:r>
        <w:rPr>
          <w:i/>
          <w:iCs/>
        </w:rPr>
        <w:t xml:space="preserve">17</w:t>
      </w:r>
      <w:r>
        <w:t xml:space="preserve">, 266–280.</w:t>
      </w:r>
      <w:r>
        <w:t xml:space="preserve"> </w:t>
      </w:r>
      <w:hyperlink r:id="rId52">
        <w:r>
          <w:rPr>
            <w:rStyle w:val="Hyperlink"/>
          </w:rPr>
          <w:t xml:space="preserve">https://doi.org/10.1017/S0094837300010605</w:t>
        </w:r>
      </w:hyperlink>
      <w:r>
        <w:t xml:space="preserve">.</w:t>
      </w:r>
    </w:p>
    <w:bookmarkEnd w:id="53"/>
    <w:bookmarkStart w:id="55" w:name="ref-cione2015"/>
    <w:p>
      <w:pPr>
        <w:pStyle w:val="Bibliography"/>
      </w:pPr>
      <w:r>
        <w:t xml:space="preserve">11.</w:t>
      </w:r>
      <w:r>
        <w:t xml:space="preserve"> </w:t>
      </w:r>
      <w:r>
        <w:t xml:space="preserve">	</w:t>
      </w:r>
      <w:r>
        <w:t xml:space="preserve">Cione, A.L., Gasparini, G.M., Soibelzon, E., Soibelzon, L.H., and Tonni, E.P. (2015).</w:t>
      </w:r>
      <w:r>
        <w:t xml:space="preserve"> </w:t>
      </w:r>
      <w:hyperlink r:id="rId54">
        <w:r>
          <w:rPr>
            <w:rStyle w:val="Hyperlink"/>
          </w:rPr>
          <w:t xml:space="preserve">The Great American Biotic Interchange: A South American Perspective</w:t>
        </w:r>
      </w:hyperlink>
      <w:r>
        <w:t xml:space="preserve"> </w:t>
      </w:r>
      <w:r>
        <w:t xml:space="preserve">(Springer Netherlands).</w:t>
      </w:r>
    </w:p>
    <w:bookmarkEnd w:id="55"/>
    <w:bookmarkStart w:id="57" w:name="ref-carrillo2020"/>
    <w:p>
      <w:pPr>
        <w:pStyle w:val="Bibliography"/>
      </w:pPr>
      <w:r>
        <w:t xml:space="preserve">12.</w:t>
      </w:r>
      <w:r>
        <w:t xml:space="preserve"> </w:t>
      </w:r>
      <w:r>
        <w:t xml:space="preserve">	</w:t>
      </w:r>
      <w:r>
        <w:t xml:space="preserve">Carrillo, J.D., Faurby, S., Silvestro, D., Zizka, A., Jaramillo, C., Bacon, C.D., and Antonelli, A. (2020). Disproportionate extinction of south american mammals drove the asymmetry of the great american biotic interchange. Proceedings of the National Academy of Sciences</w:t>
      </w:r>
      <w:r>
        <w:t xml:space="preserve"> </w:t>
      </w:r>
      <w:r>
        <w:rPr>
          <w:i/>
          <w:iCs/>
        </w:rPr>
        <w:t xml:space="preserve">117</w:t>
      </w:r>
      <w:r>
        <w:t xml:space="preserve">, 26281–26287.</w:t>
      </w:r>
      <w:r>
        <w:t xml:space="preserve"> </w:t>
      </w:r>
      <w:hyperlink r:id="rId56">
        <w:r>
          <w:rPr>
            <w:rStyle w:val="Hyperlink"/>
          </w:rPr>
          <w:t xml:space="preserve">https://doi.org/10.1073/pnas.2009397117</w:t>
        </w:r>
      </w:hyperlink>
      <w:r>
        <w:t xml:space="preserve">.</w:t>
      </w:r>
    </w:p>
    <w:bookmarkEnd w:id="57"/>
    <w:bookmarkStart w:id="59" w:name="ref-croft2020"/>
    <w:p>
      <w:pPr>
        <w:pStyle w:val="Bibliography"/>
      </w:pPr>
      <w:r>
        <w:t xml:space="preserve">13.</w:t>
      </w:r>
      <w:r>
        <w:t xml:space="preserve"> </w:t>
      </w:r>
      <w:r>
        <w:t xml:space="preserve">	</w:t>
      </w:r>
      <w:r>
        <w:t xml:space="preserve">Croft, D.A., Gelfo, J.N., and López, G.M. (2020). Splendid innovation: The extinct south american native ungulates. Annual Review of Earth and Planetary Sciences</w:t>
      </w:r>
      <w:r>
        <w:t xml:space="preserve"> </w:t>
      </w:r>
      <w:r>
        <w:rPr>
          <w:i/>
          <w:iCs/>
        </w:rPr>
        <w:t xml:space="preserve">48</w:t>
      </w:r>
      <w:r>
        <w:t xml:space="preserve">, 259–290.</w:t>
      </w:r>
      <w:r>
        <w:t xml:space="preserve"> </w:t>
      </w:r>
      <w:hyperlink r:id="rId58">
        <w:r>
          <w:rPr>
            <w:rStyle w:val="Hyperlink"/>
          </w:rPr>
          <w:t xml:space="preserve">https://doi.org/10.1146/annurev-earth-072619-060126</w:t>
        </w:r>
      </w:hyperlink>
      <w:r>
        <w:t xml:space="preserve">.</w:t>
      </w:r>
    </w:p>
    <w:bookmarkEnd w:id="59"/>
    <w:bookmarkStart w:id="61" w:name="ref-boscaini2025"/>
    <w:p>
      <w:pPr>
        <w:pStyle w:val="Bibliography"/>
      </w:pPr>
      <w:r>
        <w:t xml:space="preserve">14.</w:t>
      </w:r>
      <w:r>
        <w:t xml:space="preserve"> </w:t>
      </w:r>
      <w:r>
        <w:t xml:space="preserve">	</w:t>
      </w:r>
      <w:r>
        <w:t xml:space="preserve">Boscaini, A., Casali, D.M., Toledo, N., Cantalapiedra, J.L., Bargo, M.S., De Iuliis, G., Gaudin, T.J., Langer, M.C., Narducci, R., Pujos, F., et al. (2025). The emergence and demise of giant sloths. Science</w:t>
      </w:r>
      <w:r>
        <w:t xml:space="preserve"> </w:t>
      </w:r>
      <w:r>
        <w:rPr>
          <w:i/>
          <w:iCs/>
        </w:rPr>
        <w:t xml:space="preserve">388</w:t>
      </w:r>
      <w:r>
        <w:t xml:space="preserve">, 864–868.</w:t>
      </w:r>
      <w:r>
        <w:t xml:space="preserve"> </w:t>
      </w:r>
      <w:hyperlink r:id="rId60">
        <w:r>
          <w:rPr>
            <w:rStyle w:val="Hyperlink"/>
          </w:rPr>
          <w:t xml:space="preserve">https://doi.org/10.1126/science.adu0704</w:t>
        </w:r>
      </w:hyperlink>
      <w:r>
        <w:t xml:space="preserve">.</w:t>
      </w:r>
    </w:p>
    <w:bookmarkEnd w:id="61"/>
    <w:bookmarkStart w:id="62" w:name="ref-simpson1980"/>
    <w:p>
      <w:pPr>
        <w:pStyle w:val="Bibliography"/>
      </w:pPr>
      <w:r>
        <w:t xml:space="preserve">15.</w:t>
      </w:r>
      <w:r>
        <w:t xml:space="preserve"> </w:t>
      </w:r>
      <w:r>
        <w:t xml:space="preserve">	</w:t>
      </w:r>
      <w:r>
        <w:t xml:space="preserve">Simpson, G.G. (1980). Splendid isolation : The curious history of south american mammals Yale University Press, New Haven.</w:t>
      </w:r>
    </w:p>
    <w:bookmarkEnd w:id="62"/>
    <w:bookmarkStart w:id="64" w:name="ref-domingo2020"/>
    <w:p>
      <w:pPr>
        <w:pStyle w:val="Bibliography"/>
      </w:pPr>
      <w:r>
        <w:t xml:space="preserve">16.</w:t>
      </w:r>
      <w:r>
        <w:t xml:space="preserve"> </w:t>
      </w:r>
      <w:r>
        <w:t xml:space="preserve">	</w:t>
      </w:r>
      <w:r>
        <w:t xml:space="preserve">Domingo, L., Tomassini, R.L., Montalvo, C.I., Sanz-Pérez, D., and Alberdi, M.T. (2020). The Great American Biotic Interchange revisited: a new perspective from the stable isotope record of Argentine Pampas fossil mammals. Scientific Reports</w:t>
      </w:r>
      <w:r>
        <w:t xml:space="preserve"> </w:t>
      </w:r>
      <w:r>
        <w:rPr>
          <w:i/>
          <w:iCs/>
        </w:rPr>
        <w:t xml:space="preserve">10</w:t>
      </w:r>
      <w:r>
        <w:t xml:space="preserve">, 1608.</w:t>
      </w:r>
      <w:r>
        <w:t xml:space="preserve"> </w:t>
      </w:r>
      <w:hyperlink r:id="rId63">
        <w:r>
          <w:rPr>
            <w:rStyle w:val="Hyperlink"/>
          </w:rPr>
          <w:t xml:space="preserve">https://doi.org/10.1038/s41598-020-58575-6</w:t>
        </w:r>
      </w:hyperlink>
      <w:r>
        <w:t xml:space="preserve">.</w:t>
      </w:r>
    </w:p>
    <w:bookmarkEnd w:id="64"/>
    <w:bookmarkStart w:id="65" w:name="ref-marshall1990"/>
    <w:p>
      <w:pPr>
        <w:pStyle w:val="Bibliography"/>
      </w:pPr>
      <w:r>
        <w:t xml:space="preserve">17.</w:t>
      </w:r>
      <w:r>
        <w:t xml:space="preserve"> </w:t>
      </w:r>
      <w:r>
        <w:t xml:space="preserve">	</w:t>
      </w:r>
      <w:r>
        <w:t xml:space="preserve">Marshall, L.G., and Cifelli, R.L. (1990). Analysis of changing diversity patterns in cenozoic land mammal age faunas, south america. Palaeovertebrata</w:t>
      </w:r>
      <w:r>
        <w:t xml:space="preserve"> </w:t>
      </w:r>
      <w:r>
        <w:rPr>
          <w:i/>
          <w:iCs/>
        </w:rPr>
        <w:t xml:space="preserve">19</w:t>
      </w:r>
      <w:r>
        <w:t xml:space="preserve">, 169–210.</w:t>
      </w:r>
    </w:p>
    <w:bookmarkEnd w:id="65"/>
    <w:bookmarkStart w:id="67" w:name="ref-faurby2016"/>
    <w:p>
      <w:pPr>
        <w:pStyle w:val="Bibliography"/>
      </w:pPr>
      <w:r>
        <w:t xml:space="preserve">18.</w:t>
      </w:r>
      <w:r>
        <w:t xml:space="preserve"> </w:t>
      </w:r>
      <w:r>
        <w:t xml:space="preserve">	</w:t>
      </w:r>
      <w:r>
        <w:t xml:space="preserve">Faurby, S., and Svenning, J.-C. (2016). The asymmetry in the Great American Biotic Interchange in mammals is consistent with differential susceptibility to mammalian predation. Global Ecology and Biogeography</w:t>
      </w:r>
      <w:r>
        <w:t xml:space="preserve"> </w:t>
      </w:r>
      <w:r>
        <w:rPr>
          <w:i/>
          <w:iCs/>
        </w:rPr>
        <w:t xml:space="preserve">25</w:t>
      </w:r>
      <w:r>
        <w:t xml:space="preserve">, 1443–1453.</w:t>
      </w:r>
      <w:r>
        <w:t xml:space="preserve"> </w:t>
      </w:r>
      <w:hyperlink r:id="rId66">
        <w:r>
          <w:rPr>
            <w:rStyle w:val="Hyperlink"/>
          </w:rPr>
          <w:t xml:space="preserve">https://doi.org/10.1111/geb.12504</w:t>
        </w:r>
      </w:hyperlink>
      <w:r>
        <w:t xml:space="preserve">.</w:t>
      </w:r>
    </w:p>
    <w:bookmarkEnd w:id="67"/>
    <w:bookmarkStart w:id="69" w:name="ref-fernández-monescillo2025"/>
    <w:p>
      <w:pPr>
        <w:pStyle w:val="Bibliography"/>
      </w:pPr>
      <w:r>
        <w:t xml:space="preserve">19.</w:t>
      </w:r>
      <w:r>
        <w:t xml:space="preserve"> </w:t>
      </w:r>
      <w:r>
        <w:t xml:space="preserve">	</w:t>
      </w:r>
      <w:r>
        <w:t xml:space="preserve">Fernández-Monescillo, M., Romero-Lebrón, E., Pesquero, M.D., Haro, A., Rodríguez, P.E., Krapovickas, J., and Tauber, A.A. (2025). Middle Pleistocene revelations: unravelling taphonomic processes in mammals including Mesotherium cristatum (Mesotheriidae, Notoungulata), Corralito Site, Córdoba Province, Argentina. Palaeontology</w:t>
      </w:r>
      <w:r>
        <w:t xml:space="preserve"> </w:t>
      </w:r>
      <w:r>
        <w:rPr>
          <w:i/>
          <w:iCs/>
        </w:rPr>
        <w:t xml:space="preserve">68</w:t>
      </w:r>
      <w:r>
        <w:t xml:space="preserve">, e70012.</w:t>
      </w:r>
      <w:r>
        <w:t xml:space="preserve"> </w:t>
      </w:r>
      <w:hyperlink r:id="rId68">
        <w:r>
          <w:rPr>
            <w:rStyle w:val="Hyperlink"/>
          </w:rPr>
          <w:t xml:space="preserve">https://doi.org/10.1111/pala.70012</w:t>
        </w:r>
      </w:hyperlink>
      <w:r>
        <w:t xml:space="preserve">.</w:t>
      </w:r>
    </w:p>
    <w:bookmarkEnd w:id="69"/>
    <w:bookmarkStart w:id="71" w:name="ref-vrba1992"/>
    <w:p>
      <w:pPr>
        <w:pStyle w:val="Bibliography"/>
      </w:pPr>
      <w:r>
        <w:t xml:space="preserve">20.</w:t>
      </w:r>
      <w:r>
        <w:t xml:space="preserve"> </w:t>
      </w:r>
      <w:r>
        <w:t xml:space="preserve">	</w:t>
      </w:r>
      <w:r>
        <w:t xml:space="preserve">Vrba, E.S. (1992). Mammals as a Key to Evolutionary Theory. Journal of Mammalogy</w:t>
      </w:r>
      <w:r>
        <w:t xml:space="preserve"> </w:t>
      </w:r>
      <w:r>
        <w:rPr>
          <w:i/>
          <w:iCs/>
        </w:rPr>
        <w:t xml:space="preserve">73</w:t>
      </w:r>
      <w:r>
        <w:t xml:space="preserve">, 1–28.</w:t>
      </w:r>
      <w:r>
        <w:t xml:space="preserve"> </w:t>
      </w:r>
      <w:hyperlink r:id="rId70">
        <w:r>
          <w:rPr>
            <w:rStyle w:val="Hyperlink"/>
          </w:rPr>
          <w:t xml:space="preserve">https://doi.org/10.2307/1381862</w:t>
        </w:r>
      </w:hyperlink>
      <w:r>
        <w:t xml:space="preserve">.</w:t>
      </w:r>
    </w:p>
    <w:bookmarkEnd w:id="71"/>
    <w:bookmarkStart w:id="73" w:name="ref-prevosti2013"/>
    <w:p>
      <w:pPr>
        <w:pStyle w:val="Bibliography"/>
      </w:pPr>
      <w:r>
        <w:t xml:space="preserve">21.</w:t>
      </w:r>
      <w:r>
        <w:t xml:space="preserve"> </w:t>
      </w:r>
      <w:r>
        <w:t xml:space="preserve">	</w:t>
      </w:r>
      <w:r>
        <w:t xml:space="preserve">Prevosti, F.J., Forasiepi, A., and Zimicz, N. (2013). The Evolution of the Cenozoic Terrestrial Mammalian Predator Guild in South America: Competition or Replacement? Journal of Mammalian Evolution</w:t>
      </w:r>
      <w:r>
        <w:t xml:space="preserve"> </w:t>
      </w:r>
      <w:r>
        <w:rPr>
          <w:i/>
          <w:iCs/>
        </w:rPr>
        <w:t xml:space="preserve">20</w:t>
      </w:r>
      <w:r>
        <w:t xml:space="preserve">, 3–21.</w:t>
      </w:r>
      <w:r>
        <w:t xml:space="preserve"> </w:t>
      </w:r>
      <w:hyperlink r:id="rId72">
        <w:r>
          <w:rPr>
            <w:rStyle w:val="Hyperlink"/>
          </w:rPr>
          <w:t xml:space="preserve">https://doi.org/10.1007/s10914-011-9175-9</w:t>
        </w:r>
      </w:hyperlink>
      <w:r>
        <w:t xml:space="preserve">.</w:t>
      </w:r>
    </w:p>
    <w:bookmarkEnd w:id="73"/>
    <w:bookmarkStart w:id="75" w:name="ref-tarquini2022"/>
    <w:p>
      <w:pPr>
        <w:pStyle w:val="Bibliography"/>
      </w:pPr>
      <w:r>
        <w:t xml:space="preserve">22.</w:t>
      </w:r>
      <w:r>
        <w:t xml:space="preserve"> </w:t>
      </w:r>
      <w:r>
        <w:t xml:space="preserve">	</w:t>
      </w:r>
      <w:r>
        <w:t xml:space="preserve">Tarquini, S.D., Ladevèze, S., and Prevosti, F.J. (2022). The multicausal twilight of South American native mammalian predators (Metatheria, Sparassodonta). Scientific Reports</w:t>
      </w:r>
      <w:r>
        <w:t xml:space="preserve"> </w:t>
      </w:r>
      <w:r>
        <w:rPr>
          <w:i/>
          <w:iCs/>
        </w:rPr>
        <w:t xml:space="preserve">12</w:t>
      </w:r>
      <w:r>
        <w:t xml:space="preserve">, 1224.</w:t>
      </w:r>
      <w:r>
        <w:t xml:space="preserve"> </w:t>
      </w:r>
      <w:hyperlink r:id="rId74">
        <w:r>
          <w:rPr>
            <w:rStyle w:val="Hyperlink"/>
          </w:rPr>
          <w:t xml:space="preserve">https://doi.org/10.1038/s41598-022-05266-z</w:t>
        </w:r>
      </w:hyperlink>
      <w:r>
        <w:t xml:space="preserve">.</w:t>
      </w:r>
    </w:p>
    <w:bookmarkEnd w:id="75"/>
    <w:bookmarkStart w:id="77" w:name="ref-marsà2025"/>
    <w:p>
      <w:pPr>
        <w:pStyle w:val="Bibliography"/>
      </w:pPr>
      <w:r>
        <w:t xml:space="preserve">23.</w:t>
      </w:r>
      <w:r>
        <w:t xml:space="preserve"> </w:t>
      </w:r>
      <w:r>
        <w:t xml:space="preserve">	</w:t>
      </w:r>
      <w:r>
        <w:t xml:space="preserve">Marsà, J.A.G., Agnolín, F.L., Angst, D., and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 Diversity</w:t>
      </w:r>
      <w:r>
        <w:t xml:space="preserve"> </w:t>
      </w:r>
      <w:r>
        <w:rPr>
          <w:i/>
          <w:iCs/>
        </w:rPr>
        <w:t xml:space="preserve">17</w:t>
      </w:r>
      <w:r>
        <w:t xml:space="preserve">, 153.</w:t>
      </w:r>
      <w:r>
        <w:t xml:space="preserve"> </w:t>
      </w:r>
      <w:hyperlink r:id="rId76">
        <w:r>
          <w:rPr>
            <w:rStyle w:val="Hyperlink"/>
          </w:rPr>
          <w:t xml:space="preserve">https://doi.org/10.3390/d17030153</w:t>
        </w:r>
      </w:hyperlink>
      <w:r>
        <w:t xml:space="preserve">.</w:t>
      </w:r>
    </w:p>
    <w:bookmarkEnd w:id="77"/>
    <w:bookmarkStart w:id="79" w:name="ref-freitas-oliveira2024"/>
    <w:p>
      <w:pPr>
        <w:pStyle w:val="Bibliography"/>
      </w:pPr>
      <w:r>
        <w:t xml:space="preserve">24.</w:t>
      </w:r>
      <w:r>
        <w:t xml:space="preserve"> </w:t>
      </w:r>
      <w:r>
        <w:t xml:space="preserve">	</w:t>
      </w:r>
      <w:r>
        <w:t xml:space="preserve">Freitas-Oliveira, R., Lima-Ribeiro, M.S., and Terribile, L.C. (2024). No evidence for niche competition in the extinction of the South American saber-tooth species. npj Biodiversity</w:t>
      </w:r>
      <w:r>
        <w:t xml:space="preserve"> </w:t>
      </w:r>
      <w:r>
        <w:rPr>
          <w:i/>
          <w:iCs/>
        </w:rPr>
        <w:t xml:space="preserve">3</w:t>
      </w:r>
      <w:r>
        <w:t xml:space="preserve">, 1–5.</w:t>
      </w:r>
      <w:r>
        <w:t xml:space="preserve"> </w:t>
      </w:r>
      <w:hyperlink r:id="rId78">
        <w:r>
          <w:rPr>
            <w:rStyle w:val="Hyperlink"/>
          </w:rPr>
          <w:t xml:space="preserve">https://doi.org/10.1038/s44185-024-00045-7</w:t>
        </w:r>
      </w:hyperlink>
      <w:r>
        <w:t xml:space="preserve">.</w:t>
      </w:r>
    </w:p>
    <w:bookmarkEnd w:id="79"/>
    <w:bookmarkStart w:id="81" w:name="ref-pilowsky2022"/>
    <w:p>
      <w:pPr>
        <w:pStyle w:val="Bibliography"/>
      </w:pPr>
      <w:r>
        <w:t xml:space="preserve">25.</w:t>
      </w:r>
      <w:r>
        <w:t xml:space="preserve"> </w:t>
      </w:r>
      <w:r>
        <w:t xml:space="preserve">	</w:t>
      </w:r>
      <w:r>
        <w:t xml:space="preserve">Pilowsky, J.A., Colwell, R.K., Rahbek, C., and Fordham, D.A. (2022). Process-explicit models reveal the structure and dynamics of biodiversity patterns. Science Advances</w:t>
      </w:r>
      <w:r>
        <w:t xml:space="preserve"> </w:t>
      </w:r>
      <w:r>
        <w:rPr>
          <w:i/>
          <w:iCs/>
        </w:rPr>
        <w:t xml:space="preserve">8</w:t>
      </w:r>
      <w:r>
        <w:t xml:space="preserve">, eabj2271.</w:t>
      </w:r>
      <w:r>
        <w:t xml:space="preserve"> </w:t>
      </w:r>
      <w:hyperlink r:id="rId80">
        <w:r>
          <w:rPr>
            <w:rStyle w:val="Hyperlink"/>
          </w:rPr>
          <w:t xml:space="preserve">https://doi.org/10.1126/sciadv.abj2271</w:t>
        </w:r>
      </w:hyperlink>
      <w:r>
        <w:t xml:space="preserve">.</w:t>
      </w:r>
    </w:p>
    <w:bookmarkEnd w:id="81"/>
    <w:bookmarkStart w:id="83"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 Ecography</w:t>
      </w:r>
      <w:r>
        <w:t xml:space="preserve"> </w:t>
      </w:r>
      <w:r>
        <w:rPr>
          <w:i/>
          <w:iCs/>
        </w:rPr>
        <w:t xml:space="preserve">2023</w:t>
      </w:r>
      <w:r>
        <w:t xml:space="preserve">, e06132.</w:t>
      </w:r>
      <w:r>
        <w:t xml:space="preserve"> </w:t>
      </w:r>
      <w:hyperlink r:id="rId82">
        <w:r>
          <w:rPr>
            <w:rStyle w:val="Hyperlink"/>
          </w:rPr>
          <w:t xml:space="preserve">https://doi.org/10.1111/ecog.06132</w:t>
        </w:r>
      </w:hyperlink>
      <w:r>
        <w:t xml:space="preserve">.</w:t>
      </w:r>
    </w:p>
    <w:bookmarkEnd w:id="83"/>
    <w:bookmarkStart w:id="85" w:name="ref-hagen2021"/>
    <w:p>
      <w:pPr>
        <w:pStyle w:val="Bibliography"/>
      </w:pPr>
      <w:r>
        <w:t xml:space="preserve">27.</w:t>
      </w:r>
      <w:r>
        <w:t xml:space="preserve"> </w:t>
      </w:r>
      <w:r>
        <w:t xml:space="preserve">	</w:t>
      </w:r>
      <w:r>
        <w:t xml:space="preserve">Hagen, O., Flück, B., Fopp, F., Cabral, J.S., Hartig, F., Pontarp, M., Rangel, T.F., and Pellissier, L. (2021). gen3sis: A general engine for eco-evolutionary simulations of the processes that shape Earth</w:t>
      </w:r>
      <w:r>
        <w:t xml:space="preserve">’</w:t>
      </w:r>
      <w:r>
        <w:t xml:space="preserve">s biodiversity. PLOS Biology</w:t>
      </w:r>
      <w:r>
        <w:t xml:space="preserve"> </w:t>
      </w:r>
      <w:r>
        <w:rPr>
          <w:i/>
          <w:iCs/>
        </w:rPr>
        <w:t xml:space="preserve">19</w:t>
      </w:r>
      <w:r>
        <w:t xml:space="preserve">, e3001340.</w:t>
      </w:r>
      <w:r>
        <w:t xml:space="preserve"> </w:t>
      </w:r>
      <w:hyperlink r:id="rId84">
        <w:r>
          <w:rPr>
            <w:rStyle w:val="Hyperlink"/>
          </w:rPr>
          <w:t xml:space="preserve">https://doi.org/10.1371/journal.pbio.3001340</w:t>
        </w:r>
      </w:hyperlink>
      <w:r>
        <w:t xml:space="preserve">.</w:t>
      </w:r>
    </w:p>
    <w:bookmarkEnd w:id="85"/>
    <w:bookmarkStart w:id="87" w:name="ref-lorcery2025"/>
    <w:p>
      <w:pPr>
        <w:pStyle w:val="Bibliography"/>
      </w:pPr>
      <w:r>
        <w:t xml:space="preserve">28.</w:t>
      </w:r>
      <w:r>
        <w:t xml:space="preserve"> </w:t>
      </w:r>
      <w:r>
        <w:t xml:space="preserve">	</w:t>
      </w:r>
      <w:r>
        <w:t xml:space="preserve">Lorcery, M., Husson, L., Salles, T., Lavergne, S., Hagen, O., and Skeels, A. (2025). Deep time evolution of the Latitudinal Diversity Gradient: Insights from mechanistic models. PLOS ONE</w:t>
      </w:r>
      <w:r>
        <w:t xml:space="preserve"> </w:t>
      </w:r>
      <w:r>
        <w:rPr>
          <w:i/>
          <w:iCs/>
        </w:rPr>
        <w:t xml:space="preserve">20</w:t>
      </w:r>
      <w:r>
        <w:t xml:space="preserve">, e0332766.</w:t>
      </w:r>
      <w:r>
        <w:t xml:space="preserve"> </w:t>
      </w:r>
      <w:hyperlink r:id="rId86">
        <w:r>
          <w:rPr>
            <w:rStyle w:val="Hyperlink"/>
          </w:rPr>
          <w:t xml:space="preserve">https://doi.org/10.1371/journal.pone.0332766</w:t>
        </w:r>
      </w:hyperlink>
      <w:r>
        <w:t xml:space="preserve">.</w:t>
      </w:r>
    </w:p>
    <w:bookmarkEnd w:id="87"/>
    <w:bookmarkStart w:id="89" w:name="ref-hagen2021b"/>
    <w:p>
      <w:pPr>
        <w:pStyle w:val="Bibliography"/>
      </w:pPr>
      <w:r>
        <w:t xml:space="preserve">29.</w:t>
      </w:r>
      <w:r>
        <w:t xml:space="preserve"> </w:t>
      </w:r>
      <w:r>
        <w:t xml:space="preserve">	</w:t>
      </w:r>
      <w:r>
        <w:t xml:space="preserve">Hagen, O., Skeels, A., Onstein, R.E., Jetz, W., and Pellissier, L. (2021). Earth history events shaped the evolution of uneven biodiversity across tropical moist forests. Proceedings of the National Academy of Sciences</w:t>
      </w:r>
      <w:r>
        <w:t xml:space="preserve"> </w:t>
      </w:r>
      <w:r>
        <w:rPr>
          <w:i/>
          <w:iCs/>
        </w:rPr>
        <w:t xml:space="preserve">118</w:t>
      </w:r>
      <w:r>
        <w:t xml:space="preserve">, e2026347118.</w:t>
      </w:r>
      <w:r>
        <w:t xml:space="preserve"> </w:t>
      </w:r>
      <w:hyperlink r:id="rId88">
        <w:r>
          <w:rPr>
            <w:rStyle w:val="Hyperlink"/>
          </w:rPr>
          <w:t xml:space="preserve">https://doi.org/10.1073/pnas.2026347118</w:t>
        </w:r>
      </w:hyperlink>
      <w:r>
        <w:t xml:space="preserve">.</w:t>
      </w:r>
    </w:p>
    <w:bookmarkEnd w:id="89"/>
    <w:bookmarkStart w:id="91" w:name="ref-skeels2023b"/>
    <w:p>
      <w:pPr>
        <w:pStyle w:val="Bibliography"/>
      </w:pPr>
      <w:r>
        <w:t xml:space="preserve">30.</w:t>
      </w:r>
      <w:r>
        <w:t xml:space="preserve"> </w:t>
      </w:r>
      <w:r>
        <w:t xml:space="preserve">	</w:t>
      </w:r>
      <w:r>
        <w:t xml:space="preserve">Skeels, A., Boschman, L.M., McFadden, I.R., Joyce, E.M., Hagen, O., Jiménez Robles, O., Bach, W., Boussange, V., Keggin, T., Jetz, W., et al. (2023). Paleoenvironments shaped the exchange of terrestrial vertebrates across wallace’s line. Science</w:t>
      </w:r>
      <w:r>
        <w:t xml:space="preserve"> </w:t>
      </w:r>
      <w:r>
        <w:rPr>
          <w:i/>
          <w:iCs/>
        </w:rPr>
        <w:t xml:space="preserve">381</w:t>
      </w:r>
      <w:r>
        <w:t xml:space="preserve">, 86–92.</w:t>
      </w:r>
      <w:r>
        <w:t xml:space="preserve"> </w:t>
      </w:r>
      <w:hyperlink r:id="rId90">
        <w:r>
          <w:rPr>
            <w:rStyle w:val="Hyperlink"/>
          </w:rPr>
          <w:t xml:space="preserve">https://doi.org/10.1126/science.adf7122</w:t>
        </w:r>
      </w:hyperlink>
      <w:r>
        <w:t xml:space="preserve">.</w:t>
      </w:r>
    </w:p>
    <w:bookmarkEnd w:id="91"/>
    <w:bookmarkStart w:id="93" w:name="ref-boschman2023"/>
    <w:p>
      <w:pPr>
        <w:pStyle w:val="Bibliography"/>
      </w:pPr>
      <w:r>
        <w:t xml:space="preserve">31.</w:t>
      </w:r>
      <w:r>
        <w:t xml:space="preserve"> </w:t>
      </w:r>
      <w:r>
        <w:t xml:space="preserve">	</w:t>
      </w:r>
      <w:r>
        <w:t xml:space="preserve">Boschman, L.M., Carraro, L., Cassemiro, F.A.S., Vries, J. de, Altermatt, F., Hagen, O., Hoorn, C., and Pellissier, L. (2023). Freshwater fish diversity in the western Amazon basin shaped by Andean uplift since the Late Cretaceous. Nature Ecology &amp; Evolution</w:t>
      </w:r>
      <w:r>
        <w:t xml:space="preserve"> </w:t>
      </w:r>
      <w:r>
        <w:rPr>
          <w:i/>
          <w:iCs/>
        </w:rPr>
        <w:t xml:space="preserve">7</w:t>
      </w:r>
      <w:r>
        <w:t xml:space="preserve">, 2037–2044.</w:t>
      </w:r>
      <w:r>
        <w:t xml:space="preserve"> </w:t>
      </w:r>
      <w:hyperlink r:id="rId92">
        <w:r>
          <w:rPr>
            <w:rStyle w:val="Hyperlink"/>
          </w:rPr>
          <w:t xml:space="preserve">https://doi.org/10.1038/s41559-023-02220-8</w:t>
        </w:r>
      </w:hyperlink>
      <w:r>
        <w:t xml:space="preserve">.</w:t>
      </w:r>
    </w:p>
    <w:bookmarkEnd w:id="93"/>
    <w:bookmarkStart w:id="95" w:name="ref-skeels2023"/>
    <w:p>
      <w:pPr>
        <w:pStyle w:val="Bibliography"/>
      </w:pPr>
      <w:r>
        <w:t xml:space="preserve">32.</w:t>
      </w:r>
      <w:r>
        <w:t xml:space="preserve"> </w:t>
      </w:r>
      <w:r>
        <w:t xml:space="preserve">	</w:t>
      </w:r>
      <w:r>
        <w:t xml:space="preserve">Skeels, A., Bach, W., Hagen, O., Jetz, W., and Pellissier, L. (2023). Temperature-dependent evolutionary speed shapes the evolution of biodiversity patterns across tetrapod radiations. Systematic Biology</w:t>
      </w:r>
      <w:r>
        <w:t xml:space="preserve"> </w:t>
      </w:r>
      <w:r>
        <w:rPr>
          <w:i/>
          <w:iCs/>
        </w:rPr>
        <w:t xml:space="preserve">72</w:t>
      </w:r>
      <w:r>
        <w:t xml:space="preserve">, 341–356.</w:t>
      </w:r>
      <w:r>
        <w:t xml:space="preserve"> </w:t>
      </w:r>
      <w:hyperlink r:id="rId94">
        <w:r>
          <w:rPr>
            <w:rStyle w:val="Hyperlink"/>
          </w:rPr>
          <w:t xml:space="preserve">https://doi.org/10.1093/sysbio/syac048</w:t>
        </w:r>
      </w:hyperlink>
      <w:r>
        <w:t xml:space="preserve">.</w:t>
      </w:r>
    </w:p>
    <w:bookmarkEnd w:id="95"/>
    <w:bookmarkStart w:id="97" w:name="ref-liu2024"/>
    <w:p>
      <w:pPr>
        <w:pStyle w:val="Bibliography"/>
      </w:pPr>
      <w:r>
        <w:t xml:space="preserve">33.</w:t>
      </w:r>
      <w:r>
        <w:t xml:space="preserve"> </w:t>
      </w:r>
      <w:r>
        <w:t xml:space="preserve">	</w:t>
      </w:r>
      <w:r>
        <w:t xml:space="preserve">Liu, Y., Wang, Y., Willett, S.D., Zimmermann, N.E., and Pellissier, L. (2024). Escarpment evolution drives the diversification of the madagascar flora. Science</w:t>
      </w:r>
      <w:r>
        <w:t xml:space="preserve"> </w:t>
      </w:r>
      <w:r>
        <w:rPr>
          <w:i/>
          <w:iCs/>
        </w:rPr>
        <w:t xml:space="preserve">383</w:t>
      </w:r>
      <w:r>
        <w:t xml:space="preserve">, 653–658.</w:t>
      </w:r>
      <w:r>
        <w:t xml:space="preserve"> </w:t>
      </w:r>
      <w:hyperlink r:id="rId96">
        <w:r>
          <w:rPr>
            <w:rStyle w:val="Hyperlink"/>
          </w:rPr>
          <w:t xml:space="preserve">https://doi.org/10.1126/science.adi0833</w:t>
        </w:r>
      </w:hyperlink>
      <w:r>
        <w:t xml:space="preserve">.</w:t>
      </w:r>
    </w:p>
    <w:bookmarkEnd w:id="97"/>
    <w:bookmarkStart w:id="99" w:name="ref-holden2019"/>
    <w:p>
      <w:pPr>
        <w:pStyle w:val="Bibliography"/>
      </w:pPr>
      <w:r>
        <w:t xml:space="preserve">34.</w:t>
      </w:r>
      <w:r>
        <w:t xml:space="preserve"> </w:t>
      </w:r>
      <w:r>
        <w:t xml:space="preserve">	</w:t>
      </w:r>
      <w:r>
        <w:t xml:space="preserve">Holden, P.B., Edwards, N.R., Rangel, T.F., Pereira, E.B., Tran, G.T., and Wilkinson, R.D. (2019). PALEO-PGEM v1.0: A statistical emulator of pliocene</w:t>
      </w:r>
      <w:r>
        <w:t xml:space="preserve">pleistocene climate. Geoscientific Model Development</w:t>
      </w:r>
      <w:r>
        <w:t xml:space="preserve"> </w:t>
      </w:r>
      <w:r>
        <w:rPr>
          <w:i/>
          <w:iCs/>
        </w:rPr>
        <w:t xml:space="preserve">12</w:t>
      </w:r>
      <w:r>
        <w:t xml:space="preserve">, 5137–5155. https://doi.org/</w:t>
      </w:r>
      <w:hyperlink r:id="rId98">
        <w:r>
          <w:rPr>
            <w:rStyle w:val="Hyperlink"/>
          </w:rPr>
          <w:t xml:space="preserve">https://doi.org/10.5194/gmd-12-5137-2019</w:t>
        </w:r>
      </w:hyperlink>
      <w:r>
        <w:t xml:space="preserve">.</w:t>
      </w:r>
    </w:p>
    <w:bookmarkEnd w:id="99"/>
    <w:bookmarkStart w:id="101" w:name="ref-barreto2023"/>
    <w:p>
      <w:pPr>
        <w:pStyle w:val="Bibliography"/>
      </w:pPr>
      <w:r>
        <w:t xml:space="preserve">35.</w:t>
      </w:r>
      <w:r>
        <w:t xml:space="preserve"> </w:t>
      </w:r>
      <w:r>
        <w:t xml:space="preserve">	</w:t>
      </w:r>
      <w:r>
        <w:t xml:space="preserve">Barreto, E., Holden, P.B., Edwards, N.R., and Rangel, T.F. (2023). PALEO-PGEM-Series: A spatial time series of the global climate over the last 5 million years (Plio-Pleistocene). Global Ecology and Biogeography</w:t>
      </w:r>
      <w:r>
        <w:t xml:space="preserve"> </w:t>
      </w:r>
      <w:r>
        <w:rPr>
          <w:i/>
          <w:iCs/>
        </w:rPr>
        <w:t xml:space="preserve">32</w:t>
      </w:r>
      <w:r>
        <w:t xml:space="preserve">, 1034–1045.</w:t>
      </w:r>
      <w:r>
        <w:t xml:space="preserve"> </w:t>
      </w:r>
      <w:hyperlink r:id="rId100">
        <w:r>
          <w:rPr>
            <w:rStyle w:val="Hyperlink"/>
          </w:rPr>
          <w:t xml:space="preserve">https://doi.org/10.1111/geb.13683</w:t>
        </w:r>
      </w:hyperlink>
      <w:r>
        <w:t xml:space="preserve">.</w:t>
      </w:r>
    </w:p>
    <w:bookmarkEnd w:id="101"/>
    <w:bookmarkStart w:id="103" w:name="ref-beck2018"/>
    <w:p>
      <w:pPr>
        <w:pStyle w:val="Bibliography"/>
      </w:pPr>
      <w:r>
        <w:t xml:space="preserve">36.</w:t>
      </w:r>
      <w:r>
        <w:t xml:space="preserve"> </w:t>
      </w:r>
      <w:r>
        <w:t xml:space="preserve">	</w:t>
      </w:r>
      <w:r>
        <w:t xml:space="preserve">Beck, H.E., Zimmermann, N.E., McVicar, T.R., Vergopolan, N., Berg, A., and Wood, E.F. (2018). Present and future Köppen-Geiger climate classification maps at 1-km resolution. Scientific Data</w:t>
      </w:r>
      <w:r>
        <w:t xml:space="preserve"> </w:t>
      </w:r>
      <w:r>
        <w:rPr>
          <w:i/>
          <w:iCs/>
        </w:rPr>
        <w:t xml:space="preserve">5</w:t>
      </w:r>
      <w:r>
        <w:t xml:space="preserve">, 180214.</w:t>
      </w:r>
      <w:r>
        <w:t xml:space="preserve"> </w:t>
      </w:r>
      <w:hyperlink r:id="rId102">
        <w:r>
          <w:rPr>
            <w:rStyle w:val="Hyperlink"/>
          </w:rPr>
          <w:t xml:space="preserve">https://doi.org/10.1038/sdata.2018.214</w:t>
        </w:r>
      </w:hyperlink>
      <w:r>
        <w:t xml:space="preserve">.</w:t>
      </w:r>
    </w:p>
    <w:bookmarkEnd w:id="103"/>
    <w:bookmarkStart w:id="105" w:name="ref-galván2023"/>
    <w:p>
      <w:pPr>
        <w:pStyle w:val="Bibliography"/>
      </w:pPr>
      <w:r>
        <w:t xml:space="preserve">37.</w:t>
      </w:r>
      <w:r>
        <w:t xml:space="preserve"> </w:t>
      </w:r>
      <w:r>
        <w:t xml:space="preserve">	</w:t>
      </w:r>
      <w:r>
        <w:t xml:space="preserve">Galván, S., Gamboa, S., and Varela, S. (2023).</w:t>
      </w:r>
      <w:r>
        <w:t xml:space="preserve"> </w:t>
      </w:r>
      <w:hyperlink r:id="rId104">
        <w:r>
          <w:rPr>
            <w:rStyle w:val="Hyperlink"/>
          </w:rPr>
          <w:t xml:space="preserve">Köppen Geiger climatic classification for R users.</w:t>
        </w:r>
      </w:hyperlink>
    </w:p>
    <w:bookmarkEnd w:id="105"/>
    <w:bookmarkStart w:id="107" w:name="ref-weir2009"/>
    <w:p>
      <w:pPr>
        <w:pStyle w:val="Bibliography"/>
      </w:pPr>
      <w:r>
        <w:t xml:space="preserve">38.</w:t>
      </w:r>
      <w:r>
        <w:t xml:space="preserve"> </w:t>
      </w:r>
      <w:r>
        <w:t xml:space="preserve">	</w:t>
      </w:r>
      <w:r>
        <w:t xml:space="preserve">Weir, J.T., Bermingham, E., and Schluter, D. (2009). The great american biotic interchange in birds. Proceedings of the National Academy of Sciences</w:t>
      </w:r>
      <w:r>
        <w:t xml:space="preserve"> </w:t>
      </w:r>
      <w:r>
        <w:rPr>
          <w:i/>
          <w:iCs/>
        </w:rPr>
        <w:t xml:space="preserve">106</w:t>
      </w:r>
      <w:r>
        <w:t xml:space="preserve">, 21737–21742.</w:t>
      </w:r>
      <w:r>
        <w:t xml:space="preserve"> </w:t>
      </w:r>
      <w:hyperlink r:id="rId106">
        <w:r>
          <w:rPr>
            <w:rStyle w:val="Hyperlink"/>
          </w:rPr>
          <w:t xml:space="preserve">https://doi.org/10.1073/pnas.0903811106</w:t>
        </w:r>
      </w:hyperlink>
      <w:r>
        <w:t xml:space="preserve">.</w:t>
      </w:r>
    </w:p>
    <w:bookmarkEnd w:id="107"/>
    <w:bookmarkStart w:id="109" w:name="ref-antonelli2018"/>
    <w:p>
      <w:pPr>
        <w:pStyle w:val="Bibliography"/>
      </w:pPr>
      <w:r>
        <w:t xml:space="preserve">39.</w:t>
      </w:r>
      <w:r>
        <w:t xml:space="preserve"> </w:t>
      </w:r>
      <w:r>
        <w:t xml:space="preserve">	</w:t>
      </w:r>
      <w:r>
        <w:t xml:space="preserve">Antonelli, A., Kissling, W.D., Flantua, S.G.A., Bermúdez, M.A., Mulch, A., Muellner-Riehl, A.N., Kreft, H., Linder, H.P., Badgley, C., Fjeldså, J., et al. (2018). Geological and climatic influences on mountain biodiversity. Nature Geoscience</w:t>
      </w:r>
      <w:r>
        <w:t xml:space="preserve"> </w:t>
      </w:r>
      <w:r>
        <w:rPr>
          <w:i/>
          <w:iCs/>
        </w:rPr>
        <w:t xml:space="preserve">11</w:t>
      </w:r>
      <w:r>
        <w:t xml:space="preserve">, 718–725.</w:t>
      </w:r>
      <w:r>
        <w:t xml:space="preserve"> </w:t>
      </w:r>
      <w:hyperlink r:id="rId108">
        <w:r>
          <w:rPr>
            <w:rStyle w:val="Hyperlink"/>
          </w:rPr>
          <w:t xml:space="preserve">https://doi.org/10.1038/s41561-018-0236-z</w:t>
        </w:r>
      </w:hyperlink>
      <w:r>
        <w:t xml:space="preserve">.</w:t>
      </w:r>
    </w:p>
    <w:bookmarkEnd w:id="109"/>
    <w:bookmarkStart w:id="111" w:name="ref-haffer1969"/>
    <w:p>
      <w:pPr>
        <w:pStyle w:val="Bibliography"/>
      </w:pPr>
      <w:r>
        <w:t xml:space="preserve">40.</w:t>
      </w:r>
      <w:r>
        <w:t xml:space="preserve"> </w:t>
      </w:r>
      <w:r>
        <w:t xml:space="preserve">	</w:t>
      </w:r>
      <w:r>
        <w:t xml:space="preserve">Haffer, J. (1969). Speciation in amazonian forest birds. Science</w:t>
      </w:r>
      <w:r>
        <w:t xml:space="preserve"> </w:t>
      </w:r>
      <w:r>
        <w:rPr>
          <w:i/>
          <w:iCs/>
        </w:rPr>
        <w:t xml:space="preserve">165</w:t>
      </w:r>
      <w:r>
        <w:t xml:space="preserve">, 131–137.</w:t>
      </w:r>
      <w:r>
        <w:t xml:space="preserve"> </w:t>
      </w:r>
      <w:hyperlink r:id="rId110">
        <w:r>
          <w:rPr>
            <w:rStyle w:val="Hyperlink"/>
          </w:rPr>
          <w:t xml:space="preserve">https://doi.org/10.1126/science.165.3889.131</w:t>
        </w:r>
      </w:hyperlink>
      <w:r>
        <w:t xml:space="preserve">.</w:t>
      </w:r>
    </w:p>
    <w:bookmarkEnd w:id="111"/>
    <w:bookmarkStart w:id="113" w:name="ref-cruz2025"/>
    <w:p>
      <w:pPr>
        <w:pStyle w:val="Bibliography"/>
      </w:pPr>
      <w:r>
        <w:t xml:space="preserve">41.</w:t>
      </w:r>
      <w:r>
        <w:t xml:space="preserve"> </w:t>
      </w:r>
      <w:r>
        <w:t xml:space="preserve">	</w:t>
      </w:r>
      <w:r>
        <w:t xml:space="preserve">Cruz, E.N.S., Faurby, S., and Sawaya, R.J. (2025). Did the climate changes cause the extinction of the Late Pleistocene gomphotheres in South America? Zoologia (Curitiba)</w:t>
      </w:r>
      <w:r>
        <w:t xml:space="preserve"> </w:t>
      </w:r>
      <w:r>
        <w:rPr>
          <w:i/>
          <w:iCs/>
        </w:rPr>
        <w:t xml:space="preserve">42</w:t>
      </w:r>
      <w:r>
        <w:t xml:space="preserve">, e24051. https://doi.org/</w:t>
      </w:r>
      <w:hyperlink r:id="rId112">
        <w:r>
          <w:rPr>
            <w:rStyle w:val="Hyperlink"/>
          </w:rPr>
          <w:t xml:space="preserve">https://doi.org/10.1590/S1984-4689.v42.e24051</w:t>
        </w:r>
      </w:hyperlink>
      <w:r>
        <w:t xml:space="preserve">.</w:t>
      </w:r>
    </w:p>
    <w:bookmarkEnd w:id="113"/>
    <w:bookmarkStart w:id="115" w:name="ref-motta2025"/>
    <w:p>
      <w:pPr>
        <w:pStyle w:val="Bibliography"/>
      </w:pPr>
      <w:r>
        <w:t xml:space="preserve">42.</w:t>
      </w:r>
      <w:r>
        <w:t xml:space="preserve"> </w:t>
      </w:r>
      <w:r>
        <w:t xml:space="preserve">	</w:t>
      </w:r>
      <w:r>
        <w:t xml:space="preserve">Motta, L.M., and Quental, T.B. (2025). New aspects of the asymmetry of the great american biotic interchange based on an analysis of the spatial and temporal structure of immigrant taxa at local scale. Palaeogeography, Palaeoclimatology, Palaeoecology</w:t>
      </w:r>
      <w:r>
        <w:t xml:space="preserve"> </w:t>
      </w:r>
      <w:r>
        <w:rPr>
          <w:i/>
          <w:iCs/>
        </w:rPr>
        <w:t xml:space="preserve">668</w:t>
      </w:r>
      <w:r>
        <w:t xml:space="preserve">, 112905.</w:t>
      </w:r>
      <w:r>
        <w:t xml:space="preserve"> </w:t>
      </w:r>
      <w:hyperlink r:id="rId114">
        <w:r>
          <w:rPr>
            <w:rStyle w:val="Hyperlink"/>
          </w:rPr>
          <w:t xml:space="preserve">https://doi.org/10.1016/j.palaeo.2025.112905</w:t>
        </w:r>
      </w:hyperlink>
      <w:r>
        <w:t xml:space="preserve">.</w:t>
      </w:r>
    </w:p>
    <w:bookmarkEnd w:id="115"/>
    <w:bookmarkStart w:id="117" w:name="ref-pino2022"/>
    <w:p>
      <w:pPr>
        <w:pStyle w:val="Bibliography"/>
      </w:pPr>
      <w:r>
        <w:t xml:space="preserve">43.</w:t>
      </w:r>
      <w:r>
        <w:t xml:space="preserve"> </w:t>
      </w:r>
      <w:r>
        <w:t xml:space="preserve">	</w:t>
      </w:r>
      <w:r>
        <w:t xml:space="preserve">Pino, K., Vallejos-Garrido, P., Espinoza-Aravena, N., Cooper, R.B., Silvestro, D., Hernández, C.E., and Rodríguez-Serrano, E. (2022). Regional landscape change triggered by andean uplift: The extinction of sparassodonta (mammalia, metatheria) in south america. Global and Planetary Change</w:t>
      </w:r>
      <w:r>
        <w:t xml:space="preserve"> </w:t>
      </w:r>
      <w:r>
        <w:rPr>
          <w:i/>
          <w:iCs/>
        </w:rPr>
        <w:t xml:space="preserve">210</w:t>
      </w:r>
      <w:r>
        <w:t xml:space="preserve">, 103758.</w:t>
      </w:r>
      <w:r>
        <w:t xml:space="preserve"> </w:t>
      </w:r>
      <w:hyperlink r:id="rId116">
        <w:r>
          <w:rPr>
            <w:rStyle w:val="Hyperlink"/>
          </w:rPr>
          <w:t xml:space="preserve">https://doi.org/10.1016/j.gloplacha.2022.103758</w:t>
        </w:r>
      </w:hyperlink>
      <w:r>
        <w:t xml:space="preserve">.</w:t>
      </w:r>
    </w:p>
    <w:bookmarkEnd w:id="117"/>
    <w:bookmarkStart w:id="119" w:name="ref-morgan1993"/>
    <w:p>
      <w:pPr>
        <w:pStyle w:val="Bibliography"/>
      </w:pPr>
      <w:r>
        <w:t xml:space="preserve">44.</w:t>
      </w:r>
      <w:r>
        <w:t xml:space="preserve"> </w:t>
      </w:r>
      <w:r>
        <w:t xml:space="preserve">	</w:t>
      </w:r>
      <w:r>
        <w:t xml:space="preserve">Morgan, G.S. (1993). Quaternary land vertebrates of jamaica. In, R. M. Wright and E. Robinson, eds. (Geological Society of America), p. 0.</w:t>
      </w:r>
      <w:r>
        <w:t xml:space="preserve"> </w:t>
      </w:r>
      <w:hyperlink r:id="rId118">
        <w:r>
          <w:rPr>
            <w:rStyle w:val="Hyperlink"/>
          </w:rPr>
          <w:t xml:space="preserve">https://doi.org/10.1130/MEM182-p417</w:t>
        </w:r>
      </w:hyperlink>
      <w:r>
        <w:t xml:space="preserve">.</w:t>
      </w:r>
    </w:p>
    <w:bookmarkEnd w:id="119"/>
    <w:bookmarkStart w:id="121" w:name="ref-ali2021b"/>
    <w:p>
      <w:pPr>
        <w:pStyle w:val="Bibliography"/>
      </w:pPr>
      <w:r>
        <w:t xml:space="preserve">45.</w:t>
      </w:r>
      <w:r>
        <w:t xml:space="preserve"> </w:t>
      </w:r>
      <w:r>
        <w:t xml:space="preserve">	</w:t>
      </w:r>
      <w:r>
        <w:t xml:space="preserve">Ali, J.R., and Hedges, S.B. (2021). Colonizing the caribbean: New geological data and an updated land-vertebrate colonization record challenge the</w:t>
      </w:r>
      <w:r>
        <w:t xml:space="preserve"> </w:t>
      </w:r>
      <w:r>
        <w:t xml:space="preserve">GAARlandia</w:t>
      </w:r>
      <w:r>
        <w:t xml:space="preserve"> </w:t>
      </w:r>
      <w:r>
        <w:t xml:space="preserve">land-bridge hypothesis. Journal of Biogeography</w:t>
      </w:r>
      <w:r>
        <w:t xml:space="preserve"> </w:t>
      </w:r>
      <w:r>
        <w:rPr>
          <w:i/>
          <w:iCs/>
        </w:rPr>
        <w:t xml:space="preserve">48</w:t>
      </w:r>
      <w:r>
        <w:t xml:space="preserve">, 2699–2707.</w:t>
      </w:r>
      <w:r>
        <w:t xml:space="preserve"> </w:t>
      </w:r>
      <w:hyperlink r:id="rId120">
        <w:r>
          <w:rPr>
            <w:rStyle w:val="Hyperlink"/>
          </w:rPr>
          <w:t xml:space="preserve">https://doi.org/10.1111/jbi.14234</w:t>
        </w:r>
      </w:hyperlink>
      <w:r>
        <w:t xml:space="preserve">.</w:t>
      </w:r>
    </w:p>
    <w:bookmarkEnd w:id="121"/>
    <w:bookmarkStart w:id="123" w:name="ref-cornée2021"/>
    <w:p>
      <w:pPr>
        <w:pStyle w:val="Bibliography"/>
      </w:pPr>
      <w:r>
        <w:t xml:space="preserve">46.</w:t>
      </w:r>
      <w:r>
        <w:t xml:space="preserve"> </w:t>
      </w:r>
      <w:r>
        <w:t xml:space="preserve">	</w:t>
      </w:r>
      <w:r>
        <w:t xml:space="preserve">Cornée, J.-J., Münch, P., Philippon, M., BouDagher-Fadel, M., Quillévéré, F., Melinte-Dobrinescu, M., Lebrun, J.-F., Gay, A., Meyer, S., Montheil, L., et al. (2021). Lost islands in the northern lesser antilles: Possible milestones in the cenozoic dispersal of terrestrial organisms between south-america and the greater antilles. Earth-Science Reviews</w:t>
      </w:r>
      <w:r>
        <w:t xml:space="preserve"> </w:t>
      </w:r>
      <w:r>
        <w:rPr>
          <w:i/>
          <w:iCs/>
        </w:rPr>
        <w:t xml:space="preserve">217</w:t>
      </w:r>
      <w:r>
        <w:t xml:space="preserve">, 103617.</w:t>
      </w:r>
      <w:r>
        <w:t xml:space="preserve"> </w:t>
      </w:r>
      <w:hyperlink r:id="rId122">
        <w:r>
          <w:rPr>
            <w:rStyle w:val="Hyperlink"/>
          </w:rPr>
          <w:t xml:space="preserve">https://doi.org/10.1016/j.earscirev.2021.103617</w:t>
        </w:r>
      </w:hyperlink>
      <w:r>
        <w:t xml:space="preserve">.</w:t>
      </w:r>
    </w:p>
    <w:bookmarkEnd w:id="123"/>
    <w:bookmarkStart w:id="125" w:name="ref-warren2015"/>
    <w:p>
      <w:pPr>
        <w:pStyle w:val="Bibliography"/>
      </w:pPr>
      <w:r>
        <w:t xml:space="preserve">47.</w:t>
      </w:r>
      <w:r>
        <w:t xml:space="preserve"> </w:t>
      </w:r>
      <w:r>
        <w:t xml:space="preserve">	</w:t>
      </w:r>
      <w:r>
        <w:t xml:space="preserve">Warren, B.H., Simberloff, D., Ricklefs, R.E., Aguilée, R., Condamine, F.L., Gravel, D., Morlon, H., Mouquet, N., Rosindell, J., Casquet, J., et al. (2015). Islands as model systems in ecology and evolution: prospects fifty years after MacArthur-Wilson. Ecology Letters</w:t>
      </w:r>
      <w:r>
        <w:t xml:space="preserve"> </w:t>
      </w:r>
      <w:r>
        <w:rPr>
          <w:i/>
          <w:iCs/>
        </w:rPr>
        <w:t xml:space="preserve">18</w:t>
      </w:r>
      <w:r>
        <w:t xml:space="preserve">, 200–217.</w:t>
      </w:r>
      <w:r>
        <w:t xml:space="preserve"> </w:t>
      </w:r>
      <w:hyperlink r:id="rId124">
        <w:r>
          <w:rPr>
            <w:rStyle w:val="Hyperlink"/>
          </w:rPr>
          <w:t xml:space="preserve">https://doi.org/10.1111/ele.12398</w:t>
        </w:r>
      </w:hyperlink>
      <w:r>
        <w:t xml:space="preserve">.</w:t>
      </w:r>
    </w:p>
    <w:bookmarkEnd w:id="125"/>
    <w:bookmarkStart w:id="127" w:name="ref-couvreur2011"/>
    <w:p>
      <w:pPr>
        <w:pStyle w:val="Bibliography"/>
      </w:pPr>
      <w:r>
        <w:t xml:space="preserve">48.</w:t>
      </w:r>
      <w:r>
        <w:t xml:space="preserve"> </w:t>
      </w:r>
      <w:r>
        <w:t xml:space="preserve">	</w:t>
      </w:r>
      <w:r>
        <w:t xml:space="preserve">Couvreur, T.L.P., Pirie, M.D., Chatrou, L.W., Saunders, R.M.K., Su, Y.C.F., Richardson, J.E., and Erkens, R.H.J. (2011). Early evolutionary history of the flowering plant family Annonaceae: steady diversification and boreotropical geodispersal. Journal of Biogeography</w:t>
      </w:r>
      <w:r>
        <w:t xml:space="preserve"> </w:t>
      </w:r>
      <w:r>
        <w:rPr>
          <w:i/>
          <w:iCs/>
        </w:rPr>
        <w:t xml:space="preserve">38</w:t>
      </w:r>
      <w:r>
        <w:t xml:space="preserve">, 664–680.</w:t>
      </w:r>
      <w:r>
        <w:t xml:space="preserve"> </w:t>
      </w:r>
      <w:hyperlink r:id="rId126">
        <w:r>
          <w:rPr>
            <w:rStyle w:val="Hyperlink"/>
          </w:rPr>
          <w:t xml:space="preserve">https://doi.org/10.1111/j.1365-2699.2010.02434.x</w:t>
        </w:r>
      </w:hyperlink>
      <w:r>
        <w:t xml:space="preserve">.</w:t>
      </w:r>
    </w:p>
    <w:bookmarkEnd w:id="127"/>
    <w:bookmarkStart w:id="129" w:name="ref-upchurch2024"/>
    <w:p>
      <w:pPr>
        <w:pStyle w:val="Bibliography"/>
      </w:pPr>
      <w:r>
        <w:t xml:space="preserve">49.</w:t>
      </w:r>
      <w:r>
        <w:t xml:space="preserve"> </w:t>
      </w:r>
      <w:r>
        <w:t xml:space="preserve">	</w:t>
      </w:r>
      <w:r>
        <w:t xml:space="preserve">Upchurch, P., and Chiarenza, A.A. (2024). A brief review of non-avian dinosaur biogeography: State-of-the-art and prospectus. Biology Letters</w:t>
      </w:r>
      <w:r>
        <w:t xml:space="preserve"> </w:t>
      </w:r>
      <w:r>
        <w:rPr>
          <w:i/>
          <w:iCs/>
        </w:rPr>
        <w:t xml:space="preserve">20</w:t>
      </w:r>
      <w:r>
        <w:t xml:space="preserve">, 20240429.</w:t>
      </w:r>
      <w:r>
        <w:t xml:space="preserve"> </w:t>
      </w:r>
      <w:hyperlink r:id="rId128">
        <w:r>
          <w:rPr>
            <w:rStyle w:val="Hyperlink"/>
          </w:rPr>
          <w:t xml:space="preserve">https://doi.org/10.1098/rsbl.2024.0429</w:t>
        </w:r>
      </w:hyperlink>
      <w:r>
        <w:t xml:space="preserve">.</w:t>
      </w:r>
    </w:p>
    <w:bookmarkEnd w:id="129"/>
    <w:bookmarkStart w:id="131" w:name="ref-gearty2023"/>
    <w:p>
      <w:pPr>
        <w:pStyle w:val="Bibliography"/>
      </w:pPr>
      <w:r>
        <w:t xml:space="preserve">50.</w:t>
      </w:r>
      <w:r>
        <w:t xml:space="preserve"> </w:t>
      </w:r>
      <w:r>
        <w:t xml:space="preserve">	</w:t>
      </w:r>
      <w:r>
        <w:t xml:space="preserve">Gearty, W. (2023).</w:t>
      </w:r>
      <w:r>
        <w:t xml:space="preserve"> </w:t>
      </w:r>
      <w:hyperlink r:id="rId130">
        <w:r>
          <w:rPr>
            <w:rStyle w:val="Hyperlink"/>
          </w:rPr>
          <w:t xml:space="preserve">Deeptime: Plotting tools for anyone working in deep time. R package version 1.0.1.</w:t>
        </w:r>
      </w:hyperlink>
    </w:p>
    <w:bookmarkEnd w:id="131"/>
    <w:bookmarkEnd w:id="132"/>
    <w:bookmarkEnd w:id="133"/>
    <w:bookmarkStart w:id="150"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137" w:name="fig-framework"/>
          <w:p>
            <w:pPr>
              <w:pStyle w:val="Compact"/>
              <w:jc w:val="center"/>
            </w:pPr>
            <w:r>
              <w:drawing>
                <wp:inline>
                  <wp:extent cx="3959999" cy="3959999"/>
                  <wp:effectExtent b="0" l="0" r="0" t="0"/>
                  <wp:docPr descr="" title="" id="135" name="Picture"/>
                  <a:graphic>
                    <a:graphicData uri="http://schemas.openxmlformats.org/drawingml/2006/picture">
                      <pic:pic>
                        <pic:nvPicPr>
                          <pic:cNvPr descr="../Figures/MS/Main/Figure_framework/Figure_framework.png" id="136" name="Picture"/>
                          <pic:cNvPicPr>
                            <a:picLocks noChangeArrowheads="1" noChangeAspect="1"/>
                          </pic:cNvPicPr>
                        </pic:nvPicPr>
                        <pic:blipFill>
                          <a:blip r:embed="rId134"/>
                          <a:stretch>
                            <a:fillRect/>
                          </a:stretch>
                        </pic:blipFill>
                        <pic:spPr bwMode="auto">
                          <a:xfrm>
                            <a:off x="0" y="0"/>
                            <a:ext cx="395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Average palaeoclimate histories within our studied landmasses. North America is displayed in coral red and South America in cyan. Spatially-averaged climate variables (Annual Temperature and Precipitation) are taken from the PALEO-PGEM palaeoclimate emulator</w:t>
            </w:r>
            <w:r>
              <w:rPr>
                <w:vertAlign w:val="superscript"/>
              </w:rPr>
              <w:t xml:space="preserve">34</w:t>
            </w:r>
            <w:r>
              <w:t xml:space="preserve">. This emulator being spatialised at a 1 x 1° resolution, numbers inside the continents represent the quantity of overlaying pixels from the climate grid within each continent. On climate plots, the time frame of the onset of significant land mammal exchange across the americas</w:t>
            </w:r>
            <w:r>
              <w:rPr>
                <w:vertAlign w:val="superscript"/>
              </w:rPr>
              <w:t xml:space="preserve">6,8</w:t>
            </w:r>
            <w:r>
              <w:t xml:space="preserve"> </w:t>
            </w:r>
            <w:r>
              <w:t xml:space="preserve">is indicated by the light purple vertical bands. Geological timescale was depicted using the deeptime R package</w:t>
            </w:r>
            <w:r>
              <w:rPr>
                <w:vertAlign w:val="superscript"/>
              </w:rPr>
              <w:t xml:space="preserve">50</w:t>
            </w:r>
            <w:r>
              <w:t xml:space="preserve">. The empirically-derived asymmetry of the transcontinental land mammal exchange is represented by the thickness of the two arrows, the thicker the arrow, the more intense the exchange.</w:t>
            </w:r>
          </w:p>
          <w:bookmarkEnd w:id="137"/>
        </w:tc>
      </w:tr>
    </w:tbl>
    <w:tbl>
      <w:tblPr>
        <w:tblStyle w:val="Table"/>
        <w:tblW w:type="pct" w:w="5000"/>
        <w:tblLayout w:type="fixed"/>
        <w:tblLook w:firstRow="0" w:lastRow="0" w:firstColumn="0" w:lastColumn="0" w:noHBand="0" w:noVBand="0" w:val="0000"/>
      </w:tblPr>
      <w:tblGrid>
        <w:gridCol w:w="7920"/>
      </w:tblGrid>
      <w:tr>
        <w:tc>
          <w:tcPr/>
          <w:bookmarkStart w:id="141" w:name="fig-propsuccess"/>
          <w:p>
            <w:pPr>
              <w:pStyle w:val="Compact"/>
              <w:jc w:val="center"/>
            </w:pPr>
            <w:r>
              <w:drawing>
                <wp:inline>
                  <wp:extent cx="3599999" cy="3779999"/>
                  <wp:effectExtent b="0" l="0" r="0" t="0"/>
                  <wp:docPr descr="" title="" id="139" name="Picture"/>
                  <a:graphic>
                    <a:graphicData uri="http://schemas.openxmlformats.org/drawingml/2006/picture">
                      <pic:pic>
                        <pic:nvPicPr>
                          <pic:cNvPr descr="../Figures/MS/Main/Figure_PropSuccess/Figure_PropSuccess.png" id="140" name="Picture"/>
                          <pic:cNvPicPr>
                            <a:picLocks noChangeArrowheads="1" noChangeAspect="1"/>
                          </pic:cNvPicPr>
                        </pic:nvPicPr>
                        <pic:blipFill>
                          <a:blip r:embed="rId138"/>
                          <a:stretch>
                            <a:fillRect/>
                          </a:stretch>
                        </pic:blipFill>
                        <pic:spPr bwMode="auto">
                          <a:xfrm>
                            <a:off x="0" y="0"/>
                            <a:ext cx="3599999" cy="377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Proportion of simulations leading to a successful exchange to the other continent, computed as the ratio, given an initial continent and a modelling scenario, between the number of simulations leading to a transcontinental exchange and the total number of simulations resulting in at least one living species at the final state. From left to right are depicted the outcome of the zero-adaptationist model (</w:t>
            </w:r>
            <m:oMath>
              <m:r>
                <m:t>M</m:t>
              </m:r>
              <m:r>
                <m:t>0</m:t>
              </m:r>
            </m:oMath>
            <w:r>
              <w:t xml:space="preserve">, species climatic niche does not change through time – climate specialists), full adaptationist model (</w:t>
            </w:r>
            <m:oMath>
              <m:r>
                <m:t>M</m:t>
              </m:r>
              <m:r>
                <m:t>1</m:t>
              </m:r>
            </m:oMath>
            <w:r>
              <w:t xml:space="preserve">, species climatic niche evolves following local changes in temperature and precipitations – climate generalists) and alternative versions of</w:t>
            </w:r>
            <w:r>
              <w:t xml:space="preserve"> </w:t>
            </w:r>
            <m:oMath>
              <m:r>
                <m:t>M</m:t>
              </m:r>
              <m:r>
                <m:t>1</m:t>
              </m:r>
            </m:oMath>
            <w:r>
              <w:t xml:space="preserve"> </w:t>
            </w:r>
            <w:r>
              <w:t xml:space="preserve">where species ecological niche is only determined by precipitation (</w:t>
            </w:r>
            <m:oMath>
              <m:r>
                <m:t>M</m:t>
              </m:r>
              <m:r>
                <m:t>2</m:t>
              </m:r>
            </m:oMath>
            <w:r>
              <w:t xml:space="preserve">) or temperature (</w:t>
            </w:r>
            <m:oMath>
              <m:r>
                <m:t>M</m:t>
              </m:r>
              <m:r>
                <m:t>3</m:t>
              </m:r>
            </m:oMath>
            <w:r>
              <w:t xml:space="preserve">). Each individual plot shows the outcome of simulations starting in North (red) and South (cyan) America. Dots represent mean proportion estimates and error bars show their associated Binomial-derived 95% confidence interval.</w:t>
            </w:r>
          </w:p>
          <w:bookmarkEnd w:id="141"/>
        </w:tc>
      </w:tr>
    </w:tbl>
    <w:tbl>
      <w:tblPr>
        <w:tblStyle w:val="Table"/>
        <w:tblW w:type="pct" w:w="5000"/>
        <w:tblLayout w:type="fixed"/>
        <w:tblLook w:firstRow="0" w:lastRow="0" w:firstColumn="0" w:lastColumn="0" w:noHBand="0" w:noVBand="0" w:val="0000"/>
      </w:tblPr>
      <w:tblGrid>
        <w:gridCol w:w="7920"/>
      </w:tblGrid>
      <w:tr>
        <w:tc>
          <w:tcPr/>
          <w:bookmarkStart w:id="145" w:name="fig-metrics"/>
          <w:p>
            <w:pPr>
              <w:pStyle w:val="Compact"/>
              <w:jc w:val="left"/>
            </w:pPr>
            <w:r>
              <w:drawing>
                <wp:inline>
                  <wp:extent cx="5039999" cy="4319999"/>
                  <wp:effectExtent b="0" l="0" r="0" t="0"/>
                  <wp:docPr descr="" title="" id="143" name="Picture"/>
                  <a:graphic>
                    <a:graphicData uri="http://schemas.openxmlformats.org/drawingml/2006/picture">
                      <pic:pic>
                        <pic:nvPicPr>
                          <pic:cNvPr descr="../Figures/MS/Main/Figure_metrics/Figure_metrics.png" id="144" name="Picture"/>
                          <pic:cNvPicPr>
                            <a:picLocks noChangeArrowheads="1" noChangeAspect="1"/>
                          </pic:cNvPicPr>
                        </pic:nvPicPr>
                        <pic:blipFill>
                          <a:blip r:embed="rId142"/>
                          <a:stretch>
                            <a:fillRect/>
                          </a:stretch>
                        </pic:blipFill>
                        <pic:spPr bwMode="auto">
                          <a:xfrm>
                            <a:off x="0" y="0"/>
                            <a:ext cx="5039999" cy="4319999"/>
                          </a:xfrm>
                          <a:prstGeom prst="rect">
                            <a:avLst/>
                          </a:prstGeom>
                          <a:noFill/>
                          <a:ln w="9525">
                            <a:noFill/>
                            <a:headEnd/>
                            <a:tailEnd/>
                          </a:ln>
                        </pic:spPr>
                      </pic:pic>
                    </a:graphicData>
                  </a:graphic>
                </wp:inline>
              </w:drawing>
            </w:r>
          </w:p>
          <w:p>
            <w:pPr>
              <w:jc w:val="left"/>
            </w:pPr>
            <w:pPr>
              <w:jc w:val="start"/>
              <w:spacing w:before="200"/>
              <w:pStyle w:val="ImageCaption"/>
            </w:pPr>
            <w:r>
              <w:t xml:space="preserve">Figure 3: A few metrics summarising climate-mediated interchange derived from successful simulations,</w:t>
            </w:r>
            <w:r>
              <w:t xml:space="preserve"> </w:t>
            </w:r>
            <w:r>
              <w:rPr>
                <w:i/>
                <w:iCs/>
              </w:rPr>
              <w:t xml:space="preserve">i</w:t>
            </w:r>
            <w:r>
              <w:t xml:space="preserve">.</w:t>
            </w:r>
            <w:r>
              <w:rPr>
                <w:i/>
                <w:iCs/>
              </w:rPr>
              <w:t xml:space="preserve">e</w:t>
            </w:r>
            <w:r>
              <w:t xml:space="preserve">., that resulted in a transcontinental faunal exchange. From left to right are shown the results of simulations generated under our four models (see</w:t>
            </w:r>
            <w:r>
              <w:t xml:space="preserve"> </w:t>
            </w:r>
            <w:hyperlink w:anchor="fig-propsuccess">
              <w:r>
                <w:rPr>
                  <w:rStyle w:val="Hyperlink"/>
                </w:rPr>
                <w:t xml:space="preserve">Figure 2</w:t>
              </w:r>
            </w:hyperlink>
            <w:r>
              <w:t xml:space="preserve"> </w:t>
            </w:r>
            <w:r>
              <w:t xml:space="preserve">for details).</w:t>
            </w:r>
            <w:r>
              <w:t xml:space="preserve"> </w:t>
            </w:r>
            <w:r>
              <w:rPr>
                <w:b/>
                <w:bCs/>
              </w:rPr>
              <w:t xml:space="preserve">(A)</w:t>
            </w:r>
            <w:r>
              <w:t xml:space="preserve"> </w:t>
            </w:r>
            <w:r>
              <w:t xml:space="preserve">Proportion of foreign continent’s colonised area, quantified as the ratio between the number of pixels recording a presence in the landmass to colonise and the total number of pixels offered by this landmass.</w:t>
            </w:r>
            <w:r>
              <w:t xml:space="preserve"> </w:t>
            </w:r>
            <w:r>
              <w:rPr>
                <w:b/>
                <w:bCs/>
              </w:rPr>
              <w:t xml:space="preserve">(B)</w:t>
            </w:r>
            <w:r>
              <w:t xml:space="preserve"> </w:t>
            </w:r>
            <w:r>
              <w:t xml:space="preserve">Colonised</w:t>
            </w:r>
            <w:r>
              <w:t xml:space="preserve"> </w:t>
            </w:r>
            <m:oMath>
              <m:r>
                <m:t>α</m:t>
              </m:r>
            </m:oMath>
            <w:r>
              <w:t xml:space="preserve">-diversity, expressed as the natural logarithm of the number of lineages within the colonised area.</w:t>
            </w:r>
            <w:r>
              <w:t xml:space="preserve"> </w:t>
            </w:r>
            <w:r>
              <w:rPr>
                <w:b/>
                <w:bCs/>
              </w:rPr>
              <w:t xml:space="preserve">(C)</w:t>
            </w:r>
            <w:r>
              <w:t xml:space="preserve"> </w:t>
            </w:r>
            <w:r>
              <w:t xml:space="preserve">Distances between the location where ancestral species originated and the isthmus of Panama, only for successful simulations –</w:t>
            </w:r>
            <w:r>
              <w:t xml:space="preserve"> </w:t>
            </w:r>
            <w:r>
              <w:rPr>
                <w:i/>
                <w:iCs/>
              </w:rPr>
              <w:t xml:space="preserve">i</w:t>
            </w:r>
            <w:r>
              <w:t xml:space="preserve">.</w:t>
            </w:r>
            <w:r>
              <w:rPr>
                <w:i/>
                <w:iCs/>
              </w:rPr>
              <w:t xml:space="preserve">e</w:t>
            </w:r>
            <w:r>
              <w:t xml:space="preserve">., successfully reaching the continent where it did not originate. Mean estimates and their associated Student-derived 95% confidence interval are displayed over their distribution.</w:t>
            </w:r>
          </w:p>
          <w:bookmarkEnd w:id="145"/>
        </w:tc>
      </w:tr>
    </w:tbl>
    <w:tbl>
      <w:tblPr>
        <w:tblStyle w:val="Table"/>
        <w:tblW w:type="pct" w:w="5000"/>
        <w:tblLayout w:type="fixed"/>
        <w:tblLook w:firstRow="0" w:lastRow="0" w:firstColumn="0" w:lastColumn="0" w:noHBand="0" w:noVBand="0" w:val="0000"/>
      </w:tblPr>
      <w:tblGrid>
        <w:gridCol w:w="7920"/>
      </w:tblGrid>
      <w:tr>
        <w:tc>
          <w:tcPr/>
          <w:bookmarkStart w:id="149" w:name="fig-biome"/>
          <w:p>
            <w:pPr>
              <w:pStyle w:val="Compact"/>
              <w:jc w:val="center"/>
            </w:pPr>
            <w:r>
              <w:drawing>
                <wp:inline>
                  <wp:extent cx="5399999" cy="5399999"/>
                  <wp:effectExtent b="0" l="0" r="0" t="0"/>
                  <wp:docPr descr="" title="" id="147" name="Picture"/>
                  <a:graphic>
                    <a:graphicData uri="http://schemas.openxmlformats.org/drawingml/2006/picture">
                      <pic:pic>
                        <pic:nvPicPr>
                          <pic:cNvPr descr="../Figures/MS/Main/Figure_biomes/Figure_biomes.png" id="148" name="Picture"/>
                          <pic:cNvPicPr>
                            <a:picLocks noChangeArrowheads="1" noChangeAspect="1"/>
                          </pic:cNvPicPr>
                        </pic:nvPicPr>
                        <pic:blipFill>
                          <a:blip r:embed="rId146"/>
                          <a:stretch>
                            <a:fillRect/>
                          </a:stretch>
                        </pic:blipFill>
                        <pic:spPr bwMode="auto">
                          <a:xfrm>
                            <a:off x="0" y="0"/>
                            <a:ext cx="539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Initial biome where each ancestral species leading to successful simulations is recorded at the time of the onset of the simulations (5 Ma).</w:t>
            </w:r>
            <w:r>
              <w:t xml:space="preserve"> </w:t>
            </w:r>
            <w:r>
              <w:rPr>
                <w:b/>
                <w:bCs/>
              </w:rPr>
              <w:t xml:space="preserve">(A)</w:t>
            </w:r>
            <w:r>
              <w:t xml:space="preserve"> </w:t>
            </w:r>
            <w:r>
              <w:t xml:space="preserve">Global main climate zones based on Köppen-Geiger biome classification at</w:t>
            </w:r>
            <w:r>
              <w:t xml:space="preserve"> </w:t>
            </w:r>
            <m:oMath>
              <m:r>
                <m:t>t</m:t>
              </m:r>
              <m:r>
                <m:rPr>
                  <m:sty m:val="p"/>
                </m:rPr>
                <m:t>=</m:t>
              </m:r>
              <m:r>
                <m:t>5</m:t>
              </m:r>
            </m:oMath>
            <w:r>
              <w:t xml:space="preserve"> </w:t>
            </w:r>
            <w:r>
              <w:t xml:space="preserve">Ma.</w:t>
            </w:r>
            <w:r>
              <w:t xml:space="preserve"> </w:t>
            </w:r>
            <w:r>
              <w:rPr>
                <w:b/>
                <w:bCs/>
              </w:rPr>
              <w:t xml:space="preserve">(B)</w:t>
            </w:r>
            <w:r>
              <w:t xml:space="preserve"> </w:t>
            </w:r>
            <w:r>
              <w:t xml:space="preserve">Biome where the ancestral species of each of the 500 simulations originated, for each continent and each scenario. We removed simulations starting from a cell that could not be assigned a biome from our counts, hence the reason why some are not exactly summing to 500.</w:t>
            </w:r>
            <w:r>
              <w:t xml:space="preserve"> </w:t>
            </w:r>
            <w:r>
              <w:rPr>
                <w:b/>
                <w:bCs/>
              </w:rPr>
              <w:t xml:space="preserve">(C)</w:t>
            </w:r>
            <w:r>
              <w:t xml:space="preserve"> </w:t>
            </w:r>
            <w:r>
              <w:t xml:space="preserve">Proportion of successful simulations based on the biome where ancestral species originates, for each modelled scenario-ancestral continent combination. This proportion is expressed as the ratio between the number of successful simulations and the total number of simulations starting from a given biome. Coloured dots and error bars respectively show proportion estimates and their associated Binomial-derived 95% confidence intervals.</w:t>
            </w:r>
          </w:p>
          <w:bookmarkEnd w:id="149"/>
        </w:tc>
      </w:tr>
    </w:tbl>
    <w:bookmarkEnd w:id="15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146" Target="media/rId146.png" /><Relationship Type="http://schemas.openxmlformats.org/officeDocument/2006/relationships/image" Id="rId134" Target="media/rId134.png" /><Relationship Type="http://schemas.openxmlformats.org/officeDocument/2006/relationships/image" Id="rId142" Target="media/rId142.png" /><Relationship Type="http://schemas.openxmlformats.org/officeDocument/2006/relationships/hyperlink" Id="rId38" Target="http://repository.si.edu/xmlui/handle/10088/35473" TargetMode="External" /><Relationship Type="http://schemas.openxmlformats.org/officeDocument/2006/relationships/hyperlink" Id="rId130"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2"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114"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8"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4"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6" Target="https://doi.org/10.1111/j.1365-2699.2010.02434.x" TargetMode="External" /><Relationship Type="http://schemas.openxmlformats.org/officeDocument/2006/relationships/hyperlink" Id="rId120"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8"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112" Target="https://doi.org/10.1590/S1984-4689.v42.e24051"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38" Target="http://repository.si.edu/xmlui/handle/10088/35473" TargetMode="External" /><Relationship Type="http://schemas.openxmlformats.org/officeDocument/2006/relationships/hyperlink" Id="rId130" Target="https://CRAN.R-project.org/package=deeptime" TargetMode="External" /><Relationship Type="http://schemas.openxmlformats.org/officeDocument/2006/relationships/hyperlink" Id="rId44" Target="https://doi.org/10.1007/s10914-010-9144-8" TargetMode="External" /><Relationship Type="http://schemas.openxmlformats.org/officeDocument/2006/relationships/hyperlink" Id="rId72" Target="https://doi.org/10.1007/s10914-011-9175-9" TargetMode="External" /><Relationship Type="http://schemas.openxmlformats.org/officeDocument/2006/relationships/hyperlink" Id="rId122" Target="https://doi.org/10.1016/j.earscirev.2021.103617" TargetMode="External" /><Relationship Type="http://schemas.openxmlformats.org/officeDocument/2006/relationships/hyperlink" Id="rId42" Target="https://doi.org/10.1016/j.geobios.2006.09.005" TargetMode="External" /><Relationship Type="http://schemas.openxmlformats.org/officeDocument/2006/relationships/hyperlink" Id="rId116" Target="https://doi.org/10.1016/j.gloplacha.2022.103758" TargetMode="External" /><Relationship Type="http://schemas.openxmlformats.org/officeDocument/2006/relationships/hyperlink" Id="rId114" Target="https://doi.org/10.1016/j.palaeo.2025.112905" TargetMode="External" /><Relationship Type="http://schemas.openxmlformats.org/officeDocument/2006/relationships/hyperlink" Id="rId52" Target="https://doi.org/10.1017/S0094837300010605" TargetMode="External" /><Relationship Type="http://schemas.openxmlformats.org/officeDocument/2006/relationships/hyperlink" Id="rId92" Target="https://doi.org/10.1038/s41559-023-02220-8" TargetMode="External" /><Relationship Type="http://schemas.openxmlformats.org/officeDocument/2006/relationships/hyperlink" Id="rId108" Target="https://doi.org/10.1038/s41561-018-0236-z" TargetMode="External" /><Relationship Type="http://schemas.openxmlformats.org/officeDocument/2006/relationships/hyperlink" Id="rId63" Target="https://doi.org/10.1038/s41598-020-58575-6" TargetMode="External" /><Relationship Type="http://schemas.openxmlformats.org/officeDocument/2006/relationships/hyperlink" Id="rId74" Target="https://doi.org/10.1038/s41598-022-05266-z" TargetMode="External" /><Relationship Type="http://schemas.openxmlformats.org/officeDocument/2006/relationships/hyperlink" Id="rId78" Target="https://doi.org/10.1038/s44185-024-00045-7" TargetMode="External" /><Relationship Type="http://schemas.openxmlformats.org/officeDocument/2006/relationships/hyperlink" Id="rId102" Target="https://doi.org/10.1038/sdata.2018.214" TargetMode="External" /><Relationship Type="http://schemas.openxmlformats.org/officeDocument/2006/relationships/hyperlink" Id="rId106" Target="https://doi.org/10.1073/pnas.0903811106" TargetMode="External" /><Relationship Type="http://schemas.openxmlformats.org/officeDocument/2006/relationships/hyperlink" Id="rId46" Target="https://doi.org/10.1073/pnas.1423853112" TargetMode="External" /><Relationship Type="http://schemas.openxmlformats.org/officeDocument/2006/relationships/hyperlink" Id="rId56" Target="https://doi.org/10.1073/pnas.2009397117" TargetMode="External" /><Relationship Type="http://schemas.openxmlformats.org/officeDocument/2006/relationships/hyperlink" Id="rId88" Target="https://doi.org/10.1073/pnas.2026347118" TargetMode="External" /><Relationship Type="http://schemas.openxmlformats.org/officeDocument/2006/relationships/hyperlink" Id="rId94" Target="https://doi.org/10.1093/sysbio/syac048" TargetMode="External" /><Relationship Type="http://schemas.openxmlformats.org/officeDocument/2006/relationships/hyperlink" Id="rId128" Target="https://doi.org/10.1098/rsbl.2024.0429" TargetMode="External" /><Relationship Type="http://schemas.openxmlformats.org/officeDocument/2006/relationships/hyperlink" Id="rId82" Target="https://doi.org/10.1111/ecog.06132" TargetMode="External" /><Relationship Type="http://schemas.openxmlformats.org/officeDocument/2006/relationships/hyperlink" Id="rId124" Target="https://doi.org/10.1111/ele.12398" TargetMode="External" /><Relationship Type="http://schemas.openxmlformats.org/officeDocument/2006/relationships/hyperlink" Id="rId66" Target="https://doi.org/10.1111/geb.12504" TargetMode="External" /><Relationship Type="http://schemas.openxmlformats.org/officeDocument/2006/relationships/hyperlink" Id="rId100" Target="https://doi.org/10.1111/geb.13683" TargetMode="External" /><Relationship Type="http://schemas.openxmlformats.org/officeDocument/2006/relationships/hyperlink" Id="rId126" Target="https://doi.org/10.1111/j.1365-2699.2010.02434.x" TargetMode="External" /><Relationship Type="http://schemas.openxmlformats.org/officeDocument/2006/relationships/hyperlink" Id="rId120" Target="https://doi.org/10.1111/jbi.14234" TargetMode="External" /><Relationship Type="http://schemas.openxmlformats.org/officeDocument/2006/relationships/hyperlink" Id="rId68" Target="https://doi.org/10.1111/pala.70012" TargetMode="External" /><Relationship Type="http://schemas.openxmlformats.org/officeDocument/2006/relationships/hyperlink" Id="rId40" Target="https://doi.org/10.1126/sciadv.1600883" TargetMode="External" /><Relationship Type="http://schemas.openxmlformats.org/officeDocument/2006/relationships/hyperlink" Id="rId80" Target="https://doi.org/10.1126/sciadv.abj2271" TargetMode="External" /><Relationship Type="http://schemas.openxmlformats.org/officeDocument/2006/relationships/hyperlink" Id="rId110" Target="https://doi.org/10.1126/science.165.3889.131" TargetMode="External" /><Relationship Type="http://schemas.openxmlformats.org/officeDocument/2006/relationships/hyperlink" Id="rId36" Target="https://doi.org/10.1126/science.aaa2815" TargetMode="External" /><Relationship Type="http://schemas.openxmlformats.org/officeDocument/2006/relationships/hyperlink" Id="rId90" Target="https://doi.org/10.1126/science.adf7122" TargetMode="External" /><Relationship Type="http://schemas.openxmlformats.org/officeDocument/2006/relationships/hyperlink" Id="rId96" Target="https://doi.org/10.1126/science.adi0833" TargetMode="External" /><Relationship Type="http://schemas.openxmlformats.org/officeDocument/2006/relationships/hyperlink" Id="rId60" Target="https://doi.org/10.1126/science.adu0704" TargetMode="External" /><Relationship Type="http://schemas.openxmlformats.org/officeDocument/2006/relationships/hyperlink" Id="rId48" Target="https://doi.org/10.1130/G37624.1" TargetMode="External" /><Relationship Type="http://schemas.openxmlformats.org/officeDocument/2006/relationships/hyperlink" Id="rId118" Target="https://doi.org/10.1130/MEM182-p417" TargetMode="External" /><Relationship Type="http://schemas.openxmlformats.org/officeDocument/2006/relationships/hyperlink" Id="rId58" Target="https://doi.org/10.1146/annurev-earth-072619-060126" TargetMode="External" /><Relationship Type="http://schemas.openxmlformats.org/officeDocument/2006/relationships/hyperlink" Id="rId84" Target="https://doi.org/10.1371/journal.pbio.3001340" TargetMode="External" /><Relationship Type="http://schemas.openxmlformats.org/officeDocument/2006/relationships/hyperlink" Id="rId86" Target="https://doi.org/10.1371/journal.pone.0332766" TargetMode="External" /><Relationship Type="http://schemas.openxmlformats.org/officeDocument/2006/relationships/hyperlink" Id="rId112" Target="https://doi.org/10.1590/S1984-4689.v42.e24051" TargetMode="External" /><Relationship Type="http://schemas.openxmlformats.org/officeDocument/2006/relationships/hyperlink" Id="rId70" Target="https://doi.org/10.2307/1381862" TargetMode="External" /><Relationship Type="http://schemas.openxmlformats.org/officeDocument/2006/relationships/hyperlink" Id="rId76" Target="https://doi.org/10.3390/d17030153" TargetMode="External" /><Relationship Type="http://schemas.openxmlformats.org/officeDocument/2006/relationships/hyperlink" Id="rId98" Target="https://doi.org/10.5194/gmd-12-5137-2019" TargetMode="External" /><Relationship Type="http://schemas.openxmlformats.org/officeDocument/2006/relationships/hyperlink" Id="rId104" Target="https://eartharxiv.org/repository/view/6269/" TargetMode="External" /><Relationship Type="http://schemas.openxmlformats.org/officeDocument/2006/relationships/hyperlink" Id="rId54" Target="https://link.springer.com/10.1007/978-94-017-9792-4" TargetMode="External" /><Relationship Type="http://schemas.openxmlformats.org/officeDocument/2006/relationships/hyperlink" Id="rId34" Target="https://www.jstor.org/stable/1688046" TargetMode="External" /><Relationship Type="http://schemas.openxmlformats.org/officeDocument/2006/relationships/hyperlink" Id="rId50"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2025-10-23T12:46:25Z</dcterms:created>
  <dcterms:modified xsi:type="dcterms:W3CDTF">2025-10-23T12:46:25Z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current-biology.csl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