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55.png" ContentType="image/png"/>
  <Override PartName="/word/media/rId143.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on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closure of the isthmus of Panama</w:t>
      </w:r>
      <w:r>
        <w:rPr>
          <w:vertAlign w:val="superscript"/>
        </w:rPr>
        <w:t xml:space="preserve">1</w:t>
      </w:r>
      <w:r>
        <w:t xml:space="preserve">. Though the exact timing of the appearance of such a landbridge is not entirely resolved</w:t>
      </w:r>
      <w:r>
        <w:rPr>
          <w:vertAlign w:val="superscript"/>
        </w:rPr>
        <w:t xml:space="preserve">2–4</w:t>
      </w:r>
      <w:r>
        <w:t xml:space="preserve">, palaeontological evidence and molecular phylogenies both agree with a late Miocene onset of land mammal exchange between the Americas</w:t>
      </w:r>
      <w:r>
        <w:rPr>
          <w:vertAlign w:val="superscript"/>
        </w:rPr>
        <w:t xml:space="preserve">5–7</w:t>
      </w:r>
      <w:r>
        <w:t xml:space="preserve">, with effective pulses of mammal crossings occurring not earlier than</w:t>
      </w:r>
      <w:r>
        <w:t xml:space="preserve"> </w:t>
      </w:r>
      <w:r>
        <w:rPr>
          <w:i/>
          <w:iCs/>
        </w:rPr>
        <w:t xml:space="preserve">c.</w:t>
      </w:r>
      <w:r>
        <w:t xml:space="preserve"> </w:t>
      </w:r>
      <w:r>
        <w:t xml:space="preserve">3 Million years ago</w:t>
      </w:r>
      <w:r>
        <w:rPr>
          <w:vertAlign w:val="superscript"/>
        </w:rPr>
        <w:t xml:space="preserve">1,8–10</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1,8,11</w:t>
      </w:r>
      <w:r>
        <w:t xml:space="preserve">. However, during the Quaternary, the ability of migrant lineages to maintain and diversify in the foreign continent became greater in South America</w:t>
      </w:r>
      <w:r>
        <w:rPr>
          <w:vertAlign w:val="superscript"/>
        </w:rPr>
        <w:t xml:space="preserve">8</w:t>
      </w:r>
      <w:r>
        <w:t xml:space="preserve">, and many native South American mammal lineages concomitantly declined, some of which even going totally extinct</w:t>
      </w:r>
      <w:r>
        <w:rPr>
          <w:vertAlign w:val="superscript"/>
        </w:rPr>
        <w:t xml:space="preserve">12–16</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11,17,18</w:t>
      </w:r>
      <w:r>
        <w:t xml:space="preserve"> </w:t>
      </w:r>
      <w:r>
        <w:t xml:space="preserve">or predation of predator-naive preys</w:t>
      </w:r>
      <w:r>
        <w:rPr>
          <w:vertAlign w:val="superscript"/>
        </w:rPr>
        <w:t xml:space="preserve">11,19–21</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22,23–25</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10,12,19,22,26</w:t>
      </w:r>
      <w:r>
        <w:t xml:space="preserve">. The prevailing view, proposed by Webb.</w:t>
      </w:r>
      <w:r>
        <w:rPr>
          <w:vertAlign w:val="superscript"/>
        </w:rPr>
        <w:t xml:space="preserve">12</w:t>
      </w:r>
      <w:r>
        <w:t xml:space="preserve"> </w:t>
      </w:r>
      <w:r>
        <w:t xml:space="preserve">and Vrba.</w:t>
      </w:r>
      <w:r>
        <w:rPr>
          <w:vertAlign w:val="superscript"/>
        </w:rPr>
        <w:t xml:space="preserve">22</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(tropical</w:t>
      </w:r>
      <w:r>
        <w:t xml:space="preserve"> </w:t>
      </w:r>
      <w:r>
        <w:t xml:space="preserve">‘</w:t>
      </w:r>
      <w:r>
        <w:t xml:space="preserve">holding pen</w:t>
      </w:r>
      <w:r>
        <w:t xml:space="preserve">’</w:t>
      </w:r>
      <w:r>
        <w:t xml:space="preserve"> </w:t>
      </w:r>
      <w:r>
        <w:t xml:space="preserve">hypothesis)</w:t>
      </w:r>
      <w:r>
        <w:rPr>
          <w:vertAlign w:val="superscript"/>
        </w:rPr>
        <w:t xml:space="preserve">8</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27</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28</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29,30</w:t>
      </w:r>
      <w:r>
        <w:t xml:space="preserve">, the diversity desequilibrium between tropical rainforests across the globe</w:t>
      </w:r>
      <w:r>
        <w:rPr>
          <w:vertAlign w:val="superscript"/>
        </w:rPr>
        <w:t xml:space="preserve">31</w:t>
      </w:r>
      <w:r>
        <w:t xml:space="preserve">, the build-up of the unique biodiversity along the Wallace line</w:t>
      </w:r>
      <w:r>
        <w:rPr>
          <w:vertAlign w:val="superscript"/>
        </w:rPr>
        <w:t xml:space="preserve">32</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33,34,35</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29</w:t>
      </w:r>
      <w:r>
        <w:t xml:space="preserve">, a mechanistic eco-evolutionary simulator, incorporating palaeoclimatic layers (annual temperature and precipitation) covering the last 5 million years generated by the PALEO-PGEM emulator</w:t>
      </w:r>
      <w:r>
        <w:rPr>
          <w:vertAlign w:val="superscript"/>
        </w:rPr>
        <w:t xml:space="preserve">36,37</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w:t>
      </w:r>
      <w:r>
        <w:t xml:space="preserve"> </w:t>
      </w:r>
      <m:oMath>
        <m:r>
          <m:t>α</m:t>
        </m:r>
      </m:oMath>
      <w:r>
        <w:t xml:space="preserve">-diversity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w:t>
      </w:r>
      <w:r>
        <w:t xml:space="preserve"> </w:t>
      </w:r>
      <m:oMath>
        <m:r>
          <m:t>α</m:t>
        </m:r>
      </m:oMath>
      <w:r>
        <w:t xml:space="preserve">-diversity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38</w:t>
      </w:r>
      <w:r>
        <w:t xml:space="preserve"> </w:t>
      </w:r>
      <w:r>
        <w:t xml:space="preserve">and Galván et al.</w:t>
      </w:r>
      <w:r>
        <w:rPr>
          <w:vertAlign w:val="superscript"/>
        </w:rPr>
        <w:t xml:space="preserve">39</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4" w:name="discussion"/>
    <w:p>
      <w:pPr>
        <w:pStyle w:val="Heading1"/>
      </w:pPr>
      <w:r>
        <w:t xml:space="preserve">Discussion</w:t>
      </w:r>
    </w:p>
    <w:bookmarkStart w:id="27" w:name="X9d8a47ba2ef3e670bafc0a159f2f50a714a16c0"/>
    <w:p>
      <w:pPr>
        <w:pStyle w:val="Heading2"/>
      </w:pPr>
      <w:r>
        <w:t xml:space="preserve">The role of climate in the asymmetry of the GABI as told by computer experiments</w:t>
      </w:r>
    </w:p>
    <w:p>
      <w:pPr>
        <w:pStyle w:val="FirstParagraph"/>
      </w:pPr>
      <w:r>
        <w:t xml:space="preserve">Our results exhibit clear contrasts with the long-recognised imbalanced success of North American mammal taxa compared to South Americans in the aftermath of the GABI</w:t>
      </w:r>
      <w:r>
        <w:rPr>
          <w:vertAlign w:val="superscript"/>
        </w:rPr>
        <w:t xml:space="preserve">17</w:t>
      </w:r>
      <w:r>
        <w:t xml:space="preserve">. Can the apparent mismatch between simulated and empirical patterns be interpreted through the lens of macroecological processes? Are we completely going at odds with what we should find, or are we opening useful boxes to better apprehend the complexity of this unique biodiversity pattern, half a century after its first large-scale characterisation?</w:t>
      </w:r>
    </w:p>
    <w:p>
      <w:pPr>
        <w:pStyle w:val="BodyText"/>
      </w:pPr>
      <w:r>
        <w:t xml:space="preserve">Probably one of our most striking findings is that, under abiotic constraints alone, the likelihood of southwards dispersal events (</w:t>
      </w:r>
      <w:r>
        <w:rPr>
          <w:i/>
          <w:iCs/>
        </w:rPr>
        <w:t xml:space="preserve">i</w:t>
      </w:r>
      <w:r>
        <w:t xml:space="preserve">.</w:t>
      </w:r>
      <w:r>
        <w:rPr>
          <w:i/>
          <w:iCs/>
        </w:rPr>
        <w:t xml:space="preserve">e</w:t>
      </w:r>
      <w:r>
        <w:t xml:space="preserve">., from North to South America) is lower than that of northwards events (</w:t>
      </w:r>
      <w:hyperlink w:anchor="fig-propsuccess">
        <w:r>
          <w:rPr>
            <w:rStyle w:val="Hyperlink"/>
          </w:rPr>
          <w:t xml:space="preserve">Figure 2</w:t>
        </w:r>
      </w:hyperlink>
      <w:r>
        <w:t xml:space="preserve">). Although this result goes in contradiction with the actual number of realised land mammal exchanges estimated from the fossil record</w:t>
      </w:r>
      <w:r>
        <w:rPr>
          <w:vertAlign w:val="superscript"/>
        </w:rPr>
        <w:t xml:space="preserve">1</w:t>
      </w:r>
      <w:r>
        <w:t xml:space="preserve">, it actually echoes with what occurred in other groups of vertebrates. For instance, tropical North American ichtyofauna has long been recognised as mainly composed of groups that originated in South American and further dispersed to the north, although most likely multiple dispersal events occurred, some of which predating the closure of the isthmus</w:t>
      </w:r>
      <w:r>
        <w:rPr>
          <w:vertAlign w:val="superscript"/>
        </w:rPr>
        <w:t xml:space="preserve">40</w:t>
      </w:r>
      <w:r>
        <w:t xml:space="preserve">. In addition, phylogenetic evidence suggest symmetrical avifaunal exchanges between the Americas since the closure of the panamannian seaway, with higher prevalence of northwards dispersal events around the Plio-Pleistocene boundary</w:t>
      </w:r>
      <w:r>
        <w:rPr>
          <w:vertAlign w:val="superscript"/>
        </w:rPr>
        <w:t xml:space="preserve">41,42</w:t>
      </w:r>
      <w:r>
        <w:t xml:space="preserve">.</w:t>
      </w:r>
    </w:p>
    <w:p>
      <w:pPr>
        <w:pStyle w:val="BodyText"/>
      </w:pPr>
      <w:r>
        <w:t xml:space="preserve">As we just mentioned, empirical quantification revealed that, all across the GABI, the overall number of land mammal lineages effectively crossing the isthmus southwards has been higher than northwards</w:t>
      </w:r>
      <w:r>
        <w:rPr>
          <w:vertAlign w:val="superscript"/>
        </w:rPr>
        <w:t xml:space="preserve">1</w:t>
      </w:r>
      <w:r>
        <w:t xml:space="preserve">. This migration imbalance has been primarily interpreted as a direct consequence of MacArthur &amp; Wilson’s equilibrium theory– extrapolated to continents</w:t>
      </w:r>
      <w:r>
        <w:rPr>
          <w:vertAlign w:val="superscript"/>
        </w:rPr>
        <w:t xml:space="preserve">43</w:t>
      </w:r>
      <w:r>
        <w:t xml:space="preserve">. This theory establishes that, on evolutionary timescales, diversity within a given area should tend towards an equilibrium value proportional to the size of this area. It therefore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In that framework, Marshall et al.</w:t>
      </w:r>
      <w:r>
        <w:rPr>
          <w:vertAlign w:val="superscript"/>
        </w:rPr>
        <w:t xml:space="preserve">1</w:t>
      </w:r>
      <w:r>
        <w:t xml:space="preserve"> </w:t>
      </w:r>
      <w:r>
        <w:t xml:space="preserve">established that the continent offering the larger pool of taxa – which, according to this prediction, would happen to be North America – would in turn have resulted in the larger number of species exchanged in the end. However, this conclusion only holds under the assumption that the probability for a given taxon to cross the Panamanian landbridge was independent from the side of the isthmus where it came from. Yet, our simulations revealed that the likelihood of southwards dispersal events significantly differed from that of northwards dispersal events (</w:t>
      </w:r>
      <w:hyperlink w:anchor="fig-propsuccess">
        <w:r>
          <w:rPr>
            <w:rStyle w:val="Hyperlink"/>
          </w:rPr>
          <w:t xml:space="preserve">Figure 2</w:t>
        </w:r>
      </w:hyperlink>
      <w:r>
        <w:t xml:space="preserve">). Hence, should species distribution primarily be mediated by climate, our results would not support the view of the asymmetry of the GABI under the prism of MacArthur &amp; Wilson’s equilibrium theory. It might also be noticed that this theory fails at explaining the actual imbalance in extant mammal species-level diversity between the Americas, being way larger in South than in North America</w:t>
      </w:r>
      <w:r>
        <w:rPr>
          <w:vertAlign w:val="superscript"/>
        </w:rPr>
        <w:t xml:space="preserve">44,45</w:t>
      </w:r>
      <w:r>
        <w:t xml:space="preserve"> </w:t>
      </w:r>
      <w:r>
        <w:t xml:space="preserve">– though such a difference is maybe less marked for higher taxonomic levels. Species pool imbalance between the two source areas has yet been identified as a key driver in the asymmetry of the faunal exchange that contributed to the build-up of the unique biodiversity along the Wallace line</w:t>
      </w:r>
      <w:r>
        <w:rPr>
          <w:vertAlign w:val="superscript"/>
        </w:rPr>
        <w:t xml:space="preserve">32</w:t>
      </w:r>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22</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46</w:t>
      </w:r>
      <w:r>
        <w:t xml:space="preserve"> </w:t>
      </w:r>
      <w:r>
        <w:t xml:space="preserve">a few decades earlier. The latter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46</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C, model</w:t>
      </w:r>
      <w:r>
        <w:t xml:space="preserve"> </w:t>
      </w:r>
      <m:oMath>
        <m:r>
          <m:t>M</m:t>
        </m:r>
        <m:r>
          <m:t>0</m:t>
        </m:r>
      </m:oMath>
      <w:r>
        <w:t xml:space="preserve">).</w:t>
      </w:r>
    </w:p>
    <w:p>
      <w:pPr>
        <w:pStyle w:val="BodyText"/>
      </w:pPr>
      <w:r>
        <w:t xml:space="preserve">Our results highlight that successful simulations, either starting from North or South America, exhibit a strong tropical niche conservatism.</w:t>
      </w:r>
    </w:p>
    <w:p>
      <w:pPr>
        <w:pStyle w:val="BodyText"/>
      </w:pPr>
      <w:r>
        <w:t xml:space="preserve">Southwards dispersals generated under</w:t>
      </w:r>
      <w:r>
        <w:t xml:space="preserve"> </w:t>
      </w:r>
      <m:oMath>
        <m:r>
          <m:t>M</m:t>
        </m:r>
        <m:r>
          <m:t>0</m:t>
        </m:r>
      </m:oMath>
      <w:r>
        <w:t xml:space="preserve"> </w:t>
      </w:r>
      <w:r>
        <w:t xml:space="preserve">are less frequent but result in a greater colonising ability – larger proportion of colonised area and colonised</w:t>
      </w:r>
      <w:r>
        <w:t xml:space="preserve"> </w:t>
      </w:r>
      <m:oMath>
        <m:r>
          <m:t>α</m:t>
        </m:r>
      </m:oMath>
      <w:r>
        <w:t xml:space="preserve">-diversity – than northwards dispersals</w:t>
      </w:r>
      <w:r>
        <w:t xml:space="preserve"> </w:t>
      </w:r>
      <w:hyperlink w:anchor="fig-metrics">
        <w:r>
          <w:rPr>
            <w:rStyle w:val="Hyperlink"/>
          </w:rPr>
          <w:t xml:space="preserve">Figure 3</w:t>
        </w:r>
      </w:hyperlink>
      <w:r>
        <w:t xml:space="preserve">.</w:t>
      </w:r>
    </w:p>
    <w:p>
      <w:pPr>
        <w:pStyle w:val="BodyText"/>
      </w:pPr>
      <w:r>
        <w:t xml:space="preserve">“</w:t>
      </w:r>
      <w:r>
        <w:t xml:space="preserve">In contrast to mammals, direction of traffic across land bridge was primarily South to North</w:t>
      </w:r>
      <w:r>
        <w:t xml:space="preserve">”</w:t>
      </w:r>
      <w:r>
        <w:rPr>
          <w:vertAlign w:val="superscript"/>
        </w:rPr>
        <w:t xml:space="preserve">41</w:t>
      </w:r>
    </w:p>
    <w:p>
      <w:pPr>
        <w:pStyle w:val="BodyText"/>
      </w:pPr>
      <w:r>
        <w:t xml:space="preserve">“</w:t>
      </w:r>
      <w:r>
        <w:t xml:space="preserve">mammal record is derived almost entirely from temperate-latitude fossils and includes few fossils from tropical forests, which may bias estimates of the direction of traffic between the continents</w:t>
      </w:r>
      <w:r>
        <w:t xml:space="preserve">”</w:t>
      </w:r>
      <w:r>
        <w:rPr>
          <w:vertAlign w:val="superscript"/>
        </w:rPr>
        <w:t xml:space="preserve">41</w:t>
      </w:r>
      <w:r>
        <w:t xml:space="preserve"> </w:t>
      </w:r>
      <w:r>
        <w:t xml:space="preserve">Could the apparent abiotic selectivity that facilitated the dispersal of temperate-adapted mammals be in fact a taphonomic bias? Could the empirically-derived migration imbalance be altered by the tropical niche conservatism of south-to-north migrants?</w:t>
      </w:r>
    </w:p>
    <w:p>
      <w:pPr>
        <w:pStyle w:val="BodyText"/>
      </w:pPr>
      <w:r>
        <w:t xml:space="preserve">“</w:t>
      </w:r>
      <w:r>
        <w:t xml:space="preserve">Again, the predominant direction of dispersal was from south to north.</w:t>
      </w:r>
      <w:r>
        <w:t xml:space="preserve">”</w:t>
      </w:r>
      <w:r>
        <w:t xml:space="preserve"> </w:t>
      </w:r>
      <w:r>
        <w:t xml:space="preserve">(Lomolino et al. 2006 =&gt; find this ref)</w:t>
      </w:r>
    </w:p>
    <w:p>
      <w:pPr>
        <w:pStyle w:val="BodyText"/>
      </w:pPr>
      <w:r>
        <w:t xml:space="preserve">Asymmetry of success postulated as a contributor to the LBG</w:t>
      </w:r>
    </w:p>
    <w:p>
      <w:pPr>
        <w:pStyle w:val="BodyText"/>
      </w:pPr>
      <w:r>
        <w:t xml:space="preserve">Success in South America for temperate-adapted species, posited as the most successful , not recovered, with tropical meeting the highest success.</w:t>
      </w:r>
      <w:r>
        <w:t xml:space="preserve"> </w:t>
      </w:r>
      <w:r>
        <w:t xml:space="preserve">“</w:t>
      </w:r>
      <w:r>
        <w:t xml:space="preserve">major overland dispersal of terrestrial mammalian taxa apparently did not take place until the climate was conducive to support the temperate-adapted taxa that experienced the changes in their respective home ranges</w:t>
      </w:r>
      <w:r>
        <w:t xml:space="preserve">”</w:t>
      </w:r>
      <w:r>
        <w:rPr>
          <w:vertAlign w:val="superscript"/>
        </w:rPr>
        <w:t xml:space="preserve">8</w:t>
      </w:r>
    </w:p>
    <w:p>
      <w:pPr>
        <w:pStyle w:val="BodyText"/>
      </w:pPr>
      <w:r>
        <w:t xml:space="preserve">Biome pattern (Figure S6) directly reflects the diffential amount of surface that each biome represents in the two continents.</w:t>
      </w:r>
    </w:p>
    <w:p>
      <w:pPr>
        <w:pStyle w:val="BodyText"/>
      </w:pPr>
      <w:r>
        <w:t xml:space="preserve">Precipitation niche</w:t>
      </w:r>
      <w:r>
        <w:rPr>
          <w:vertAlign w:val="superscript"/>
        </w:rPr>
        <w:t xml:space="preserve">32</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p>
      <w:pPr>
        <w:pStyle w:val="BodyText"/>
      </w:pPr>
      <w:r>
        <w:t xml:space="preserve">Effect of climate change to keep in mind for megafaunal extinctions</w:t>
      </w:r>
      <w:r>
        <w:rPr>
          <w:vertAlign w:val="superscript"/>
        </w:rPr>
        <w:t xml:space="preserve">47</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7"/>
    <w:bookmarkStart w:id="30" w:name="Xe18ddb4cdbaf0554026f0f34503804c8b07c344"/>
    <w:p>
      <w:pPr>
        <w:pStyle w:val="Heading2"/>
      </w:pPr>
      <w:r>
        <w:t xml:space="preserve">Implications : what may have driven the asymmetry of the GABI?</w:t>
      </w:r>
    </w:p>
    <w:bookmarkStart w:id="28" w:name="biotic"/>
    <w:p>
      <w:pPr>
        <w:pStyle w:val="Heading3"/>
      </w:pPr>
      <w:r>
        <w:t xml:space="preserve">Biotic</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15</w:t>
      </w:r>
      <w:r>
        <w:t xml:space="preserve"> </w:t>
      </w:r>
      <w:r>
        <w:t xml:space="preserve">or sparassodonts – metatherian predators</w:t>
      </w:r>
      <w:r>
        <w:rPr>
          <w:vertAlign w:val="superscript"/>
        </w:rPr>
        <w:t xml:space="preserve">48</w:t>
      </w:r>
      <w:r>
        <w:t xml:space="preserve"> </w:t>
      </w:r>
      <w:r>
        <w:t xml:space="preserve">– that followed the establishment of northern lineages</w:t>
      </w:r>
      <w:r>
        <w:rPr>
          <w:vertAlign w:val="superscript"/>
        </w:rPr>
        <w:t xml:space="preserve">17</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18</w:t>
      </w:r>
      <w:r>
        <w:t xml:space="preserve">. Moreover, using phylogenetic regressions, Faurby et al.</w:t>
      </w:r>
      <w:r>
        <w:rPr>
          <w:vertAlign w:val="superscript"/>
        </w:rPr>
        <w:t xml:space="preserve">20</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23,24</w:t>
      </w:r>
      <w:r>
        <w:t xml:space="preserve">. Incorporating biotic compounds in mechanistic frameworks such as the one we have implemented here would be a nice way-to-go for future studies tackling the asymmetry behind the GABI.</w:t>
      </w:r>
    </w:p>
    <w:p>
      <w:pPr>
        <w:pStyle w:val="BodyText"/>
      </w:pPr>
      <w:r>
        <w:t xml:space="preserve">Faunistic uniqueness (ccl Tilson Smith et al. 2012 + discu Gilles)</w:t>
      </w:r>
    </w:p>
    <w:bookmarkEnd w:id="28"/>
    <w:bookmarkStart w:id="29" w:name="geography-and-randomness"/>
    <w:p>
      <w:pPr>
        <w:pStyle w:val="Heading3"/>
      </w:pPr>
      <w:r>
        <w:t xml:space="preserve">Geography and randomness</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49</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r>
        <w:t xml:space="preserve">,</w:t>
      </w:r>
    </w:p>
    <w:p>
      <w:pPr>
        <w:pStyle w:val="BodyText"/>
      </w:pPr>
      <w:r>
        <w:t xml:space="preserve">“</w:t>
      </w:r>
      <w:r>
        <w:t xml:space="preserve">Too far to be exchanged</w:t>
      </w:r>
      <w:r>
        <w:t xml:space="preserve">”</w:t>
      </w:r>
      <w:r>
        <w:t xml:space="preserve">: example of caprins raised by</w:t>
      </w:r>
      <w:r>
        <w:rPr>
          <w:vertAlign w:val="superscript"/>
        </w:rPr>
        <w:t xml:space="preserve">12</w:t>
      </w:r>
    </w:p>
    <w:p>
      <w:pPr>
        <w:pStyle w:val="BodyText"/>
      </w:pPr>
      <w:r>
        <w:t xml:space="preserve">Fortuitous experiment and neutral/random effect?</w:t>
      </w:r>
    </w:p>
    <w:bookmarkEnd w:id="29"/>
    <w:bookmarkEnd w:id="30"/>
    <w:bookmarkStart w:id="33" w:name="limitations-and-perspectives"/>
    <w:p>
      <w:pPr>
        <w:pStyle w:val="Heading2"/>
      </w:pPr>
      <w:r>
        <w:t xml:space="preserve">Limitations and perspectives</w:t>
      </w:r>
    </w:p>
    <w:bookmarkStart w:id="31" w:name="taxonomic-extinction-issue"/>
    <w:p>
      <w:pPr>
        <w:pStyle w:val="Heading3"/>
      </w:pPr>
      <w:r>
        <w:t xml:space="preserve">Taxonomic extinction issue</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b/>
          <w:bCs/>
          <w:vertAlign w:val="superscript"/>
        </w:rPr>
        <w:t xml:space="preserve">marshall1992?</w:t>
      </w:r>
      <w:r>
        <w:t xml:space="preserve"> </w:t>
      </w:r>
      <w:r>
        <w:t xml:space="preserve">indeed highlighted that northern immigrant genera experienced notoriously higher origination and lower extinction rates than native lineages in South America. They also quantified . More recently, using a probabilitic framework accounting for preservation heterogeneities to infer fossil-based macroevolutionary trends, Carrillo</w:t>
      </w:r>
      <w:r>
        <w:rPr>
          <w:vertAlign w:val="superscript"/>
        </w:rPr>
        <w:t xml:space="preserve">14</w:t>
      </w:r>
      <w:r>
        <w:t xml:space="preserve"> </w:t>
      </w:r>
      <w:r>
        <w:t xml:space="preserve">showed that the asymmetry of the GABI was not due to differences in origination or dispersal rates, but rather in extinction rates, with native South American lineages experiencing more extinction in their home range than migrant lineages. Unfortunately, our simulation framework did not allow us to test for this, as extinction issue (ref?)</w:t>
      </w:r>
    </w:p>
    <w:bookmarkEnd w:id="31"/>
    <w:bookmarkStart w:id="32" w:name="alternative-interchange-pathways"/>
    <w:p>
      <w:pPr>
        <w:pStyle w:val="Heading3"/>
      </w:pPr>
      <w:r>
        <w:t xml:space="preserve">Alternative interchange pathways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50,51</w:t>
      </w:r>
      <w:r>
        <w:t xml:space="preserve">. Although over-water dispersal has long been regarded as the prevailing mechanism</w:t>
      </w:r>
      <w:r>
        <w:rPr>
          <w:vertAlign w:val="superscript"/>
        </w:rPr>
        <w:t xml:space="preserve">50</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52</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53</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Unrealistic timing of colonisation?</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Propose improvements relying on equal-area landscape !</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p>
      <w:r>
        <w:br w:type="page"/>
      </w:r>
    </w:p>
    <w:bookmarkEnd w:id="32"/>
    <w:bookmarkEnd w:id="33"/>
    <w:bookmarkEnd w:id="34"/>
    <w:bookmarkStart w:id="35" w:name="acknowledgements"/>
    <w:p>
      <w:pPr>
        <w:pStyle w:val="Heading1"/>
      </w:pPr>
      <w:r>
        <w:t xml:space="preserve">Acknowledgements</w:t>
      </w:r>
    </w:p>
    <w:p>
      <w:pPr>
        <w:pStyle w:val="FirstParagraph"/>
      </w:pPr>
      <w:r>
        <w:t xml:space="preserve">We thank Céline Devaux for her useful comments on the present work.</w:t>
      </w:r>
    </w:p>
    <w:p>
      <w:r>
        <w:br w:type="page"/>
      </w:r>
    </w:p>
    <w:bookmarkEnd w:id="35"/>
    <w:bookmarkStart w:id="142" w:name="references"/>
    <w:p>
      <w:pPr>
        <w:pStyle w:val="Heading1"/>
      </w:pPr>
      <w:r>
        <w:t xml:space="preserve">References</w:t>
      </w:r>
    </w:p>
    <w:bookmarkStart w:id="141" w:name="refs"/>
    <w:bookmarkStart w:id="37" w:name="ref-marshall1982"/>
    <w:p>
      <w:pPr>
        <w:pStyle w:val="Bibliography"/>
      </w:pPr>
      <w:r>
        <w:t xml:space="preserve">1.</w:t>
      </w:r>
      <w:r>
        <w:t xml:space="preserve"> </w:t>
      </w:r>
      <w:r>
        <w:t xml:space="preserve">	</w:t>
      </w:r>
      <w:r>
        <w:t xml:space="preserve">Marshall, L.G., Webb, S.D., Sepkoski, J.J., and Raup, D.M. (1982).</w:t>
      </w:r>
      <w:r>
        <w:t xml:space="preserve"> </w:t>
      </w:r>
      <w:hyperlink r:id="rId36">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7"/>
    <w:bookmarkStart w:id="39"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8">
        <w:r>
          <w:rPr>
            <w:rStyle w:val="Hyperlink"/>
          </w:rPr>
          <w:t xml:space="preserve">https://doi.org/10.1126/science.aaa2815</w:t>
        </w:r>
      </w:hyperlink>
      <w:r>
        <w:t xml:space="preserve">.</w:t>
      </w:r>
    </w:p>
    <w:bookmarkEnd w:id="39"/>
    <w:bookmarkStart w:id="41" w:name="ref-jaramillo2018"/>
    <w:p>
      <w:pPr>
        <w:pStyle w:val="Bibliography"/>
      </w:pPr>
      <w:r>
        <w:t xml:space="preserve">3.</w:t>
      </w:r>
      <w:r>
        <w:t xml:space="preserve"> </w:t>
      </w:r>
      <w:r>
        <w:t xml:space="preserve">	</w:t>
      </w:r>
      <w:r>
        <w:t xml:space="preserve">Jaramillo, C.A. (2018).</w:t>
      </w:r>
      <w:r>
        <w:t xml:space="preserve"> </w:t>
      </w:r>
      <w:hyperlink r:id="rId40">
        <w:r>
          <w:rPr>
            <w:rStyle w:val="Hyperlink"/>
          </w:rPr>
          <w:t xml:space="preserve">Evolution of the isthmus of panama: Biological, paleoceanographic and paleoclimatological implications</w:t>
        </w:r>
      </w:hyperlink>
      <w:r>
        <w:t xml:space="preserve">. In (John Wiley &amp; Sons).</w:t>
      </w:r>
    </w:p>
    <w:bookmarkEnd w:id="41"/>
    <w:bookmarkStart w:id="43"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2">
        <w:r>
          <w:rPr>
            <w:rStyle w:val="Hyperlink"/>
          </w:rPr>
          <w:t xml:space="preserve">https://doi.org/10.1126/sciadv.1600883</w:t>
        </w:r>
      </w:hyperlink>
      <w:r>
        <w:t xml:space="preserve">.</w:t>
      </w:r>
    </w:p>
    <w:bookmarkEnd w:id="43"/>
    <w:bookmarkStart w:id="45"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4">
        <w:r>
          <w:rPr>
            <w:rStyle w:val="Hyperlink"/>
          </w:rPr>
          <w:t xml:space="preserve">https://doi.org/10.1016/j.geobios.2006.09.005</w:t>
        </w:r>
      </w:hyperlink>
      <w:r>
        <w:t xml:space="preserve">.</w:t>
      </w:r>
    </w:p>
    <w:bookmarkEnd w:id="45"/>
    <w:bookmarkStart w:id="47" w:name="ref-tedford2004"/>
    <w:p>
      <w:pPr>
        <w:pStyle w:val="Bibliography"/>
      </w:pPr>
      <w:r>
        <w:t xml:space="preserve">6.</w:t>
      </w:r>
      <w:r>
        <w:t xml:space="preserve"> </w:t>
      </w:r>
      <w:r>
        <w:t xml:space="preserve">	</w:t>
      </w:r>
      <w:r>
        <w:t xml:space="preserve">Tedford, R.H., Albright, L.B., Barnosky, A.D., Ferrusquia-Villafranca, I., Hunt, R.M., Storer, J.E., Swisher, C.C., Voorhies, M.R., Webb, S.D., and Whistler, D.P. (2004).</w:t>
      </w:r>
      <w:r>
        <w:t xml:space="preserve"> </w:t>
      </w:r>
      <w:hyperlink r:id="rId46">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47"/>
    <w:bookmarkStart w:id="49" w:name="ref-carrillo2015"/>
    <w:p>
      <w:pPr>
        <w:pStyle w:val="Bibliography"/>
      </w:pPr>
      <w:r>
        <w:t xml:space="preserve">7.</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48">
        <w:r>
          <w:rPr>
            <w:rStyle w:val="Hyperlink"/>
          </w:rPr>
          <w:t xml:space="preserve">https://doi.org/10.3389/fgene.2014.00451</w:t>
        </w:r>
      </w:hyperlink>
      <w:r>
        <w:t xml:space="preserve">.</w:t>
      </w:r>
    </w:p>
    <w:bookmarkEnd w:id="49"/>
    <w:bookmarkStart w:id="51" w:name="ref-woodburne2010"/>
    <w:p>
      <w:pPr>
        <w:pStyle w:val="Bibliography"/>
      </w:pPr>
      <w:r>
        <w:t xml:space="preserve">8.</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0">
        <w:r>
          <w:rPr>
            <w:rStyle w:val="Hyperlink"/>
          </w:rPr>
          <w:t xml:space="preserve">https://doi.org/10.1007/s10914-010-9144-8</w:t>
        </w:r>
      </w:hyperlink>
      <w:r>
        <w:t xml:space="preserve">.</w:t>
      </w:r>
    </w:p>
    <w:bookmarkEnd w:id="51"/>
    <w:bookmarkStart w:id="53" w:name="ref-bacon2015"/>
    <w:p>
      <w:pPr>
        <w:pStyle w:val="Bibliography"/>
      </w:pPr>
      <w:r>
        <w:t xml:space="preserve">9.</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2">
        <w:r>
          <w:rPr>
            <w:rStyle w:val="Hyperlink"/>
          </w:rPr>
          <w:t xml:space="preserve">https://doi.org/10.1073/pnas.1423853112</w:t>
        </w:r>
      </w:hyperlink>
      <w:r>
        <w:t xml:space="preserve">.</w:t>
      </w:r>
    </w:p>
    <w:bookmarkEnd w:id="53"/>
    <w:bookmarkStart w:id="55" w:name="ref-bacon2016"/>
    <w:p>
      <w:pPr>
        <w:pStyle w:val="Bibliography"/>
      </w:pPr>
      <w:r>
        <w:t xml:space="preserve">10.</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4">
        <w:r>
          <w:rPr>
            <w:rStyle w:val="Hyperlink"/>
          </w:rPr>
          <w:t xml:space="preserve">https://doi.org/10.1130/G37624.1</w:t>
        </w:r>
      </w:hyperlink>
      <w:r>
        <w:t xml:space="preserve">.</w:t>
      </w:r>
    </w:p>
    <w:bookmarkEnd w:id="55"/>
    <w:bookmarkStart w:id="57" w:name="ref-webb1976"/>
    <w:p>
      <w:pPr>
        <w:pStyle w:val="Bibliography"/>
      </w:pPr>
      <w:r>
        <w:t xml:space="preserve">11.</w:t>
      </w:r>
      <w:r>
        <w:t xml:space="preserve"> </w:t>
      </w:r>
      <w:r>
        <w:t xml:space="preserve">	</w:t>
      </w:r>
      <w:r>
        <w:t xml:space="preserve">Webb, S.D. (1976).</w:t>
      </w:r>
      <w:r>
        <w:t xml:space="preserve"> </w:t>
      </w:r>
      <w:hyperlink r:id="rId56">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7"/>
    <w:bookmarkStart w:id="59" w:name="ref-webb1991"/>
    <w:p>
      <w:pPr>
        <w:pStyle w:val="Bibliography"/>
      </w:pPr>
      <w:r>
        <w:t xml:space="preserve">12.</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8">
        <w:r>
          <w:rPr>
            <w:rStyle w:val="Hyperlink"/>
          </w:rPr>
          <w:t xml:space="preserve">https://doi.org/10.1017/S0094837300010605</w:t>
        </w:r>
      </w:hyperlink>
      <w:r>
        <w:t xml:space="preserve">.</w:t>
      </w:r>
    </w:p>
    <w:bookmarkEnd w:id="59"/>
    <w:bookmarkStart w:id="61" w:name="ref-cione2015"/>
    <w:p>
      <w:pPr>
        <w:pStyle w:val="Bibliography"/>
      </w:pPr>
      <w:r>
        <w:t xml:space="preserve">13.</w:t>
      </w:r>
      <w:r>
        <w:t xml:space="preserve"> </w:t>
      </w:r>
      <w:r>
        <w:t xml:space="preserve">	</w:t>
      </w:r>
      <w:r>
        <w:t xml:space="preserve">Cione, A.L., Gasparini, G.M., Soibelzon, E., Soibelzon, L.H., and Tonni, E.P. (2015).</w:t>
      </w:r>
      <w:r>
        <w:t xml:space="preserve"> </w:t>
      </w:r>
      <w:hyperlink r:id="rId60">
        <w:r>
          <w:rPr>
            <w:rStyle w:val="Hyperlink"/>
          </w:rPr>
          <w:t xml:space="preserve">The Great American Biotic Interchange: A South American Perspective</w:t>
        </w:r>
      </w:hyperlink>
      <w:r>
        <w:t xml:space="preserve"> </w:t>
      </w:r>
      <w:r>
        <w:t xml:space="preserve">(Springer Netherlands).</w:t>
      </w:r>
    </w:p>
    <w:bookmarkEnd w:id="61"/>
    <w:bookmarkStart w:id="63" w:name="ref-carrillo2020"/>
    <w:p>
      <w:pPr>
        <w:pStyle w:val="Bibliography"/>
      </w:pPr>
      <w:r>
        <w:t xml:space="preserve">14.</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2">
        <w:r>
          <w:rPr>
            <w:rStyle w:val="Hyperlink"/>
          </w:rPr>
          <w:t xml:space="preserve">https://doi.org/10.1073/pnas.2009397117</w:t>
        </w:r>
      </w:hyperlink>
      <w:r>
        <w:t xml:space="preserve">.</w:t>
      </w:r>
    </w:p>
    <w:bookmarkEnd w:id="63"/>
    <w:bookmarkStart w:id="65" w:name="ref-croft2020"/>
    <w:p>
      <w:pPr>
        <w:pStyle w:val="Bibliography"/>
      </w:pPr>
      <w:r>
        <w:t xml:space="preserve">15.</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4">
        <w:r>
          <w:rPr>
            <w:rStyle w:val="Hyperlink"/>
          </w:rPr>
          <w:t xml:space="preserve">https://doi.org/10.1146/annurev-earth-072619-060126</w:t>
        </w:r>
      </w:hyperlink>
      <w:r>
        <w:t xml:space="preserve">.</w:t>
      </w:r>
    </w:p>
    <w:bookmarkEnd w:id="65"/>
    <w:bookmarkStart w:id="67" w:name="ref-boscaini2025"/>
    <w:p>
      <w:pPr>
        <w:pStyle w:val="Bibliography"/>
      </w:pPr>
      <w:r>
        <w:t xml:space="preserve">16.</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6">
        <w:r>
          <w:rPr>
            <w:rStyle w:val="Hyperlink"/>
          </w:rPr>
          <w:t xml:space="preserve">https://doi.org/10.1126/science.adu0704</w:t>
        </w:r>
      </w:hyperlink>
      <w:r>
        <w:t xml:space="preserve">.</w:t>
      </w:r>
    </w:p>
    <w:bookmarkEnd w:id="67"/>
    <w:bookmarkStart w:id="68" w:name="ref-simpson1980"/>
    <w:p>
      <w:pPr>
        <w:pStyle w:val="Bibliography"/>
      </w:pPr>
      <w:r>
        <w:t xml:space="preserve">17.</w:t>
      </w:r>
      <w:r>
        <w:t xml:space="preserve"> </w:t>
      </w:r>
      <w:r>
        <w:t xml:space="preserve">	</w:t>
      </w:r>
      <w:r>
        <w:t xml:space="preserve">Simpson, G.G. (1980). Splendid isolation : The curious history of south american mammals Yale University Press, New Haven.</w:t>
      </w:r>
    </w:p>
    <w:bookmarkEnd w:id="68"/>
    <w:bookmarkStart w:id="70" w:name="ref-domingo2020"/>
    <w:p>
      <w:pPr>
        <w:pStyle w:val="Bibliography"/>
      </w:pPr>
      <w:r>
        <w:t xml:space="preserve">18.</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9">
        <w:r>
          <w:rPr>
            <w:rStyle w:val="Hyperlink"/>
          </w:rPr>
          <w:t xml:space="preserve">https://doi.org/10.1038/s41598-020-58575-6</w:t>
        </w:r>
      </w:hyperlink>
      <w:r>
        <w:t xml:space="preserve">.</w:t>
      </w:r>
    </w:p>
    <w:bookmarkEnd w:id="70"/>
    <w:bookmarkStart w:id="71" w:name="ref-marshall1990"/>
    <w:p>
      <w:pPr>
        <w:pStyle w:val="Bibliography"/>
      </w:pPr>
      <w:r>
        <w:t xml:space="preserve">19.</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1"/>
    <w:bookmarkStart w:id="73" w:name="ref-faurby2016"/>
    <w:p>
      <w:pPr>
        <w:pStyle w:val="Bibliography"/>
      </w:pPr>
      <w:r>
        <w:t xml:space="preserve">20.</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2">
        <w:r>
          <w:rPr>
            <w:rStyle w:val="Hyperlink"/>
          </w:rPr>
          <w:t xml:space="preserve">https://doi.org/10.1111/geb.12504</w:t>
        </w:r>
      </w:hyperlink>
      <w:r>
        <w:t xml:space="preserve">.</w:t>
      </w:r>
    </w:p>
    <w:bookmarkEnd w:id="73"/>
    <w:bookmarkStart w:id="75" w:name="ref-fernández-monescillo2025"/>
    <w:p>
      <w:pPr>
        <w:pStyle w:val="Bibliography"/>
      </w:pPr>
      <w:r>
        <w:t xml:space="preserve">21.</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4">
        <w:r>
          <w:rPr>
            <w:rStyle w:val="Hyperlink"/>
          </w:rPr>
          <w:t xml:space="preserve">https://doi.org/10.1111/pala.70012</w:t>
        </w:r>
      </w:hyperlink>
      <w:r>
        <w:t xml:space="preserve">.</w:t>
      </w:r>
    </w:p>
    <w:bookmarkEnd w:id="75"/>
    <w:bookmarkStart w:id="77" w:name="ref-vrba1992"/>
    <w:p>
      <w:pPr>
        <w:pStyle w:val="Bibliography"/>
      </w:pPr>
      <w:r>
        <w:t xml:space="preserve">22.</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6">
        <w:r>
          <w:rPr>
            <w:rStyle w:val="Hyperlink"/>
          </w:rPr>
          <w:t xml:space="preserve">https://doi.org/10.2307/1381862</w:t>
        </w:r>
      </w:hyperlink>
      <w:r>
        <w:t xml:space="preserve">.</w:t>
      </w:r>
    </w:p>
    <w:bookmarkEnd w:id="77"/>
    <w:bookmarkStart w:id="79" w:name="ref-prevosti2013"/>
    <w:p>
      <w:pPr>
        <w:pStyle w:val="Bibliography"/>
      </w:pPr>
      <w:r>
        <w:t xml:space="preserve">23.</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8">
        <w:r>
          <w:rPr>
            <w:rStyle w:val="Hyperlink"/>
          </w:rPr>
          <w:t xml:space="preserve">https://doi.org/10.1007/s10914-011-9175-9</w:t>
        </w:r>
      </w:hyperlink>
      <w:r>
        <w:t xml:space="preserve">.</w:t>
      </w:r>
    </w:p>
    <w:bookmarkEnd w:id="79"/>
    <w:bookmarkStart w:id="81" w:name="ref-tarquini2022"/>
    <w:p>
      <w:pPr>
        <w:pStyle w:val="Bibliography"/>
      </w:pPr>
      <w:r>
        <w:t xml:space="preserve">24.</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0">
        <w:r>
          <w:rPr>
            <w:rStyle w:val="Hyperlink"/>
          </w:rPr>
          <w:t xml:space="preserve">https://doi.org/10.1038/s41598-022-05266-z</w:t>
        </w:r>
      </w:hyperlink>
      <w:r>
        <w:t xml:space="preserve">.</w:t>
      </w:r>
    </w:p>
    <w:bookmarkEnd w:id="81"/>
    <w:bookmarkStart w:id="83" w:name="ref-marsà2025"/>
    <w:p>
      <w:pPr>
        <w:pStyle w:val="Bibliography"/>
      </w:pPr>
      <w:r>
        <w:t xml:space="preserve">25.</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2">
        <w:r>
          <w:rPr>
            <w:rStyle w:val="Hyperlink"/>
          </w:rPr>
          <w:t xml:space="preserve">https://doi.org/10.3390/d17030153</w:t>
        </w:r>
      </w:hyperlink>
      <w:r>
        <w:t xml:space="preserve">.</w:t>
      </w:r>
    </w:p>
    <w:bookmarkEnd w:id="83"/>
    <w:bookmarkStart w:id="85" w:name="ref-freitas-oliveira2024"/>
    <w:p>
      <w:pPr>
        <w:pStyle w:val="Bibliography"/>
      </w:pPr>
      <w:r>
        <w:t xml:space="preserve">26.</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4">
        <w:r>
          <w:rPr>
            <w:rStyle w:val="Hyperlink"/>
          </w:rPr>
          <w:t xml:space="preserve">https://doi.org/10.1038/s44185-024-00045-7</w:t>
        </w:r>
      </w:hyperlink>
      <w:r>
        <w:t xml:space="preserve">.</w:t>
      </w:r>
    </w:p>
    <w:bookmarkEnd w:id="85"/>
    <w:bookmarkStart w:id="87" w:name="ref-pilowsky2022"/>
    <w:p>
      <w:pPr>
        <w:pStyle w:val="Bibliography"/>
      </w:pPr>
      <w:r>
        <w:t xml:space="preserve">27.</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6">
        <w:r>
          <w:rPr>
            <w:rStyle w:val="Hyperlink"/>
          </w:rPr>
          <w:t xml:space="preserve">https://doi.org/10.1126/sciadv.abj2271</w:t>
        </w:r>
      </w:hyperlink>
      <w:r>
        <w:t xml:space="preserve">.</w:t>
      </w:r>
    </w:p>
    <w:bookmarkEnd w:id="87"/>
    <w:bookmarkStart w:id="89" w:name="ref-hagen2023"/>
    <w:p>
      <w:pPr>
        <w:pStyle w:val="Bibliography"/>
      </w:pPr>
      <w:r>
        <w:t xml:space="preserve">28.</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8">
        <w:r>
          <w:rPr>
            <w:rStyle w:val="Hyperlink"/>
          </w:rPr>
          <w:t xml:space="preserve">https://doi.org/10.1111/ecog.06132</w:t>
        </w:r>
      </w:hyperlink>
      <w:r>
        <w:t xml:space="preserve">.</w:t>
      </w:r>
    </w:p>
    <w:bookmarkEnd w:id="89"/>
    <w:bookmarkStart w:id="91" w:name="ref-hagen2021"/>
    <w:p>
      <w:pPr>
        <w:pStyle w:val="Bibliography"/>
      </w:pPr>
      <w:r>
        <w:t xml:space="preserve">29.</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0">
        <w:r>
          <w:rPr>
            <w:rStyle w:val="Hyperlink"/>
          </w:rPr>
          <w:t xml:space="preserve">https://doi.org/10.1371/journal.pbio.3001340</w:t>
        </w:r>
      </w:hyperlink>
      <w:r>
        <w:t xml:space="preserve">.</w:t>
      </w:r>
    </w:p>
    <w:bookmarkEnd w:id="91"/>
    <w:bookmarkStart w:id="93" w:name="ref-lorcery2025"/>
    <w:p>
      <w:pPr>
        <w:pStyle w:val="Bibliography"/>
      </w:pPr>
      <w:r>
        <w:t xml:space="preserve">30.</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2">
        <w:r>
          <w:rPr>
            <w:rStyle w:val="Hyperlink"/>
          </w:rPr>
          <w:t xml:space="preserve">https://doi.org/10.1371/journal.pone.0332766</w:t>
        </w:r>
      </w:hyperlink>
      <w:r>
        <w:t xml:space="preserve">.</w:t>
      </w:r>
    </w:p>
    <w:bookmarkEnd w:id="93"/>
    <w:bookmarkStart w:id="95" w:name="ref-hagen2021b"/>
    <w:p>
      <w:pPr>
        <w:pStyle w:val="Bibliography"/>
      </w:pPr>
      <w:r>
        <w:t xml:space="preserve">31.</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4">
        <w:r>
          <w:rPr>
            <w:rStyle w:val="Hyperlink"/>
          </w:rPr>
          <w:t xml:space="preserve">https://doi.org/10.1073/pnas.2026347118</w:t>
        </w:r>
      </w:hyperlink>
      <w:r>
        <w:t xml:space="preserve">.</w:t>
      </w:r>
    </w:p>
    <w:bookmarkEnd w:id="95"/>
    <w:bookmarkStart w:id="97" w:name="ref-skeels2023b"/>
    <w:p>
      <w:pPr>
        <w:pStyle w:val="Bibliography"/>
      </w:pPr>
      <w:r>
        <w:t xml:space="preserve">32.</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6">
        <w:r>
          <w:rPr>
            <w:rStyle w:val="Hyperlink"/>
          </w:rPr>
          <w:t xml:space="preserve">https://doi.org/10.1126/science.adf7122</w:t>
        </w:r>
      </w:hyperlink>
      <w:r>
        <w:t xml:space="preserve">.</w:t>
      </w:r>
    </w:p>
    <w:bookmarkEnd w:id="97"/>
    <w:bookmarkStart w:id="99" w:name="ref-boschman2023"/>
    <w:p>
      <w:pPr>
        <w:pStyle w:val="Bibliography"/>
      </w:pPr>
      <w:r>
        <w:t xml:space="preserve">33.</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8">
        <w:r>
          <w:rPr>
            <w:rStyle w:val="Hyperlink"/>
          </w:rPr>
          <w:t xml:space="preserve">https://doi.org/10.1038/s41559-023-02220-8</w:t>
        </w:r>
      </w:hyperlink>
      <w:r>
        <w:t xml:space="preserve">.</w:t>
      </w:r>
    </w:p>
    <w:bookmarkEnd w:id="99"/>
    <w:bookmarkStart w:id="101" w:name="ref-skeels2023"/>
    <w:p>
      <w:pPr>
        <w:pStyle w:val="Bibliography"/>
      </w:pPr>
      <w:r>
        <w:t xml:space="preserve">34.</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0">
        <w:r>
          <w:rPr>
            <w:rStyle w:val="Hyperlink"/>
          </w:rPr>
          <w:t xml:space="preserve">https://doi.org/10.1093/sysbio/syac048</w:t>
        </w:r>
      </w:hyperlink>
      <w:r>
        <w:t xml:space="preserve">.</w:t>
      </w:r>
    </w:p>
    <w:bookmarkEnd w:id="101"/>
    <w:bookmarkStart w:id="103" w:name="ref-liu2024"/>
    <w:p>
      <w:pPr>
        <w:pStyle w:val="Bibliography"/>
      </w:pPr>
      <w:r>
        <w:t xml:space="preserve">35.</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2">
        <w:r>
          <w:rPr>
            <w:rStyle w:val="Hyperlink"/>
          </w:rPr>
          <w:t xml:space="preserve">https://doi.org/10.1126/science.adi0833</w:t>
        </w:r>
      </w:hyperlink>
      <w:r>
        <w:t xml:space="preserve">.</w:t>
      </w:r>
    </w:p>
    <w:bookmarkEnd w:id="103"/>
    <w:bookmarkStart w:id="105" w:name="ref-holden2019"/>
    <w:p>
      <w:pPr>
        <w:pStyle w:val="Bibliography"/>
      </w:pPr>
      <w:r>
        <w:t xml:space="preserve">36.</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4">
        <w:r>
          <w:rPr>
            <w:rStyle w:val="Hyperlink"/>
          </w:rPr>
          <w:t xml:space="preserve">https://doi.org/10.5194/gmd-12-5137-2019</w:t>
        </w:r>
      </w:hyperlink>
      <w:r>
        <w:t xml:space="preserve">.</w:t>
      </w:r>
    </w:p>
    <w:bookmarkEnd w:id="105"/>
    <w:bookmarkStart w:id="107" w:name="ref-barreto2023"/>
    <w:p>
      <w:pPr>
        <w:pStyle w:val="Bibliography"/>
      </w:pPr>
      <w:r>
        <w:t xml:space="preserve">37.</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6">
        <w:r>
          <w:rPr>
            <w:rStyle w:val="Hyperlink"/>
          </w:rPr>
          <w:t xml:space="preserve">https://doi.org/10.1111/geb.13683</w:t>
        </w:r>
      </w:hyperlink>
      <w:r>
        <w:t xml:space="preserve">.</w:t>
      </w:r>
    </w:p>
    <w:bookmarkEnd w:id="107"/>
    <w:bookmarkStart w:id="109" w:name="ref-beck2018"/>
    <w:p>
      <w:pPr>
        <w:pStyle w:val="Bibliography"/>
      </w:pPr>
      <w:r>
        <w:t xml:space="preserve">38.</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8">
        <w:r>
          <w:rPr>
            <w:rStyle w:val="Hyperlink"/>
          </w:rPr>
          <w:t xml:space="preserve">https://doi.org/10.1038/sdata.2018.214</w:t>
        </w:r>
      </w:hyperlink>
      <w:r>
        <w:t xml:space="preserve">.</w:t>
      </w:r>
    </w:p>
    <w:bookmarkEnd w:id="109"/>
    <w:bookmarkStart w:id="111" w:name="ref-galván2023"/>
    <w:p>
      <w:pPr>
        <w:pStyle w:val="Bibliography"/>
      </w:pPr>
      <w:r>
        <w:t xml:space="preserve">39.</w:t>
      </w:r>
      <w:r>
        <w:t xml:space="preserve"> </w:t>
      </w:r>
      <w:r>
        <w:t xml:space="preserve">	</w:t>
      </w:r>
      <w:r>
        <w:t xml:space="preserve">Galván, S., Gamboa, S., and Varela, S. (2023).</w:t>
      </w:r>
      <w:r>
        <w:t xml:space="preserve"> </w:t>
      </w:r>
      <w:hyperlink r:id="rId110">
        <w:r>
          <w:rPr>
            <w:rStyle w:val="Hyperlink"/>
          </w:rPr>
          <w:t xml:space="preserve">Köppen Geiger climatic classification for R users.</w:t>
        </w:r>
      </w:hyperlink>
    </w:p>
    <w:bookmarkEnd w:id="111"/>
    <w:bookmarkStart w:id="113" w:name="ref-chakrabarty2011"/>
    <w:p>
      <w:pPr>
        <w:pStyle w:val="Bibliography"/>
      </w:pPr>
      <w:r>
        <w:t xml:space="preserve">40.</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12">
        <w:r>
          <w:rPr>
            <w:rStyle w:val="Hyperlink"/>
          </w:rPr>
          <w:t xml:space="preserve">https://doi.org/10.1525/california/9780520268685.003.0018</w:t>
        </w:r>
      </w:hyperlink>
      <w:r>
        <w:t xml:space="preserve">.</w:t>
      </w:r>
    </w:p>
    <w:bookmarkEnd w:id="113"/>
    <w:bookmarkStart w:id="115" w:name="ref-weir2009"/>
    <w:p>
      <w:pPr>
        <w:pStyle w:val="Bibliography"/>
      </w:pPr>
      <w:r>
        <w:t xml:space="preserve">41.</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14">
        <w:r>
          <w:rPr>
            <w:rStyle w:val="Hyperlink"/>
          </w:rPr>
          <w:t xml:space="preserve">https://doi.org/10.1073/pnas.0903811106</w:t>
        </w:r>
      </w:hyperlink>
      <w:r>
        <w:t xml:space="preserve">.</w:t>
      </w:r>
    </w:p>
    <w:bookmarkEnd w:id="115"/>
    <w:bookmarkStart w:id="117" w:name="ref-tilstonsmith2010"/>
    <w:p>
      <w:pPr>
        <w:pStyle w:val="Bibliography"/>
      </w:pPr>
      <w:r>
        <w:t xml:space="preserve">42.</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16">
        <w:r>
          <w:rPr>
            <w:rStyle w:val="Hyperlink"/>
          </w:rPr>
          <w:t xml:space="preserve">https://doi.org/10.1111/j.1600-0587.2009.06335.x</w:t>
        </w:r>
      </w:hyperlink>
      <w:r>
        <w:t xml:space="preserve">.</w:t>
      </w:r>
    </w:p>
    <w:bookmarkEnd w:id="117"/>
    <w:bookmarkStart w:id="118" w:name="ref-macarthur1967"/>
    <w:p>
      <w:pPr>
        <w:pStyle w:val="Bibliography"/>
      </w:pPr>
      <w:r>
        <w:t xml:space="preserve">43.</w:t>
      </w:r>
      <w:r>
        <w:t xml:space="preserve"> </w:t>
      </w:r>
      <w:r>
        <w:t xml:space="preserve">	</w:t>
      </w:r>
      <w:r>
        <w:t xml:space="preserve">MacArthur, R.H., and Wilson, E.O. (1967). The theory of island biogeography Princeton University Press.</w:t>
      </w:r>
    </w:p>
    <w:bookmarkEnd w:id="118"/>
    <w:bookmarkStart w:id="120" w:name="ref-willig2003"/>
    <w:p>
      <w:pPr>
        <w:pStyle w:val="Bibliography"/>
      </w:pPr>
      <w:r>
        <w:t xml:space="preserve">44.</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9">
        <w:r>
          <w:rPr>
            <w:rStyle w:val="Hyperlink"/>
          </w:rPr>
          <w:t xml:space="preserve">https://doi.org/10.1146/annurev.ecolsys.34.012103.144032</w:t>
        </w:r>
      </w:hyperlink>
      <w:r>
        <w:t xml:space="preserve">.</w:t>
      </w:r>
    </w:p>
    <w:bookmarkEnd w:id="120"/>
    <w:bookmarkStart w:id="122" w:name="ref-raven2020"/>
    <w:p>
      <w:pPr>
        <w:pStyle w:val="Bibliography"/>
      </w:pPr>
      <w:r>
        <w:t xml:space="preserve">45.</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21">
        <w:r>
          <w:rPr>
            <w:rStyle w:val="Hyperlink"/>
          </w:rPr>
          <w:t xml:space="preserve">https://doi.org/10.1126/sciadv.abc6228</w:t>
        </w:r>
      </w:hyperlink>
      <w:r>
        <w:t xml:space="preserve">.</w:t>
      </w:r>
    </w:p>
    <w:bookmarkEnd w:id="122"/>
    <w:bookmarkStart w:id="124" w:name="ref-haffer1969"/>
    <w:p>
      <w:pPr>
        <w:pStyle w:val="Bibliography"/>
      </w:pPr>
      <w:r>
        <w:t xml:space="preserve">46.</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23">
        <w:r>
          <w:rPr>
            <w:rStyle w:val="Hyperlink"/>
          </w:rPr>
          <w:t xml:space="preserve">https://doi.org/10.1126/science.165.3889.131</w:t>
        </w:r>
      </w:hyperlink>
      <w:r>
        <w:t xml:space="preserve">.</w:t>
      </w:r>
    </w:p>
    <w:bookmarkEnd w:id="124"/>
    <w:bookmarkStart w:id="126" w:name="ref-cruz2025"/>
    <w:p>
      <w:pPr>
        <w:pStyle w:val="Bibliography"/>
      </w:pPr>
      <w:r>
        <w:t xml:space="preserve">47.</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25">
        <w:r>
          <w:rPr>
            <w:rStyle w:val="Hyperlink"/>
          </w:rPr>
          <w:t xml:space="preserve">https://doi.org/10.1590/S1984-4689.v42.e24051</w:t>
        </w:r>
      </w:hyperlink>
      <w:r>
        <w:t xml:space="preserve">.</w:t>
      </w:r>
    </w:p>
    <w:bookmarkEnd w:id="126"/>
    <w:bookmarkStart w:id="128" w:name="ref-pino2022"/>
    <w:p>
      <w:pPr>
        <w:pStyle w:val="Bibliography"/>
      </w:pPr>
      <w:r>
        <w:t xml:space="preserve">48.</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27">
        <w:r>
          <w:rPr>
            <w:rStyle w:val="Hyperlink"/>
          </w:rPr>
          <w:t xml:space="preserve">https://doi.org/10.1016/j.gloplacha.2022.103758</w:t>
        </w:r>
      </w:hyperlink>
      <w:r>
        <w:t xml:space="preserve">.</w:t>
      </w:r>
    </w:p>
    <w:bookmarkEnd w:id="128"/>
    <w:bookmarkStart w:id="130" w:name="ref-motta2025"/>
    <w:p>
      <w:pPr>
        <w:pStyle w:val="Bibliography"/>
      </w:pPr>
      <w:r>
        <w:t xml:space="preserve">49.</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29">
        <w:r>
          <w:rPr>
            <w:rStyle w:val="Hyperlink"/>
          </w:rPr>
          <w:t xml:space="preserve">https://doi.org/10.1016/j.palaeo.2025.112905</w:t>
        </w:r>
      </w:hyperlink>
      <w:r>
        <w:t xml:space="preserve">.</w:t>
      </w:r>
    </w:p>
    <w:bookmarkEnd w:id="130"/>
    <w:bookmarkStart w:id="132" w:name="ref-morgan1993"/>
    <w:p>
      <w:pPr>
        <w:pStyle w:val="Bibliography"/>
      </w:pPr>
      <w:r>
        <w:t xml:space="preserve">50.</w:t>
      </w:r>
      <w:r>
        <w:t xml:space="preserve"> </w:t>
      </w:r>
      <w:r>
        <w:t xml:space="preserve">	</w:t>
      </w:r>
      <w:r>
        <w:t xml:space="preserve">Morgan, G.S. (1993). Quaternary land vertebrates of jamaica. In, R. M. Wright and E. Robinson, eds. (Geological Society of America), p. 0.</w:t>
      </w:r>
      <w:r>
        <w:t xml:space="preserve"> </w:t>
      </w:r>
      <w:hyperlink r:id="rId131">
        <w:r>
          <w:rPr>
            <w:rStyle w:val="Hyperlink"/>
          </w:rPr>
          <w:t xml:space="preserve">https://doi.org/10.1130/MEM182-p417</w:t>
        </w:r>
      </w:hyperlink>
      <w:r>
        <w:t xml:space="preserve">.</w:t>
      </w:r>
    </w:p>
    <w:bookmarkEnd w:id="132"/>
    <w:bookmarkStart w:id="134" w:name="ref-ali2021b"/>
    <w:p>
      <w:pPr>
        <w:pStyle w:val="Bibliography"/>
      </w:pPr>
      <w:r>
        <w:t xml:space="preserve">51.</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33">
        <w:r>
          <w:rPr>
            <w:rStyle w:val="Hyperlink"/>
          </w:rPr>
          <w:t xml:space="preserve">https://doi.org/10.1111/jbi.14234</w:t>
        </w:r>
      </w:hyperlink>
      <w:r>
        <w:t xml:space="preserve">.</w:t>
      </w:r>
    </w:p>
    <w:bookmarkEnd w:id="134"/>
    <w:bookmarkStart w:id="136" w:name="ref-cornée2021"/>
    <w:p>
      <w:pPr>
        <w:pStyle w:val="Bibliography"/>
      </w:pPr>
      <w:r>
        <w:t xml:space="preserve">52.</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35">
        <w:r>
          <w:rPr>
            <w:rStyle w:val="Hyperlink"/>
          </w:rPr>
          <w:t xml:space="preserve">https://doi.org/10.1016/j.earscirev.2021.103617</w:t>
        </w:r>
      </w:hyperlink>
      <w:r>
        <w:t xml:space="preserve">.</w:t>
      </w:r>
    </w:p>
    <w:bookmarkEnd w:id="136"/>
    <w:bookmarkStart w:id="138" w:name="ref-warren2015"/>
    <w:p>
      <w:pPr>
        <w:pStyle w:val="Bibliography"/>
      </w:pPr>
      <w:r>
        <w:t xml:space="preserve">53.</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37">
        <w:r>
          <w:rPr>
            <w:rStyle w:val="Hyperlink"/>
          </w:rPr>
          <w:t xml:space="preserve">https://doi.org/10.1111/ele.12398</w:t>
        </w:r>
      </w:hyperlink>
      <w:r>
        <w:t xml:space="preserve">.</w:t>
      </w:r>
    </w:p>
    <w:bookmarkEnd w:id="138"/>
    <w:bookmarkStart w:id="140" w:name="ref-gearty2023"/>
    <w:p>
      <w:pPr>
        <w:pStyle w:val="Bibliography"/>
      </w:pPr>
      <w:r>
        <w:t xml:space="preserve">54.</w:t>
      </w:r>
      <w:r>
        <w:t xml:space="preserve"> </w:t>
      </w:r>
      <w:r>
        <w:t xml:space="preserve">	</w:t>
      </w:r>
      <w:r>
        <w:t xml:space="preserve">Gearty, W. (2023).</w:t>
      </w:r>
      <w:r>
        <w:t xml:space="preserve"> </w:t>
      </w:r>
      <w:hyperlink r:id="rId139">
        <w:r>
          <w:rPr>
            <w:rStyle w:val="Hyperlink"/>
          </w:rPr>
          <w:t xml:space="preserve">Deeptime: Plotting tools for anyone working in deep time. R package version 1.0.1.</w:t>
        </w:r>
      </w:hyperlink>
    </w:p>
    <w:bookmarkEnd w:id="140"/>
    <w:bookmarkEnd w:id="141"/>
    <w:bookmarkEnd w:id="142"/>
    <w:bookmarkStart w:id="159"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46" w:name="fig-framework"/>
          <w:p>
            <w:pPr>
              <w:pStyle w:val="Compact"/>
              <w:jc w:val="center"/>
            </w:pPr>
            <w:r>
              <w:drawing>
                <wp:inline>
                  <wp:extent cx="3959999" cy="3959999"/>
                  <wp:effectExtent b="0" l="0" r="0" t="0"/>
                  <wp:docPr descr="" title="" id="144" name="Picture"/>
                  <a:graphic>
                    <a:graphicData uri="http://schemas.openxmlformats.org/drawingml/2006/picture">
                      <pic:pic>
                        <pic:nvPicPr>
                          <pic:cNvPr descr="../Figures/MS/Main/Figure_framework/Figure_framework.png" id="145" name="Picture"/>
                          <pic:cNvPicPr>
                            <a:picLocks noChangeArrowheads="1" noChangeAspect="1"/>
                          </pic:cNvPicPr>
                        </pic:nvPicPr>
                        <pic:blipFill>
                          <a:blip r:embed="rId143"/>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36</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8,10</w:t>
            </w:r>
            <w:r>
              <w:t xml:space="preserve"> </w:t>
            </w:r>
            <w:r>
              <w:t xml:space="preserve">is indicated by the light purple vertical bands. Geological timescale was depicted using the deeptime R package</w:t>
            </w:r>
            <w:r>
              <w:rPr>
                <w:vertAlign w:val="superscript"/>
              </w:rPr>
              <w:t xml:space="preserve">54</w:t>
            </w:r>
            <w:r>
              <w:t xml:space="preserve">. The empirically-derived asymmetry of the transcontinental land mammal exchange is represented by the thickness of the two arrows, the thicker the arrow, the more intense the exchange.</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propsuccess"/>
          <w:p>
            <w:pPr>
              <w:pStyle w:val="Compact"/>
              <w:jc w:val="center"/>
            </w:pPr>
            <w:r>
              <w:drawing>
                <wp:inline>
                  <wp:extent cx="3599999" cy="3779999"/>
                  <wp:effectExtent b="0" l="0" r="0" t="0"/>
                  <wp:docPr descr="" title="" id="148" name="Picture"/>
                  <a:graphic>
                    <a:graphicData uri="http://schemas.openxmlformats.org/drawingml/2006/picture">
                      <pic:pic>
                        <pic:nvPicPr>
                          <pic:cNvPr descr="../Figures/MS/Main/Figure_PropSuccess/Figure_PropSuccess.png" id="149" name="Picture"/>
                          <pic:cNvPicPr>
                            <a:picLocks noChangeArrowheads="1" noChangeAspect="1"/>
                          </pic:cNvPicPr>
                        </pic:nvPicPr>
                        <pic:blipFill>
                          <a:blip r:embed="rId147"/>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metrics"/>
          <w:p>
            <w:pPr>
              <w:pStyle w:val="Compact"/>
              <w:jc w:val="left"/>
            </w:pPr>
            <w:r>
              <w:drawing>
                <wp:inline>
                  <wp:extent cx="5039999" cy="4319999"/>
                  <wp:effectExtent b="0" l="0" r="0" t="0"/>
                  <wp:docPr descr="" title="" id="152" name="Picture"/>
                  <a:graphic>
                    <a:graphicData uri="http://schemas.openxmlformats.org/drawingml/2006/picture">
                      <pic:pic>
                        <pic:nvPicPr>
                          <pic:cNvPr descr="../Figures/MS/Main/Figure_metrics/Figure_metrics.png" id="153" name="Picture"/>
                          <pic:cNvPicPr>
                            <a:picLocks noChangeArrowheads="1" noChangeAspect="1"/>
                          </pic:cNvPicPr>
                        </pic:nvPicPr>
                        <pic:blipFill>
                          <a:blip r:embed="rId151"/>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biome"/>
          <w:p>
            <w:pPr>
              <w:pStyle w:val="Compact"/>
              <w:jc w:val="center"/>
            </w:pPr>
            <w:r>
              <w:drawing>
                <wp:inline>
                  <wp:extent cx="5399999" cy="5399999"/>
                  <wp:effectExtent b="0" l="0" r="0" t="0"/>
                  <wp:docPr descr="" title="" id="156" name="Picture"/>
                  <a:graphic>
                    <a:graphicData uri="http://schemas.openxmlformats.org/drawingml/2006/picture">
                      <pic:pic>
                        <pic:nvPicPr>
                          <pic:cNvPr descr="../Figures/MS/Main/Figure_biomes/Figure_biomes.png" id="157" name="Picture"/>
                          <pic:cNvPicPr>
                            <a:picLocks noChangeArrowheads="1" noChangeAspect="1"/>
                          </pic:cNvPicPr>
                        </pic:nvPicPr>
                        <pic:blipFill>
                          <a:blip r:embed="rId155"/>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58"/>
        </w:tc>
      </w:tr>
    </w:tbl>
    <w:bookmarkEnd w:id="15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7" Target="media/rId147.png" /><Relationship Type="http://schemas.openxmlformats.org/officeDocument/2006/relationships/image" Id="rId155" Target="media/rId155.png" /><Relationship Type="http://schemas.openxmlformats.org/officeDocument/2006/relationships/image" Id="rId143" Target="media/rId143.png" /><Relationship Type="http://schemas.openxmlformats.org/officeDocument/2006/relationships/image" Id="rId151" Target="media/rId151.png" /><Relationship Type="http://schemas.openxmlformats.org/officeDocument/2006/relationships/hyperlink" Id="rId40" Target="http://repository.si.edu/xmlui/handle/10088/35473" TargetMode="External" /><Relationship Type="http://schemas.openxmlformats.org/officeDocument/2006/relationships/hyperlink" Id="rId139" Target="https://CRAN.R-project.org/package=deeptime" TargetMode="External" /><Relationship Type="http://schemas.openxmlformats.org/officeDocument/2006/relationships/hyperlink" Id="rId50" Target="https://doi.org/10.1007/s10914-010-9144-8" TargetMode="External" /><Relationship Type="http://schemas.openxmlformats.org/officeDocument/2006/relationships/hyperlink" Id="rId78" Target="https://doi.org/10.1007/s10914-011-9175-9" TargetMode="External" /><Relationship Type="http://schemas.openxmlformats.org/officeDocument/2006/relationships/hyperlink" Id="rId135" Target="https://doi.org/10.1016/j.earscirev.2021.103617" TargetMode="External" /><Relationship Type="http://schemas.openxmlformats.org/officeDocument/2006/relationships/hyperlink" Id="rId44"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9" Target="https://doi.org/10.1016/j.palaeo.2025.112905" TargetMode="External" /><Relationship Type="http://schemas.openxmlformats.org/officeDocument/2006/relationships/hyperlink" Id="rId58" Target="https://doi.org/10.1017/S0094837300010605" TargetMode="External" /><Relationship Type="http://schemas.openxmlformats.org/officeDocument/2006/relationships/hyperlink" Id="rId98" Target="https://doi.org/10.1038/s41559-023-02220-8" TargetMode="External" /><Relationship Type="http://schemas.openxmlformats.org/officeDocument/2006/relationships/hyperlink" Id="rId69" Target="https://doi.org/10.1038/s41598-020-58575-6" TargetMode="External" /><Relationship Type="http://schemas.openxmlformats.org/officeDocument/2006/relationships/hyperlink" Id="rId80" Target="https://doi.org/10.1038/s41598-022-05266-z" TargetMode="External" /><Relationship Type="http://schemas.openxmlformats.org/officeDocument/2006/relationships/hyperlink" Id="rId84" Target="https://doi.org/10.1038/s44185-024-00045-7" TargetMode="External" /><Relationship Type="http://schemas.openxmlformats.org/officeDocument/2006/relationships/hyperlink" Id="rId108" Target="https://doi.org/10.1038/sdata.2018.214" TargetMode="External" /><Relationship Type="http://schemas.openxmlformats.org/officeDocument/2006/relationships/hyperlink" Id="rId114" Target="https://doi.org/10.1073/pnas.0903811106" TargetMode="External" /><Relationship Type="http://schemas.openxmlformats.org/officeDocument/2006/relationships/hyperlink" Id="rId52" Target="https://doi.org/10.1073/pnas.1423853112" TargetMode="External" /><Relationship Type="http://schemas.openxmlformats.org/officeDocument/2006/relationships/hyperlink" Id="rId62" Target="https://doi.org/10.1073/pnas.2009397117" TargetMode="External" /><Relationship Type="http://schemas.openxmlformats.org/officeDocument/2006/relationships/hyperlink" Id="rId94" Target="https://doi.org/10.1073/pnas.2026347118" TargetMode="External" /><Relationship Type="http://schemas.openxmlformats.org/officeDocument/2006/relationships/hyperlink" Id="rId100" Target="https://doi.org/10.1093/sysbio/syac048" TargetMode="External" /><Relationship Type="http://schemas.openxmlformats.org/officeDocument/2006/relationships/hyperlink" Id="rId88" Target="https://doi.org/10.1111/ecog.06132" TargetMode="External" /><Relationship Type="http://schemas.openxmlformats.org/officeDocument/2006/relationships/hyperlink" Id="rId137" Target="https://doi.org/10.1111/ele.12398" TargetMode="External" /><Relationship Type="http://schemas.openxmlformats.org/officeDocument/2006/relationships/hyperlink" Id="rId72" Target="https://doi.org/10.1111/geb.12504" TargetMode="External" /><Relationship Type="http://schemas.openxmlformats.org/officeDocument/2006/relationships/hyperlink" Id="rId106" Target="https://doi.org/10.1111/geb.13683" TargetMode="External" /><Relationship Type="http://schemas.openxmlformats.org/officeDocument/2006/relationships/hyperlink" Id="rId116" Target="https://doi.org/10.1111/j.1600-0587.2009.06335.x" TargetMode="External" /><Relationship Type="http://schemas.openxmlformats.org/officeDocument/2006/relationships/hyperlink" Id="rId133" Target="https://doi.org/10.1111/jbi.14234" TargetMode="External" /><Relationship Type="http://schemas.openxmlformats.org/officeDocument/2006/relationships/hyperlink" Id="rId74"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121" Target="https://doi.org/10.1126/sciadv.abc6228" TargetMode="External" /><Relationship Type="http://schemas.openxmlformats.org/officeDocument/2006/relationships/hyperlink" Id="rId86" Target="https://doi.org/10.1126/sciadv.abj2271" TargetMode="External" /><Relationship Type="http://schemas.openxmlformats.org/officeDocument/2006/relationships/hyperlink" Id="rId123" Target="https://doi.org/10.1126/science.165.3889.131" TargetMode="External" /><Relationship Type="http://schemas.openxmlformats.org/officeDocument/2006/relationships/hyperlink" Id="rId38" Target="https://doi.org/10.1126/science.aaa2815" TargetMode="External" /><Relationship Type="http://schemas.openxmlformats.org/officeDocument/2006/relationships/hyperlink" Id="rId96" Target="https://doi.org/10.1126/science.adf7122" TargetMode="External" /><Relationship Type="http://schemas.openxmlformats.org/officeDocument/2006/relationships/hyperlink" Id="rId102" Target="https://doi.org/10.1126/science.adi0833" TargetMode="External" /><Relationship Type="http://schemas.openxmlformats.org/officeDocument/2006/relationships/hyperlink" Id="rId66" Target="https://doi.org/10.1126/science.adu0704" TargetMode="External" /><Relationship Type="http://schemas.openxmlformats.org/officeDocument/2006/relationships/hyperlink" Id="rId54" Target="https://doi.org/10.1130/G37624.1" TargetMode="External" /><Relationship Type="http://schemas.openxmlformats.org/officeDocument/2006/relationships/hyperlink" Id="rId131" Target="https://doi.org/10.1130/MEM182-p417" TargetMode="External" /><Relationship Type="http://schemas.openxmlformats.org/officeDocument/2006/relationships/hyperlink" Id="rId64" Target="https://doi.org/10.1146/annurev-earth-072619-060126" TargetMode="External" /><Relationship Type="http://schemas.openxmlformats.org/officeDocument/2006/relationships/hyperlink" Id="rId119" Target="https://doi.org/10.1146/annurev.ecolsys.34.012103.144032" TargetMode="External" /><Relationship Type="http://schemas.openxmlformats.org/officeDocument/2006/relationships/hyperlink" Id="rId90" Target="https://doi.org/10.1371/journal.pbio.3001340" TargetMode="External" /><Relationship Type="http://schemas.openxmlformats.org/officeDocument/2006/relationships/hyperlink" Id="rId92" Target="https://doi.org/10.1371/journal.pone.0332766" TargetMode="External" /><Relationship Type="http://schemas.openxmlformats.org/officeDocument/2006/relationships/hyperlink" Id="rId112" Target="https://doi.org/10.1525/california/9780520268685.003.0018" TargetMode="External" /><Relationship Type="http://schemas.openxmlformats.org/officeDocument/2006/relationships/hyperlink" Id="rId125" Target="https://doi.org/10.1590/S1984-4689.v42.e24051" TargetMode="External" /><Relationship Type="http://schemas.openxmlformats.org/officeDocument/2006/relationships/hyperlink" Id="rId76" Target="https://doi.org/10.2307/1381862" TargetMode="External" /><Relationship Type="http://schemas.openxmlformats.org/officeDocument/2006/relationships/hyperlink" Id="rId48" Target="https://doi.org/10.3389/fgene.2014.00451" TargetMode="External" /><Relationship Type="http://schemas.openxmlformats.org/officeDocument/2006/relationships/hyperlink" Id="rId82"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10" Target="https://eartharxiv.org/repository/view/6269/" TargetMode="External" /><Relationship Type="http://schemas.openxmlformats.org/officeDocument/2006/relationships/hyperlink" Id="rId60" Target="https://link.springer.com/10.1007/978-94-017-9792-4" TargetMode="External" /><Relationship Type="http://schemas.openxmlformats.org/officeDocument/2006/relationships/hyperlink" Id="rId46"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56"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0" Target="http://repository.si.edu/xmlui/handle/10088/35473" TargetMode="External" /><Relationship Type="http://schemas.openxmlformats.org/officeDocument/2006/relationships/hyperlink" Id="rId139" Target="https://CRAN.R-project.org/package=deeptime" TargetMode="External" /><Relationship Type="http://schemas.openxmlformats.org/officeDocument/2006/relationships/hyperlink" Id="rId50" Target="https://doi.org/10.1007/s10914-010-9144-8" TargetMode="External" /><Relationship Type="http://schemas.openxmlformats.org/officeDocument/2006/relationships/hyperlink" Id="rId78" Target="https://doi.org/10.1007/s10914-011-9175-9" TargetMode="External" /><Relationship Type="http://schemas.openxmlformats.org/officeDocument/2006/relationships/hyperlink" Id="rId135" Target="https://doi.org/10.1016/j.earscirev.2021.103617" TargetMode="External" /><Relationship Type="http://schemas.openxmlformats.org/officeDocument/2006/relationships/hyperlink" Id="rId44"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9" Target="https://doi.org/10.1016/j.palaeo.2025.112905" TargetMode="External" /><Relationship Type="http://schemas.openxmlformats.org/officeDocument/2006/relationships/hyperlink" Id="rId58" Target="https://doi.org/10.1017/S0094837300010605" TargetMode="External" /><Relationship Type="http://schemas.openxmlformats.org/officeDocument/2006/relationships/hyperlink" Id="rId98" Target="https://doi.org/10.1038/s41559-023-02220-8" TargetMode="External" /><Relationship Type="http://schemas.openxmlformats.org/officeDocument/2006/relationships/hyperlink" Id="rId69" Target="https://doi.org/10.1038/s41598-020-58575-6" TargetMode="External" /><Relationship Type="http://schemas.openxmlformats.org/officeDocument/2006/relationships/hyperlink" Id="rId80" Target="https://doi.org/10.1038/s41598-022-05266-z" TargetMode="External" /><Relationship Type="http://schemas.openxmlformats.org/officeDocument/2006/relationships/hyperlink" Id="rId84" Target="https://doi.org/10.1038/s44185-024-00045-7" TargetMode="External" /><Relationship Type="http://schemas.openxmlformats.org/officeDocument/2006/relationships/hyperlink" Id="rId108" Target="https://doi.org/10.1038/sdata.2018.214" TargetMode="External" /><Relationship Type="http://schemas.openxmlformats.org/officeDocument/2006/relationships/hyperlink" Id="rId114" Target="https://doi.org/10.1073/pnas.0903811106" TargetMode="External" /><Relationship Type="http://schemas.openxmlformats.org/officeDocument/2006/relationships/hyperlink" Id="rId52" Target="https://doi.org/10.1073/pnas.1423853112" TargetMode="External" /><Relationship Type="http://schemas.openxmlformats.org/officeDocument/2006/relationships/hyperlink" Id="rId62" Target="https://doi.org/10.1073/pnas.2009397117" TargetMode="External" /><Relationship Type="http://schemas.openxmlformats.org/officeDocument/2006/relationships/hyperlink" Id="rId94" Target="https://doi.org/10.1073/pnas.2026347118" TargetMode="External" /><Relationship Type="http://schemas.openxmlformats.org/officeDocument/2006/relationships/hyperlink" Id="rId100" Target="https://doi.org/10.1093/sysbio/syac048" TargetMode="External" /><Relationship Type="http://schemas.openxmlformats.org/officeDocument/2006/relationships/hyperlink" Id="rId88" Target="https://doi.org/10.1111/ecog.06132" TargetMode="External" /><Relationship Type="http://schemas.openxmlformats.org/officeDocument/2006/relationships/hyperlink" Id="rId137" Target="https://doi.org/10.1111/ele.12398" TargetMode="External" /><Relationship Type="http://schemas.openxmlformats.org/officeDocument/2006/relationships/hyperlink" Id="rId72" Target="https://doi.org/10.1111/geb.12504" TargetMode="External" /><Relationship Type="http://schemas.openxmlformats.org/officeDocument/2006/relationships/hyperlink" Id="rId106" Target="https://doi.org/10.1111/geb.13683" TargetMode="External" /><Relationship Type="http://schemas.openxmlformats.org/officeDocument/2006/relationships/hyperlink" Id="rId116" Target="https://doi.org/10.1111/j.1600-0587.2009.06335.x" TargetMode="External" /><Relationship Type="http://schemas.openxmlformats.org/officeDocument/2006/relationships/hyperlink" Id="rId133" Target="https://doi.org/10.1111/jbi.14234" TargetMode="External" /><Relationship Type="http://schemas.openxmlformats.org/officeDocument/2006/relationships/hyperlink" Id="rId74"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121" Target="https://doi.org/10.1126/sciadv.abc6228" TargetMode="External" /><Relationship Type="http://schemas.openxmlformats.org/officeDocument/2006/relationships/hyperlink" Id="rId86" Target="https://doi.org/10.1126/sciadv.abj2271" TargetMode="External" /><Relationship Type="http://schemas.openxmlformats.org/officeDocument/2006/relationships/hyperlink" Id="rId123" Target="https://doi.org/10.1126/science.165.3889.131" TargetMode="External" /><Relationship Type="http://schemas.openxmlformats.org/officeDocument/2006/relationships/hyperlink" Id="rId38" Target="https://doi.org/10.1126/science.aaa2815" TargetMode="External" /><Relationship Type="http://schemas.openxmlformats.org/officeDocument/2006/relationships/hyperlink" Id="rId96" Target="https://doi.org/10.1126/science.adf7122" TargetMode="External" /><Relationship Type="http://schemas.openxmlformats.org/officeDocument/2006/relationships/hyperlink" Id="rId102" Target="https://doi.org/10.1126/science.adi0833" TargetMode="External" /><Relationship Type="http://schemas.openxmlformats.org/officeDocument/2006/relationships/hyperlink" Id="rId66" Target="https://doi.org/10.1126/science.adu0704" TargetMode="External" /><Relationship Type="http://schemas.openxmlformats.org/officeDocument/2006/relationships/hyperlink" Id="rId54" Target="https://doi.org/10.1130/G37624.1" TargetMode="External" /><Relationship Type="http://schemas.openxmlformats.org/officeDocument/2006/relationships/hyperlink" Id="rId131" Target="https://doi.org/10.1130/MEM182-p417" TargetMode="External" /><Relationship Type="http://schemas.openxmlformats.org/officeDocument/2006/relationships/hyperlink" Id="rId64" Target="https://doi.org/10.1146/annurev-earth-072619-060126" TargetMode="External" /><Relationship Type="http://schemas.openxmlformats.org/officeDocument/2006/relationships/hyperlink" Id="rId119" Target="https://doi.org/10.1146/annurev.ecolsys.34.012103.144032" TargetMode="External" /><Relationship Type="http://schemas.openxmlformats.org/officeDocument/2006/relationships/hyperlink" Id="rId90" Target="https://doi.org/10.1371/journal.pbio.3001340" TargetMode="External" /><Relationship Type="http://schemas.openxmlformats.org/officeDocument/2006/relationships/hyperlink" Id="rId92" Target="https://doi.org/10.1371/journal.pone.0332766" TargetMode="External" /><Relationship Type="http://schemas.openxmlformats.org/officeDocument/2006/relationships/hyperlink" Id="rId112" Target="https://doi.org/10.1525/california/9780520268685.003.0018" TargetMode="External" /><Relationship Type="http://schemas.openxmlformats.org/officeDocument/2006/relationships/hyperlink" Id="rId125" Target="https://doi.org/10.1590/S1984-4689.v42.e24051" TargetMode="External" /><Relationship Type="http://schemas.openxmlformats.org/officeDocument/2006/relationships/hyperlink" Id="rId76" Target="https://doi.org/10.2307/1381862" TargetMode="External" /><Relationship Type="http://schemas.openxmlformats.org/officeDocument/2006/relationships/hyperlink" Id="rId48" Target="https://doi.org/10.3389/fgene.2014.00451" TargetMode="External" /><Relationship Type="http://schemas.openxmlformats.org/officeDocument/2006/relationships/hyperlink" Id="rId82"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10" Target="https://eartharxiv.org/repository/view/6269/" TargetMode="External" /><Relationship Type="http://schemas.openxmlformats.org/officeDocument/2006/relationships/hyperlink" Id="rId60" Target="https://link.springer.com/10.1007/978-94-017-9792-4" TargetMode="External" /><Relationship Type="http://schemas.openxmlformats.org/officeDocument/2006/relationships/hyperlink" Id="rId46"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56"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2025-11-03T15:22:14Z</dcterms:created>
  <dcterms:modified xsi:type="dcterms:W3CDTF">2025-11-03T15:22:14Z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