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3.png" ContentType="image/png"/>
  <Override PartName="/word/media/rId171.png" ContentType="image/png"/>
  <Override PartName="/word/media/rId159.png" ContentType="image/png"/>
  <Override PartName="/word/media/rId1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p>
      <w:pPr>
        <w:pStyle w:val="BodyText"/>
      </w:pPr>
      <w:r>
        <w:t xml:space="preserve">* Corresponding author: lucas.l.buffan@gmail.com</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 a greater number of North American lineages established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faunal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continent’s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Quaternary, the ability of migrant lineages to maintain and diversify in the foreign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The prevailing view, proposed by Webb.</w:t>
      </w:r>
      <w:r>
        <w:rPr>
          <w:vertAlign w:val="superscript"/>
        </w:rPr>
        <w:t xml:space="preserve">14</w:t>
      </w:r>
      <w:r>
        <w:t xml:space="preserve"> </w:t>
      </w:r>
      <w:r>
        <w:t xml:space="preserve">and Vrba.</w:t>
      </w:r>
      <w:r>
        <w:rPr>
          <w:vertAlign w:val="superscript"/>
        </w:rPr>
        <w:t xml:space="preserve">24</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32</w:t>
      </w:r>
      <w:r>
        <w:t xml:space="preserve">. Recently, this family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w:t>
      </w:r>
      <w:hyperlink w:anchor="fig-framework">
        <w:r>
          <w:rPr>
            <w:rStyle w:val="Hyperlink"/>
          </w:rPr>
          <w:t xml:space="preserve">Figure 1</w:t>
        </w:r>
      </w:hyperlink>
      <w:r>
        <w:t xml:space="preserve">), the actual colonised area (quantified as the number of colonised cells in our simulations)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S13).</w:t>
      </w:r>
    </w:p>
    <w:p>
      <w:pPr>
        <w:pStyle w:val="BodyText"/>
      </w:pPr>
      <w:r>
        <w:t xml:space="preserve">Besides, contrary to the proportion of colonised area, for a given ancestral continent, colonised 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1" w:name="discussion"/>
    <w:p>
      <w:pPr>
        <w:pStyle w:val="Heading1"/>
      </w:pPr>
      <w:r>
        <w:t xml:space="preserve">Discussion</w:t>
      </w:r>
    </w:p>
    <w:bookmarkStart w:id="27"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Great American Biotic Interchange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foreign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It may suggest that the asymmetric land mammal exchange that resulted from the GABI must have been shaped by additional factors than climate alone.</w:t>
      </w:r>
    </w:p>
    <w:p>
      <w:pPr>
        <w:pStyle w:val="BodyText"/>
      </w:pPr>
      <w:r>
        <w:t xml:space="preserve">Seminal works primarily interpreted the empirically-derived asymmetry of the GABI through the lens of a continent-wide extension of the MacArthur &amp; Wilson’s equilibrium theory</w:t>
      </w:r>
      <w:r>
        <w:rPr>
          <w:vertAlign w:val="superscript"/>
        </w:rPr>
        <w:t xml:space="preserve">44</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km²). In that framework, Marshall et al.</w:t>
      </w:r>
      <w:r>
        <w:rPr>
          <w:vertAlign w:val="superscript"/>
        </w:rPr>
        <w:t xml:space="preserve">2</w:t>
      </w:r>
      <w:r>
        <w:t xml:space="preserve"> </w:t>
      </w:r>
      <w:r>
        <w:t xml:space="preserve">argued that the continent offering the largest pool of taxa – which, according to this prediction, would happen to be North America – would in turn have resulted in the larger number of species exchanged in the end. It might be noticed that species pool imbalance between the two source areas has been identified as a key driver in the faunal exchange asymmetry that contributed to the build-up of the unique biodiversity along the Wallace line</w:t>
      </w:r>
      <w:r>
        <w:rPr>
          <w:vertAlign w:val="superscript"/>
        </w:rPr>
        <w:t xml:space="preserve">36</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suggested by our findings goes in contradiction with the mammal fossil record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w:t>
      </w:r>
      <w:r>
        <w:t xml:space="preserve">, it actually echoes inter-American exchange mechanisms proposed for other groups of vertebrates. For instance, the extant amphibian fauna of South America is almost entirely made up with endemic taxa. By contrast, the North American frog fauna is composed of four families of southern origin, and only three of northern origin</w:t>
      </w:r>
      <w:r>
        <w:rPr>
          <w:vertAlign w:val="superscript"/>
        </w:rPr>
        <w:t xml:space="preserve">47</w:t>
      </w:r>
      <w:r>
        <w:t xml:space="preserve">. Also,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be noted that, due to the requirement for connected freshwater networks, the magnitude of the faunal admixture among freshwater fishes has been greatly limited compared to land groups. Next, despite the enhanced dispersal abilities suggested by the mode of locomotion of birds, phylogenetic evidence have shown a significant influence of the closure of the panamanian seaway in the rates of exchange between both continent’s avifaunas</w:t>
      </w:r>
      <w:r>
        <w:rPr>
          <w:vertAlign w:val="superscript"/>
        </w:rPr>
        <w:t xml:space="preserve">50,51</w:t>
      </w:r>
      <w:r>
        <w:t xml:space="preserve">. In particular, transcontinental exchanges occurred symmetrically among clades inhabting tropical regions, but interestingly, just like land mammals, diversification of extra-tropical groups to tropical regions and further dispersal to the other landmass was strongly asymmetrical in favour of North American taxa</w:t>
      </w:r>
      <w:r>
        <w:rPr>
          <w:vertAlign w:val="superscript"/>
        </w:rPr>
        <w:t xml:space="preserve">49,51</w:t>
      </w:r>
      <w:r>
        <w:t xml:space="preserve">. That being said, notable exceptions of South American groups that successfully diversified in North America (including within temperate regions) exist, such as hummingbirds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52</w:t>
      </w:r>
      <w:r>
        <w:t xml:space="preserve">. However, the lack of fossil record for these groups greatly hampers our understanding of the processes behind their biogeographic history.</w:t>
      </w:r>
    </w:p>
    <w:bookmarkEnd w:id="27"/>
    <w:bookmarkStart w:id="28" w:name="Xcc2378c0a74ed408eb952abc767abbfd2a71b7f"/>
    <w:p>
      <w:pPr>
        <w:pStyle w:val="Heading2"/>
      </w:pPr>
      <w:r>
        <w:t xml:space="preserve">Fate of lineages, niche evolution and geographic lottery</w:t>
      </w:r>
    </w:p>
    <w:p>
      <w:pPr>
        <w:pStyle w:val="FirstParagraph"/>
      </w:pPr>
      <w:r>
        <w:t xml:space="preserve">For the other models, successful colonisations starting from South America colonised a larger number of cells in North America than the other way around (Figure S13).</w:t>
      </w:r>
    </w:p>
    <w:p>
      <w:pPr>
        <w:pStyle w:val="BodyText"/>
      </w:pPr>
      <w:r>
        <w:t xml:space="preserve">The nuance between the proportion of colonised area and the absolute colonised area simply comes from the imbalanced number of pixels between the two landmasses, being around two times larger for North America than for South America (</w:t>
      </w:r>
      <w:hyperlink w:anchor="fig-framework">
        <w:r>
          <w:rPr>
            <w:rStyle w:val="Hyperlink"/>
          </w:rPr>
          <w:t xml:space="preserve">Figure 1</w:t>
        </w:r>
      </w:hyperlink>
      <w:r>
        <w:t xml:space="preserve">). A possible avenue to avoid such confusions when carrying eco-evolutionary simulations at such a broad spatial scale (here from</w:t>
      </w:r>
      <w:r>
        <w:t xml:space="preserve"> </w:t>
      </w:r>
      <w:r>
        <w:rPr>
          <w:i/>
          <w:iCs/>
        </w:rPr>
        <w:t xml:space="preserve">c</w:t>
      </w:r>
      <w:r>
        <w:t xml:space="preserve">. 80 to</w:t>
      </w:r>
      <w:r>
        <w:t xml:space="preserve"> </w:t>
      </w:r>
      <w:r>
        <w:rPr>
          <w:i/>
          <w:iCs/>
        </w:rPr>
        <w:t xml:space="preserve">c</w:t>
      </w:r>
      <w:r>
        <w:t xml:space="preserve">. 40° lat) would be to use equal-area landscapes. In our case, this would require conversions in the palaeoclimate simulations that we use, as well as adapting dispersal probabilities based on</w:t>
      </w:r>
    </w:p>
    <w:p>
      <w:pPr>
        <w:pStyle w:val="BodyText"/>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53</w:t>
      </w:r>
      <w:r>
        <w:t xml:space="preserve">.</w:t>
      </w:r>
      <w:r>
        <w:t xml:space="preserve"> </w:t>
      </w:r>
      <w:r>
        <w:t xml:space="preserve">“</w:t>
      </w:r>
      <w:r>
        <w:t xml:space="preserve">Too far to be exchanged</w:t>
      </w:r>
      <w:r>
        <w:t xml:space="preserve">”</w:t>
      </w:r>
      <w:r>
        <w:t xml:space="preserve">: example of antilocaprids raised by</w:t>
      </w:r>
      <w:r>
        <w:rPr>
          <w:vertAlign w:val="superscript"/>
        </w:rPr>
        <w:t xml:space="preserve">14</w:t>
      </w:r>
      <w:r>
        <w:t xml:space="preserve">. Same for wooly mammoth, reindeers and relatives. All this was used as evidence supporting Simpson’s view of</w:t>
      </w:r>
      <w:r>
        <w:t xml:space="preserve"> </w:t>
      </w:r>
      <w:r>
        <w:t xml:space="preserve">“</w:t>
      </w:r>
      <w:r>
        <w:t xml:space="preserve">fortuitous experiment</w:t>
      </w:r>
      <w:r>
        <w:t xml:space="preserve">”</w:t>
      </w:r>
      <w:r>
        <w:t xml:space="preserve"> </w:t>
      </w:r>
      <w:r>
        <w:t xml:space="preserve">at play during the GABI</w:t>
      </w:r>
      <w:r>
        <w:rPr>
          <w:vertAlign w:val="superscript"/>
        </w:rPr>
        <w:t xml:space="preserve">19,54</w:t>
      </w:r>
      <w:r>
        <w:t xml:space="preserve">.</w:t>
      </w:r>
    </w:p>
    <w:p>
      <w:pPr>
        <w:pStyle w:val="BodyText"/>
      </w:pPr>
      <w:r>
        <w:t xml:space="preserve">It should be mentioned that the behaviour of simulations generated under</w:t>
      </w:r>
      <w:r>
        <w:t xml:space="preserve"> </w:t>
      </w:r>
      <m:oMath>
        <m:r>
          <m:t>M</m:t>
        </m:r>
        <m:r>
          <m:t>3</m:t>
        </m:r>
      </m:oMath>
      <w:r>
        <w:t xml:space="preserve"> </w:t>
      </w:r>
      <w:r>
        <w:t xml:space="preserve">was always strikingly contrasting with the other adaptive scenarios –</w:t>
      </w:r>
      <w:r>
        <w:t xml:space="preserve"> </w:t>
      </w:r>
      <m:oMath>
        <m:r>
          <m:t>M</m:t>
        </m:r>
        <m:r>
          <m:t>1</m:t>
        </m:r>
      </m:oMath>
      <w:r>
        <w:t xml:space="preserve"> </w:t>
      </w:r>
      <w:r>
        <w:t xml:space="preserve">and</w:t>
      </w:r>
      <w:r>
        <w:t xml:space="preserve"> </w:t>
      </w:r>
      <m:oMath>
        <m:r>
          <m:t>M</m:t>
        </m:r>
        <m:r>
          <m:t>2</m:t>
        </m:r>
      </m:oMath>
      <w:r>
        <w:t xml:space="preserve">. This indicates a strong importance of precipitation niche in shaping biogeographic pattern. Parallel with</w:t>
      </w:r>
      <w:r>
        <w:rPr>
          <w:vertAlign w:val="superscript"/>
        </w:rPr>
        <w:t xml:space="preserve">36</w:t>
      </w:r>
    </w:p>
    <w:bookmarkEnd w:id="28"/>
    <w:bookmarkStart w:id="29" w:name="climatic-filtering"/>
    <w:p>
      <w:pPr>
        <w:pStyle w:val="Heading2"/>
      </w:pPr>
      <w:r>
        <w:t xml:space="preserve">Climatic filtering</w:t>
      </w:r>
    </w:p>
    <w:p>
      <w:pPr>
        <w:pStyle w:val="FirstParagraph"/>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North American tropical specialist’s establishment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55</w:t>
      </w:r>
      <w:r>
        <w:t xml:space="preserve">. The latter hypothesis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55</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may in fact reflect an attenuated magnitude of the climatic fragmentation of the isthmian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made up with taxa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equids, proboscids or camelids on the South American side; ground sloths, toxodontids or glyptodontids on the North American. The co-occurrence of distinct taxa in temporally well-delimited fossil assemblages lead palaeontologists to postulate that the GABI was in fact a succession of exchange pulses punctuated by phases of interruption, further related to the climate-driven oscillations between savannah and rainforest in Central America</w:t>
      </w:r>
      <w:r>
        <w:rPr>
          <w:vertAlign w:val="superscript"/>
        </w:rPr>
        <w:t xml:space="preserve">14</w:t>
      </w:r>
      <w:r>
        <w:t xml:space="preserve">. Under such an assumption, the majority of exchanged taxa would therefore have ecologies suited to open habitats, and would preferentially disperse during cold and dry climate intervals</w:t>
      </w:r>
      <w:r>
        <w:rPr>
          <w:vertAlign w:val="superscript"/>
        </w:rPr>
        <w:t xml:space="preserve">11</w:t>
      </w:r>
      <w:r>
        <w:t xml:space="preserve">. That being said, as mentioned by Weir</w:t>
      </w:r>
      <w:r>
        <w:rPr>
          <w:vertAlign w:val="superscript"/>
        </w:rPr>
        <w:t xml:space="preserve">50</w:t>
      </w:r>
      <w:r>
        <w:t xml:space="preserve">, the American mammal fossil record is highly biased, with few occurrences coming from low-latitude tropical regions, which is particularly striking in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56,57</w:t>
      </w:r>
      <w:r>
        <w:t xml:space="preserve">. Furthermore, evidence from extant mammal taxa suggest a strong tropical niche conservatism, that is, the trend according to which tropical taxa would remain inhabiting under tropical climates</w:t>
      </w:r>
      <w:r>
        <w:rPr>
          <w:vertAlign w:val="superscript"/>
        </w:rPr>
        <w:t xml:space="preserve">49,58</w:t>
      </w:r>
      <w:r>
        <w:t xml:space="preserve">. Thus, the fossil-derived number of mammal exchanges must have been greatly underestimated, with little fossil evidence of interchange constrained to the tropical biome. Could the empirically-derived migration imbalance in favour of North American taxa dispersing southwards be altered by the tropical niche conservatism of south-to-north migrants, further obscuring the actual count of inter-continental exchanges?</w:t>
      </w:r>
    </w:p>
    <w:p>
      <w:pPr>
        <w:pStyle w:val="BodyText"/>
      </w:pPr>
      <w:r>
        <w:t xml:space="preserve">Our findings revealed that radiations following a colonisation of South America were more spatially spread than those arising from a northwards dispersal, except for simulations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A). Spatial spreading of a migrant radiation was measured by the proportion of cells occupied within the foreign continent relative to the size of the latter. That being said, when focusing on the absolute number of cells colonised – therefore without controlling for the area, in terms of number of cells, of the foreign continent – such a finding only holds for successful simulations generated under</w:t>
      </w:r>
      <w:r>
        <w:t xml:space="preserve"> </w:t>
      </w:r>
      <m:oMath>
        <m:r>
          <m:t>M</m:t>
        </m:r>
        <m:r>
          <m:t>0</m:t>
        </m:r>
      </m:oMath>
      <w:r>
        <w:t xml:space="preserve"> </w:t>
      </w:r>
      <w:r>
        <w:t xml:space="preserve">(Figure S13). This mirrors the fact that simulated tropical specialists from South America were more intensively exchanged than other simulated biome specialists (</w:t>
      </w:r>
      <w:r>
        <w:rPr>
          <w:b/>
          <w:bCs/>
        </w:rPr>
        <w:t xml:space="preserve">?@fig-biomes</w:t>
      </w:r>
      <w:r>
        <w:t xml:space="preserve"> </w:t>
      </w:r>
      <w:r>
        <w:t xml:space="preserve">C). Their imposed tropical niche conservatism therefore constrained them to stay in tropical regions of North America, that are less reprensented in tropical North America than in South America (</w:t>
      </w:r>
      <w:r>
        <w:rPr>
          <w:b/>
          <w:bCs/>
        </w:rPr>
        <w:t xml:space="preserve">?@fig-biomes</w:t>
      </w:r>
      <w:r>
        <w:t xml:space="preserve"> </w:t>
      </w:r>
      <w:r>
        <w:t xml:space="preserve">A). This adds some evidence supporting the fact that South-to-North tropical exchanges most likely took place, but have been obscured by further taphonomic bias. Hence, our study calls for the thinking about the distinction between the ability to disperse towards, and ability to maintain within the foreign area. Those two distinct processes may have been ruled by different factors.</w:t>
      </w:r>
    </w:p>
    <w:p>
      <w:pPr>
        <w:pStyle w:val="BodyText"/>
      </w:pPr>
      <w:r>
        <w:t xml:space="preserve">We tested tropical niche conservatism (Figure S12 and S14)</w:t>
      </w:r>
    </w:p>
    <w:p>
      <w:pPr>
        <w:pStyle w:val="BodyText"/>
      </w:pPr>
      <w:r>
        <w:t xml:space="preserve">Our simulations cast doubt on the interplay between the aforementioned exchange pulses and temperature fluctuations, as exemplified by the combined times of occurrence of all successful exchanges (either southwards or northwards, depending on whether the simulation started from North or South America) occurring in all the simulations generated under a given landmass-scenario combination (Figure S11). In the case of northwards dispersal events, a gradual increase in exchange frequency from the Plio-Pleistocene boundary onwards is to be reported (Figure S11,</w:t>
      </w:r>
      <w:r>
        <w:t xml:space="preserve"> </w:t>
      </w:r>
      <w:r>
        <w:rPr>
          <w:i/>
          <w:iCs/>
        </w:rPr>
        <w:t xml:space="preserve">right</w:t>
      </w:r>
      <w:r>
        <w:t xml:space="preserve">). This might reflect the average waiting time that virtual radiations take to reach the isthmian zone, directly proportional to their initial distance to the isthmus (Figure S4−5). Note that this explanation does not invoke any implication of climate. Regarding southwards exchanges, the same pattern seems to arise for simulations generated under the</w:t>
      </w:r>
      <w:r>
        <w:t xml:space="preserve"> </w:t>
      </w:r>
      <m:oMath>
        <m:r>
          <m:t>M</m:t>
        </m:r>
        <m:r>
          <m:t>1</m:t>
        </m:r>
      </m:oMath>
      <w:r>
        <w:t xml:space="preserve"> </w:t>
      </w:r>
      <w:r>
        <w:t xml:space="preserve">model, but not under</w:t>
      </w:r>
      <w:r>
        <w:t xml:space="preserve"> </w:t>
      </w:r>
      <m:oMath>
        <m:r>
          <m:t>M</m:t>
        </m:r>
        <m:r>
          <m:t>0</m:t>
        </m:r>
      </m:oMath>
      <w:r>
        <w:t xml:space="preserve"> </w:t>
      </w:r>
      <w:r>
        <w:t xml:space="preserve">(Figure S11). The distribution of the exchange times in the latter case rather exhibits sporadic pulses</w:t>
      </w:r>
      <w:r>
        <w:t xml:space="preserve"> </w:t>
      </w:r>
      <w:r>
        <w:rPr>
          <w:i/>
          <w:iCs/>
        </w:rPr>
        <w:t xml:space="preserve">c.</w:t>
      </w:r>
      <w:r>
        <w:t xml:space="preserve"> </w:t>
      </w:r>
      <w:r>
        <w:t xml:space="preserve">0.2, 0.5, 0.8, 1.2, 1.9, 2.5 million years ago. Those could match with some temperature minima, but accurately testing such an observation would require additional data. Rather, the sporadic character of exchange pulses in that case could simply come from the relatively low amount of successful simulations as compared to other modelling scenarios (Table S3). All in all, our simulations suggest that the relationship between temperature minima and pulses of faunal exchange between the Americas seems to be more complex than previously stated</w:t>
      </w:r>
      <w:r>
        <w:rPr>
          <w:vertAlign w:val="superscript"/>
        </w:rPr>
        <w:t xml:space="preserve">11,</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14,24,29,30</w:t>
      </w:r>
      <w:r>
        <w:t xml:space="preserve">.</w:t>
      </w:r>
    </w:p>
    <w:bookmarkEnd w:id="29"/>
    <w:bookmarkStart w:id="30" w:name="limitations-and-perspectives"/>
    <w:p>
      <w:pPr>
        <w:pStyle w:val="Heading2"/>
      </w:pPr>
      <w:r>
        <w:t xml:space="preserve">Limitations and perspectives</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vertAlign w:val="superscript"/>
        </w:rPr>
        <w:t xml:space="preserve">2</w:t>
      </w:r>
      <w:r>
        <w:t xml:space="preserve"> </w:t>
      </w:r>
      <w:r>
        <w:t xml:space="preserve">highlighted that northern immigrant genera experienced notoriously higher origination and lower extinction rates than native lineages in South America. More recently, using a Bayesian framework accounting for preservation heterogeneities to infer fossil-based macroevolutionary trends, Carrillo</w:t>
      </w:r>
      <w:r>
        <w:rPr>
          <w:vertAlign w:val="superscript"/>
        </w:rPr>
        <w:t xml:space="preserve">16</w:t>
      </w:r>
      <w:r>
        <w:t xml:space="preserve"> </w:t>
      </w:r>
      <w:r>
        <w:t xml:space="preserve">showed that the asymmetry of the GABI was not due to differences in origination or dispersal rates, but rather in extinction rates, with native South American lineages experiencing more extinctions in their home range than migrant lineages. In gen3sis, for a species to go extinct, it needs to disappear from each of the cells it occupies across the landscape. As environmental filtering – in our case, the only force driving diversification – acts at the scale of a pixel, species extinction is therefore very rare. As a result, our framework did not allow us to relate the simulated environment-dependent inter-american faunal exchange with any diversification process. Realistic modelling of macroevolutionary processes is therefore an avenue towards improvements among mechanistic eco-evolutionary simulators.</w:t>
      </w:r>
    </w:p>
    <w:p>
      <w:pPr>
        <w:pStyle w:val="BodyText"/>
      </w:pPr>
      <w:r>
        <w:t xml:space="preserve">In addition, the overall message of our study is that climate alone is not sufficient to explain the asymmetry of the GABI. This suggests that other factors, unaccounted here, might have been at work to shape the uneven faunal exchange that occurred across the Americas.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59</w:t>
      </w:r>
      <w:r>
        <w:t xml:space="preserve"> </w:t>
      </w:r>
      <w:r>
        <w:t xml:space="preserve">– that followed the establishment of northern lineages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Convinced that the overwhelming success of North American mammals in South America could</w:t>
      </w:r>
      <w:r>
        <w:t xml:space="preserve"> </w:t>
      </w:r>
      <w:r>
        <w:t xml:space="preserve">“</w:t>
      </w:r>
      <w:r>
        <w:t xml:space="preserve">not be pure coincidence</w:t>
      </w:r>
      <w:r>
        <w:t xml:space="preserve">”</w:t>
      </w:r>
      <w:r>
        <w:t xml:space="preserve">, Simpson</w:t>
      </w:r>
      <w:r>
        <w:rPr>
          <w:vertAlign w:val="superscript"/>
        </w:rPr>
        <w:t xml:space="preserve">60</w:t>
      </w:r>
      <w:r>
        <w:t xml:space="preserve"> </w:t>
      </w:r>
      <w:r>
        <w:t xml:space="preserve">proposed that the this imbalance to come from the different levels of connectivity with other landmasses between North and South America throughout the Cenozoic. Whereas South America mostly evolved in a vaccum, North America has been repeatedly connected to other landmasses, promoting faunal exchanges. Lineages that maintained in the aftermath of such connection therefore had to cope with eventual competition with other groups, which was not the case of South American fauna. However, several process-based analyses of the fossil record provided no evidence for biotic interactions involving native South American mammals and their northern counterparts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25,26</w:t>
      </w:r>
      <w:r>
        <w:t xml:space="preserve">. Hence, incorporating biotic compounds in mechanistic frameworks such as the one we have implemented here would be a worth way-to-go for future studies tackling the asymmetry behind the GABI.</w:t>
      </w:r>
    </w:p>
    <w:p>
      <w:pPr>
        <w:pStyle w:val="BodyText"/>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to the main trigger of the GABI</w:t>
      </w:r>
      <w:r>
        <w:rPr>
          <w:vertAlign w:val="superscript"/>
        </w:rPr>
        <w:t xml:space="preserve">2</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61,62</w:t>
      </w:r>
      <w:r>
        <w:t xml:space="preserve">. Although over-water dispersal has long been regarded as the prevailing mechanism</w:t>
      </w:r>
      <w:r>
        <w:rPr>
          <w:vertAlign w:val="superscript"/>
        </w:rPr>
        <w:t xml:space="preserve">61</w:t>
      </w:r>
      <w:r>
        <w:t xml:space="preserve">, recent geological advances have provided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63</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64</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km²). Propose improvements relying on equal-area landscape, suggesting adapting palaeoclimate outputs accordingly.</w:t>
      </w:r>
    </w:p>
    <w:p>
      <w:r>
        <w:br w:type="page"/>
      </w:r>
    </w:p>
    <w:bookmarkEnd w:id="30"/>
    <w:bookmarkEnd w:id="31"/>
    <w:bookmarkStart w:id="32" w:name="acknowledgements"/>
    <w:p>
      <w:pPr>
        <w:pStyle w:val="Heading1"/>
      </w:pPr>
      <w:r>
        <w:t xml:space="preserve">Acknowledgements</w:t>
      </w:r>
    </w:p>
    <w:p>
      <w:pPr>
        <w:pStyle w:val="FirstParagraph"/>
      </w:pPr>
      <w:r>
        <w:t xml:space="preserve">We thank Adrián Castro Insua for his useful guidelines and recommendations at the onset of the project. We thank Céline Devaux for her useful comments on the present work.</w:t>
      </w:r>
    </w:p>
    <w:p>
      <w:r>
        <w:br w:type="page"/>
      </w:r>
    </w:p>
    <w:bookmarkEnd w:id="32"/>
    <w:bookmarkStart w:id="158" w:name="references"/>
    <w:p>
      <w:pPr>
        <w:pStyle w:val="Heading1"/>
      </w:pPr>
      <w:r>
        <w:t xml:space="preserve">References</w:t>
      </w:r>
    </w:p>
    <w:bookmarkStart w:id="157" w:name="refs"/>
    <w:bookmarkStart w:id="34" w:name="ref-webb1976"/>
    <w:p>
      <w:pPr>
        <w:pStyle w:val="Bibliography"/>
      </w:pPr>
      <w:r>
        <w:t xml:space="preserve">1.</w:t>
      </w:r>
      <w:r>
        <w:t xml:space="preserve"> </w:t>
      </w:r>
      <w:r>
        <w:t xml:space="preserve">	</w:t>
      </w:r>
      <w:r>
        <w:t xml:space="preserve">Webb, S.D. (1976).</w:t>
      </w:r>
      <w:r>
        <w:t xml:space="preserve"> </w:t>
      </w:r>
      <w:hyperlink r:id="rId33">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34"/>
    <w:bookmarkStart w:id="36" w:name="ref-marshall1982"/>
    <w:p>
      <w:pPr>
        <w:pStyle w:val="Bibliography"/>
      </w:pPr>
      <w:r>
        <w:t xml:space="preserve">2.</w:t>
      </w:r>
      <w:r>
        <w:t xml:space="preserve"> </w:t>
      </w:r>
      <w:r>
        <w:t xml:space="preserve">	</w:t>
      </w:r>
      <w:r>
        <w:t xml:space="preserve">Marshall, L.G., Webb, S.D., Sepkoski, J.J., and Raup, D.M. (1982).</w:t>
      </w:r>
      <w:r>
        <w:t xml:space="preserve"> </w:t>
      </w:r>
      <w:hyperlink r:id="rId35">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6"/>
    <w:bookmarkStart w:id="38" w:name="ref-stehli_great_1985"/>
    <w:p>
      <w:pPr>
        <w:pStyle w:val="Bibliography"/>
      </w:pPr>
      <w:r>
        <w:t xml:space="preserve">3.</w:t>
      </w:r>
      <w:r>
        <w:t xml:space="preserve"> </w:t>
      </w:r>
      <w:r>
        <w:t xml:space="preserve">	</w:t>
      </w:r>
      <w:r>
        <w:t xml:space="preserve">Stehli, F.G., and Webb, S.D. eds. (1985). The great american biotic interchange Plenum Press. (Springer</w:t>
      </w:r>
      <w:r>
        <w:t xml:space="preserve"> </w:t>
      </w:r>
      <w:r>
        <w:t xml:space="preserve">US</w:t>
      </w:r>
      <w:r>
        <w:t xml:space="preserve">)</w:t>
      </w:r>
      <w:r>
        <w:t xml:space="preserve"> </w:t>
      </w:r>
      <w:hyperlink r:id="rId37">
        <w:r>
          <w:rPr>
            <w:rStyle w:val="Hyperlink"/>
          </w:rPr>
          <w:t xml:space="preserve">https://doi.org/10.1007/978-1-4684-9181-4</w:t>
        </w:r>
      </w:hyperlink>
      <w:r>
        <w:t xml:space="preserve">.</w:t>
      </w:r>
    </w:p>
    <w:bookmarkEnd w:id="38"/>
    <w:bookmarkStart w:id="40"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9">
        <w:r>
          <w:rPr>
            <w:rStyle w:val="Hyperlink"/>
          </w:rPr>
          <w:t xml:space="preserve">https://doi.org/10.1126/science.aaa2815</w:t>
        </w:r>
      </w:hyperlink>
      <w:r>
        <w:t xml:space="preserve">.</w:t>
      </w:r>
    </w:p>
    <w:bookmarkEnd w:id="40"/>
    <w:bookmarkStart w:id="42" w:name="ref-jaramillo2018"/>
    <w:p>
      <w:pPr>
        <w:pStyle w:val="Bibliography"/>
      </w:pPr>
      <w:r>
        <w:t xml:space="preserve">5.</w:t>
      </w:r>
      <w:r>
        <w:t xml:space="preserve"> </w:t>
      </w:r>
      <w:r>
        <w:t xml:space="preserve">	</w:t>
      </w:r>
      <w:r>
        <w:t xml:space="preserve">Jaramillo, C.A. (2018).</w:t>
      </w:r>
      <w:r>
        <w:t xml:space="preserve"> </w:t>
      </w:r>
      <w:hyperlink r:id="rId41">
        <w:r>
          <w:rPr>
            <w:rStyle w:val="Hyperlink"/>
          </w:rPr>
          <w:t xml:space="preserve">Evolution of the isthmus of panama: Biological, paleoceanographic and paleoclimatological implications</w:t>
        </w:r>
      </w:hyperlink>
      <w:r>
        <w:t xml:space="preserve">. In (John Wiley &amp; Sons).</w:t>
      </w:r>
    </w:p>
    <w:bookmarkEnd w:id="42"/>
    <w:bookmarkStart w:id="44"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3">
        <w:r>
          <w:rPr>
            <w:rStyle w:val="Hyperlink"/>
          </w:rPr>
          <w:t xml:space="preserve">https://doi.org/10.1126/sciadv.1600883</w:t>
        </w:r>
      </w:hyperlink>
      <w:r>
        <w:t xml:space="preserve">.</w:t>
      </w:r>
    </w:p>
    <w:bookmarkEnd w:id="44"/>
    <w:bookmarkStart w:id="46" w:name="ref-bourke2025"/>
    <w:p>
      <w:pPr>
        <w:pStyle w:val="Bibliography"/>
      </w:pPr>
      <w:r>
        <w:t xml:space="preserve">7.</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5">
        <w:r>
          <w:rPr>
            <w:rStyle w:val="Hyperlink"/>
          </w:rPr>
          <w:t xml:space="preserve">https://doi.org/10.1029/2025GC012288</w:t>
        </w:r>
      </w:hyperlink>
      <w:r>
        <w:t xml:space="preserve">.</w:t>
      </w:r>
    </w:p>
    <w:bookmarkEnd w:id="46"/>
    <w:bookmarkStart w:id="48" w:name="ref-verzi2008"/>
    <w:p>
      <w:pPr>
        <w:pStyle w:val="Bibliography"/>
      </w:pPr>
      <w:r>
        <w:t xml:space="preserve">8.</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7">
        <w:r>
          <w:rPr>
            <w:rStyle w:val="Hyperlink"/>
          </w:rPr>
          <w:t xml:space="preserve">https://doi.org/10.1016/j.geobios.2006.09.005</w:t>
        </w:r>
      </w:hyperlink>
      <w:r>
        <w:t xml:space="preserve">.</w:t>
      </w:r>
    </w:p>
    <w:bookmarkEnd w:id="48"/>
    <w:bookmarkStart w:id="50"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49">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0"/>
    <w:bookmarkStart w:id="52" w:name="ref-carrillo2015"/>
    <w:p>
      <w:pPr>
        <w:pStyle w:val="Bibliography"/>
      </w:pPr>
      <w:r>
        <w:t xml:space="preserve">10.</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1">
        <w:r>
          <w:rPr>
            <w:rStyle w:val="Hyperlink"/>
          </w:rPr>
          <w:t xml:space="preserve">https://doi.org/10.3389/fgene.2014.00451</w:t>
        </w:r>
      </w:hyperlink>
      <w:r>
        <w:t xml:space="preserve">.</w:t>
      </w:r>
    </w:p>
    <w:bookmarkEnd w:id="52"/>
    <w:bookmarkStart w:id="54" w:name="ref-woodburne2010"/>
    <w:p>
      <w:pPr>
        <w:pStyle w:val="Bibliography"/>
      </w:pPr>
      <w:r>
        <w:t xml:space="preserve">11.</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3">
        <w:r>
          <w:rPr>
            <w:rStyle w:val="Hyperlink"/>
          </w:rPr>
          <w:t xml:space="preserve">https://doi.org/10.1007/s10914-010-9144-8</w:t>
        </w:r>
      </w:hyperlink>
      <w:r>
        <w:t xml:space="preserve">.</w:t>
      </w:r>
    </w:p>
    <w:bookmarkEnd w:id="54"/>
    <w:bookmarkStart w:id="56" w:name="ref-bacon2015"/>
    <w:p>
      <w:pPr>
        <w:pStyle w:val="Bibliography"/>
      </w:pPr>
      <w:r>
        <w:t xml:space="preserve">12.</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5">
        <w:r>
          <w:rPr>
            <w:rStyle w:val="Hyperlink"/>
          </w:rPr>
          <w:t xml:space="preserve">https://doi.org/10.1073/pnas.1423853112</w:t>
        </w:r>
      </w:hyperlink>
      <w:r>
        <w:t xml:space="preserve">.</w:t>
      </w:r>
    </w:p>
    <w:bookmarkEnd w:id="56"/>
    <w:bookmarkStart w:id="58" w:name="ref-bacon2016"/>
    <w:p>
      <w:pPr>
        <w:pStyle w:val="Bibliography"/>
      </w:pPr>
      <w:r>
        <w:t xml:space="preserve">13.</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7">
        <w:r>
          <w:rPr>
            <w:rStyle w:val="Hyperlink"/>
          </w:rPr>
          <w:t xml:space="preserve">https://doi.org/10.1130/G37624.1</w:t>
        </w:r>
      </w:hyperlink>
      <w:r>
        <w:t xml:space="preserve">.</w:t>
      </w:r>
    </w:p>
    <w:bookmarkEnd w:id="58"/>
    <w:bookmarkStart w:id="60" w:name="ref-webb1991"/>
    <w:p>
      <w:pPr>
        <w:pStyle w:val="Bibliography"/>
      </w:pPr>
      <w:r>
        <w:t xml:space="preserve">14.</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9">
        <w:r>
          <w:rPr>
            <w:rStyle w:val="Hyperlink"/>
          </w:rPr>
          <w:t xml:space="preserve">https://doi.org/10.1017/S0094837300010605</w:t>
        </w:r>
      </w:hyperlink>
      <w:r>
        <w:t xml:space="preserve">.</w:t>
      </w:r>
    </w:p>
    <w:bookmarkEnd w:id="60"/>
    <w:bookmarkStart w:id="62"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1">
        <w:r>
          <w:rPr>
            <w:rStyle w:val="Hyperlink"/>
          </w:rPr>
          <w:t xml:space="preserve">The Great American Biotic Interchange: A South American Perspective</w:t>
        </w:r>
      </w:hyperlink>
      <w:r>
        <w:t xml:space="preserve"> </w:t>
      </w:r>
      <w:r>
        <w:t xml:space="preserve">(Springer Netherlands).</w:t>
      </w:r>
    </w:p>
    <w:bookmarkEnd w:id="62"/>
    <w:bookmarkStart w:id="64" w:name="ref-carrillo2020"/>
    <w:p>
      <w:pPr>
        <w:pStyle w:val="Bibliography"/>
      </w:pPr>
      <w:r>
        <w:t xml:space="preserve">16.</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3">
        <w:r>
          <w:rPr>
            <w:rStyle w:val="Hyperlink"/>
          </w:rPr>
          <w:t xml:space="preserve">https://doi.org/10.1073/pnas.2009397117</w:t>
        </w:r>
      </w:hyperlink>
      <w:r>
        <w:t xml:space="preserve">.</w:t>
      </w:r>
    </w:p>
    <w:bookmarkEnd w:id="64"/>
    <w:bookmarkStart w:id="66" w:name="ref-croft2020"/>
    <w:p>
      <w:pPr>
        <w:pStyle w:val="Bibliography"/>
      </w:pPr>
      <w:r>
        <w:t xml:space="preserve">17.</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5">
        <w:r>
          <w:rPr>
            <w:rStyle w:val="Hyperlink"/>
          </w:rPr>
          <w:t xml:space="preserve">https://doi.org/10.1146/annurev-earth-072619-060126</w:t>
        </w:r>
      </w:hyperlink>
      <w:r>
        <w:t xml:space="preserve">.</w:t>
      </w:r>
    </w:p>
    <w:bookmarkEnd w:id="66"/>
    <w:bookmarkStart w:id="68"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7">
        <w:r>
          <w:rPr>
            <w:rStyle w:val="Hyperlink"/>
          </w:rPr>
          <w:t xml:space="preserve">https://doi.org/10.1126/science.adu0704</w:t>
        </w:r>
      </w:hyperlink>
      <w:r>
        <w:t xml:space="preserve">.</w:t>
      </w:r>
    </w:p>
    <w:bookmarkEnd w:id="68"/>
    <w:bookmarkStart w:id="69" w:name="ref-simpson1980"/>
    <w:p>
      <w:pPr>
        <w:pStyle w:val="Bibliography"/>
      </w:pPr>
      <w:r>
        <w:t xml:space="preserve">19.</w:t>
      </w:r>
      <w:r>
        <w:t xml:space="preserve"> </w:t>
      </w:r>
      <w:r>
        <w:t xml:space="preserve">	</w:t>
      </w:r>
      <w:r>
        <w:t xml:space="preserve">Simpson, G.G. (1980). Splendid isolation : The curious history of south american mammals Yale University Press, New Haven.</w:t>
      </w:r>
    </w:p>
    <w:bookmarkEnd w:id="69"/>
    <w:bookmarkStart w:id="71" w:name="ref-domingo2020"/>
    <w:p>
      <w:pPr>
        <w:pStyle w:val="Bibliography"/>
      </w:pPr>
      <w:r>
        <w:t xml:space="preserve">20.</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0">
        <w:r>
          <w:rPr>
            <w:rStyle w:val="Hyperlink"/>
          </w:rPr>
          <w:t xml:space="preserve">https://doi.org/10.1038/s41598-020-58575-6</w:t>
        </w:r>
      </w:hyperlink>
      <w:r>
        <w:t xml:space="preserve">.</w:t>
      </w:r>
    </w:p>
    <w:bookmarkEnd w:id="71"/>
    <w:bookmarkStart w:id="72" w:name="ref-marshall1990"/>
    <w:p>
      <w:pPr>
        <w:pStyle w:val="Bibliography"/>
      </w:pPr>
      <w:r>
        <w:t xml:space="preserve">21.</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2"/>
    <w:bookmarkStart w:id="74" w:name="ref-faurby2016"/>
    <w:p>
      <w:pPr>
        <w:pStyle w:val="Bibliography"/>
      </w:pPr>
      <w:r>
        <w:t xml:space="preserve">22.</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3">
        <w:r>
          <w:rPr>
            <w:rStyle w:val="Hyperlink"/>
          </w:rPr>
          <w:t xml:space="preserve">https://doi.org/10.1111/geb.12504</w:t>
        </w:r>
      </w:hyperlink>
      <w:r>
        <w:t xml:space="preserve">.</w:t>
      </w:r>
    </w:p>
    <w:bookmarkEnd w:id="74"/>
    <w:bookmarkStart w:id="76"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5">
        <w:r>
          <w:rPr>
            <w:rStyle w:val="Hyperlink"/>
          </w:rPr>
          <w:t xml:space="preserve">https://doi.org/10.1111/pala.70012</w:t>
        </w:r>
      </w:hyperlink>
      <w:r>
        <w:t xml:space="preserve">.</w:t>
      </w:r>
    </w:p>
    <w:bookmarkEnd w:id="76"/>
    <w:bookmarkStart w:id="78" w:name="ref-vrba1992"/>
    <w:p>
      <w:pPr>
        <w:pStyle w:val="Bibliography"/>
      </w:pPr>
      <w:r>
        <w:t xml:space="preserve">24.</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7">
        <w:r>
          <w:rPr>
            <w:rStyle w:val="Hyperlink"/>
          </w:rPr>
          <w:t xml:space="preserve">https://doi.org/10.2307/1381862</w:t>
        </w:r>
      </w:hyperlink>
      <w:r>
        <w:t xml:space="preserve">.</w:t>
      </w:r>
    </w:p>
    <w:bookmarkEnd w:id="78"/>
    <w:bookmarkStart w:id="80" w:name="ref-prevosti2013"/>
    <w:p>
      <w:pPr>
        <w:pStyle w:val="Bibliography"/>
      </w:pPr>
      <w:r>
        <w:t xml:space="preserve">25.</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9">
        <w:r>
          <w:rPr>
            <w:rStyle w:val="Hyperlink"/>
          </w:rPr>
          <w:t xml:space="preserve">https://doi.org/10.1007/s10914-011-9175-9</w:t>
        </w:r>
      </w:hyperlink>
      <w:r>
        <w:t xml:space="preserve">.</w:t>
      </w:r>
    </w:p>
    <w:bookmarkEnd w:id="80"/>
    <w:bookmarkStart w:id="82" w:name="ref-tarquini2022"/>
    <w:p>
      <w:pPr>
        <w:pStyle w:val="Bibliography"/>
      </w:pPr>
      <w:r>
        <w:t xml:space="preserve">26.</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1">
        <w:r>
          <w:rPr>
            <w:rStyle w:val="Hyperlink"/>
          </w:rPr>
          <w:t xml:space="preserve">https://doi.org/10.1038/s41598-022-05266-z</w:t>
        </w:r>
      </w:hyperlink>
      <w:r>
        <w:t xml:space="preserve">.</w:t>
      </w:r>
    </w:p>
    <w:bookmarkEnd w:id="82"/>
    <w:bookmarkStart w:id="84" w:name="ref-marsà2025"/>
    <w:p>
      <w:pPr>
        <w:pStyle w:val="Bibliography"/>
      </w:pPr>
      <w:r>
        <w:t xml:space="preserve">27.</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3">
        <w:r>
          <w:rPr>
            <w:rStyle w:val="Hyperlink"/>
          </w:rPr>
          <w:t xml:space="preserve">https://doi.org/10.3390/d17030153</w:t>
        </w:r>
      </w:hyperlink>
      <w:r>
        <w:t xml:space="preserve">.</w:t>
      </w:r>
    </w:p>
    <w:bookmarkEnd w:id="84"/>
    <w:bookmarkStart w:id="86" w:name="ref-freitas-oliveira_no_2024"/>
    <w:p>
      <w:pPr>
        <w:pStyle w:val="Bibliography"/>
      </w:pPr>
      <w:r>
        <w:t xml:space="preserve">28.</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5">
        <w:r>
          <w:rPr>
            <w:rStyle w:val="Hyperlink"/>
          </w:rPr>
          <w:t xml:space="preserve">https://doi.org/10.1038/s44185-024-00045-7</w:t>
        </w:r>
      </w:hyperlink>
      <w:r>
        <w:t xml:space="preserve">.</w:t>
      </w:r>
    </w:p>
    <w:bookmarkEnd w:id="86"/>
    <w:bookmarkStart w:id="87" w:name="ref-freitas-oliveira2024"/>
    <w:p>
      <w:pPr>
        <w:pStyle w:val="Bibliography"/>
      </w:pPr>
      <w:r>
        <w:t xml:space="preserve">29.</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5">
        <w:r>
          <w:rPr>
            <w:rStyle w:val="Hyperlink"/>
          </w:rPr>
          <w:t xml:space="preserve">https://doi.org/10.1038/s44185-024-00045-7</w:t>
        </w:r>
      </w:hyperlink>
      <w:r>
        <w:t xml:space="preserve">.</w:t>
      </w:r>
    </w:p>
    <w:bookmarkEnd w:id="87"/>
    <w:bookmarkStart w:id="89" w:name="ref-freitas-oliveira2025"/>
    <w:p>
      <w:pPr>
        <w:pStyle w:val="Bibliography"/>
      </w:pPr>
      <w:r>
        <w:t xml:space="preserve">30.</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88">
        <w:r>
          <w:rPr>
            <w:rStyle w:val="Hyperlink"/>
          </w:rPr>
          <w:t xml:space="preserve">https://doi.org/10.1098/rspb.2025.1745</w:t>
        </w:r>
      </w:hyperlink>
      <w:r>
        <w:t xml:space="preserve">.</w:t>
      </w:r>
    </w:p>
    <w:bookmarkEnd w:id="89"/>
    <w:bookmarkStart w:id="91" w:name="ref-pilowsky2022"/>
    <w:p>
      <w:pPr>
        <w:pStyle w:val="Bibliography"/>
      </w:pPr>
      <w:r>
        <w:t xml:space="preserve">31.</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0">
        <w:r>
          <w:rPr>
            <w:rStyle w:val="Hyperlink"/>
          </w:rPr>
          <w:t xml:space="preserve">https://doi.org/10.1126/sciadv.abj2271</w:t>
        </w:r>
      </w:hyperlink>
      <w:r>
        <w:t xml:space="preserve">.</w:t>
      </w:r>
    </w:p>
    <w:bookmarkEnd w:id="91"/>
    <w:bookmarkStart w:id="93" w:name="ref-hagen2023"/>
    <w:p>
      <w:pPr>
        <w:pStyle w:val="Bibliography"/>
      </w:pPr>
      <w:r>
        <w:t xml:space="preserve">32.</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2">
        <w:r>
          <w:rPr>
            <w:rStyle w:val="Hyperlink"/>
          </w:rPr>
          <w:t xml:space="preserve">https://doi.org/10.1111/ecog.06132</w:t>
        </w:r>
      </w:hyperlink>
      <w:r>
        <w:t xml:space="preserve">.</w:t>
      </w:r>
    </w:p>
    <w:bookmarkEnd w:id="93"/>
    <w:bookmarkStart w:id="95" w:name="ref-hagen2021"/>
    <w:p>
      <w:pPr>
        <w:pStyle w:val="Bibliography"/>
      </w:pPr>
      <w:r>
        <w:t xml:space="preserve">33.</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4">
        <w:r>
          <w:rPr>
            <w:rStyle w:val="Hyperlink"/>
          </w:rPr>
          <w:t xml:space="preserve">https://doi.org/10.1371/journal.pbio.3001340</w:t>
        </w:r>
      </w:hyperlink>
      <w:r>
        <w:t xml:space="preserve">.</w:t>
      </w:r>
    </w:p>
    <w:bookmarkEnd w:id="95"/>
    <w:bookmarkStart w:id="97" w:name="ref-lorcery2025"/>
    <w:p>
      <w:pPr>
        <w:pStyle w:val="Bibliography"/>
      </w:pPr>
      <w:r>
        <w:t xml:space="preserve">34.</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6">
        <w:r>
          <w:rPr>
            <w:rStyle w:val="Hyperlink"/>
          </w:rPr>
          <w:t xml:space="preserve">https://doi.org/10.1371/journal.pone.0332766</w:t>
        </w:r>
      </w:hyperlink>
      <w:r>
        <w:t xml:space="preserve">.</w:t>
      </w:r>
    </w:p>
    <w:bookmarkEnd w:id="97"/>
    <w:bookmarkStart w:id="99" w:name="ref-hagen2021b"/>
    <w:p>
      <w:pPr>
        <w:pStyle w:val="Bibliography"/>
      </w:pPr>
      <w:r>
        <w:t xml:space="preserve">35.</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8">
        <w:r>
          <w:rPr>
            <w:rStyle w:val="Hyperlink"/>
          </w:rPr>
          <w:t xml:space="preserve">https://doi.org/10.1073/pnas.2026347118</w:t>
        </w:r>
      </w:hyperlink>
      <w:r>
        <w:t xml:space="preserve">.</w:t>
      </w:r>
    </w:p>
    <w:bookmarkEnd w:id="99"/>
    <w:bookmarkStart w:id="101"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0">
        <w:r>
          <w:rPr>
            <w:rStyle w:val="Hyperlink"/>
          </w:rPr>
          <w:t xml:space="preserve">https://doi.org/10.1126/science.adf7122</w:t>
        </w:r>
      </w:hyperlink>
      <w:r>
        <w:t xml:space="preserve">.</w:t>
      </w:r>
    </w:p>
    <w:bookmarkEnd w:id="101"/>
    <w:bookmarkStart w:id="103" w:name="ref-boschman2023"/>
    <w:p>
      <w:pPr>
        <w:pStyle w:val="Bibliography"/>
      </w:pPr>
      <w:r>
        <w:t xml:space="preserve">37.</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2">
        <w:r>
          <w:rPr>
            <w:rStyle w:val="Hyperlink"/>
          </w:rPr>
          <w:t xml:space="preserve">https://doi.org/10.1038/s41559-023-02220-8</w:t>
        </w:r>
      </w:hyperlink>
      <w:r>
        <w:t xml:space="preserve">.</w:t>
      </w:r>
    </w:p>
    <w:bookmarkEnd w:id="103"/>
    <w:bookmarkStart w:id="105" w:name="ref-skeels2023"/>
    <w:p>
      <w:pPr>
        <w:pStyle w:val="Bibliography"/>
      </w:pPr>
      <w:r>
        <w:t xml:space="preserve">38.</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4">
        <w:r>
          <w:rPr>
            <w:rStyle w:val="Hyperlink"/>
          </w:rPr>
          <w:t xml:space="preserve">https://doi.org/10.1093/sysbio/syac048</w:t>
        </w:r>
      </w:hyperlink>
      <w:r>
        <w:t xml:space="preserve">.</w:t>
      </w:r>
    </w:p>
    <w:bookmarkEnd w:id="105"/>
    <w:bookmarkStart w:id="107" w:name="ref-liu2024"/>
    <w:p>
      <w:pPr>
        <w:pStyle w:val="Bibliography"/>
      </w:pPr>
      <w:r>
        <w:t xml:space="preserve">39.</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6">
        <w:r>
          <w:rPr>
            <w:rStyle w:val="Hyperlink"/>
          </w:rPr>
          <w:t xml:space="preserve">https://doi.org/10.1126/science.adi0833</w:t>
        </w:r>
      </w:hyperlink>
      <w:r>
        <w:t xml:space="preserve">.</w:t>
      </w:r>
    </w:p>
    <w:bookmarkEnd w:id="107"/>
    <w:bookmarkStart w:id="109" w:name="ref-holden2019"/>
    <w:p>
      <w:pPr>
        <w:pStyle w:val="Bibliography"/>
      </w:pPr>
      <w:r>
        <w:t xml:space="preserve">40.</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8">
        <w:r>
          <w:rPr>
            <w:rStyle w:val="Hyperlink"/>
          </w:rPr>
          <w:t xml:space="preserve">https://doi.org/10.5194/gmd-12-5137-2019</w:t>
        </w:r>
      </w:hyperlink>
      <w:r>
        <w:t xml:space="preserve">.</w:t>
      </w:r>
    </w:p>
    <w:bookmarkEnd w:id="109"/>
    <w:bookmarkStart w:id="111" w:name="ref-barreto2023"/>
    <w:p>
      <w:pPr>
        <w:pStyle w:val="Bibliography"/>
      </w:pPr>
      <w:r>
        <w:t xml:space="preserve">41.</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0">
        <w:r>
          <w:rPr>
            <w:rStyle w:val="Hyperlink"/>
          </w:rPr>
          <w:t xml:space="preserve">https://doi.org/10.1111/geb.13683</w:t>
        </w:r>
      </w:hyperlink>
      <w:r>
        <w:t xml:space="preserve">.</w:t>
      </w:r>
    </w:p>
    <w:bookmarkEnd w:id="111"/>
    <w:bookmarkStart w:id="113" w:name="ref-beck2018"/>
    <w:p>
      <w:pPr>
        <w:pStyle w:val="Bibliography"/>
      </w:pPr>
      <w:r>
        <w:t xml:space="preserve">42.</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2">
        <w:r>
          <w:rPr>
            <w:rStyle w:val="Hyperlink"/>
          </w:rPr>
          <w:t xml:space="preserve">https://doi.org/10.1038/sdata.2018.214</w:t>
        </w:r>
      </w:hyperlink>
      <w:r>
        <w:t xml:space="preserve">.</w:t>
      </w:r>
    </w:p>
    <w:bookmarkEnd w:id="113"/>
    <w:bookmarkStart w:id="115" w:name="ref-galván2023"/>
    <w:p>
      <w:pPr>
        <w:pStyle w:val="Bibliography"/>
      </w:pPr>
      <w:r>
        <w:t xml:space="preserve">43.</w:t>
      </w:r>
      <w:r>
        <w:t xml:space="preserve"> </w:t>
      </w:r>
      <w:r>
        <w:t xml:space="preserve">	</w:t>
      </w:r>
      <w:r>
        <w:t xml:space="preserve">Galván, S., Gamboa, S., and Varela, S. (2023).</w:t>
      </w:r>
      <w:r>
        <w:t xml:space="preserve"> </w:t>
      </w:r>
      <w:hyperlink r:id="rId114">
        <w:r>
          <w:rPr>
            <w:rStyle w:val="Hyperlink"/>
          </w:rPr>
          <w:t xml:space="preserve">Köppen Geiger climatic classification for R users.</w:t>
        </w:r>
      </w:hyperlink>
    </w:p>
    <w:bookmarkEnd w:id="115"/>
    <w:bookmarkStart w:id="116" w:name="ref-macarthur1967"/>
    <w:p>
      <w:pPr>
        <w:pStyle w:val="Bibliography"/>
      </w:pPr>
      <w:r>
        <w:t xml:space="preserve">44.</w:t>
      </w:r>
      <w:r>
        <w:t xml:space="preserve"> </w:t>
      </w:r>
      <w:r>
        <w:t xml:space="preserve">	</w:t>
      </w:r>
      <w:r>
        <w:t xml:space="preserve">MacArthur, R.H., and Wilson, E.O. (1967). The theory of island biogeography Princeton University Press.</w:t>
      </w:r>
    </w:p>
    <w:bookmarkEnd w:id="116"/>
    <w:bookmarkStart w:id="118" w:name="ref-willig2003"/>
    <w:p>
      <w:pPr>
        <w:pStyle w:val="Bibliography"/>
      </w:pPr>
      <w:r>
        <w:t xml:space="preserve">45.</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7">
        <w:r>
          <w:rPr>
            <w:rStyle w:val="Hyperlink"/>
          </w:rPr>
          <w:t xml:space="preserve">https://doi.org/10.1146/annurev.ecolsys.34.012103.144032</w:t>
        </w:r>
      </w:hyperlink>
      <w:r>
        <w:t xml:space="preserve">.</w:t>
      </w:r>
    </w:p>
    <w:bookmarkEnd w:id="118"/>
    <w:bookmarkStart w:id="120" w:name="ref-raven2020"/>
    <w:p>
      <w:pPr>
        <w:pStyle w:val="Bibliography"/>
      </w:pPr>
      <w:r>
        <w:t xml:space="preserve">46.</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19">
        <w:r>
          <w:rPr>
            <w:rStyle w:val="Hyperlink"/>
          </w:rPr>
          <w:t xml:space="preserve">https://doi.org/10.1126/sciadv.abc6228</w:t>
        </w:r>
      </w:hyperlink>
      <w:r>
        <w:t xml:space="preserve">.</w:t>
      </w:r>
    </w:p>
    <w:bookmarkEnd w:id="120"/>
    <w:bookmarkStart w:id="121" w:name="ref-lomolino2006"/>
    <w:p>
      <w:pPr>
        <w:pStyle w:val="Bibliography"/>
      </w:pPr>
      <w:r>
        <w:t xml:space="preserve">47.</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1"/>
    <w:bookmarkStart w:id="123" w:name="ref-chakrabarty2011"/>
    <w:p>
      <w:pPr>
        <w:pStyle w:val="Bibliography"/>
      </w:pPr>
      <w:r>
        <w:t xml:space="preserve">48.</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2">
        <w:r>
          <w:rPr>
            <w:rStyle w:val="Hyperlink"/>
          </w:rPr>
          <w:t xml:space="preserve">https://doi.org/10.1525/california/9780520268685.003.0018</w:t>
        </w:r>
      </w:hyperlink>
      <w:r>
        <w:t xml:space="preserve">.</w:t>
      </w:r>
    </w:p>
    <w:bookmarkEnd w:id="123"/>
    <w:bookmarkStart w:id="125" w:name="ref-smith2012"/>
    <w:p>
      <w:pPr>
        <w:pStyle w:val="Bibliography"/>
      </w:pPr>
      <w:r>
        <w:t xml:space="preserve">49.</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4">
        <w:r>
          <w:rPr>
            <w:rStyle w:val="Hyperlink"/>
          </w:rPr>
          <w:t xml:space="preserve">https://doi.org/10.1111/j.1461-0248.2012.01855.x</w:t>
        </w:r>
      </w:hyperlink>
      <w:r>
        <w:t xml:space="preserve">.</w:t>
      </w:r>
    </w:p>
    <w:bookmarkEnd w:id="125"/>
    <w:bookmarkStart w:id="127" w:name="ref-weir2009"/>
    <w:p>
      <w:pPr>
        <w:pStyle w:val="Bibliography"/>
      </w:pPr>
      <w:r>
        <w:t xml:space="preserve">50.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6">
        <w:r>
          <w:rPr>
            <w:rStyle w:val="Hyperlink"/>
          </w:rPr>
          <w:t xml:space="preserve">https://doi.org/10.1073/pnas.0903811106</w:t>
        </w:r>
      </w:hyperlink>
      <w:r>
        <w:t xml:space="preserve">.</w:t>
      </w:r>
    </w:p>
    <w:bookmarkEnd w:id="127"/>
    <w:bookmarkStart w:id="129" w:name="ref-smith2010"/>
    <w:p>
      <w:pPr>
        <w:pStyle w:val="Bibliography"/>
      </w:pPr>
      <w:r>
        <w:t xml:space="preserve">51.</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28">
        <w:r>
          <w:rPr>
            <w:rStyle w:val="Hyperlink"/>
          </w:rPr>
          <w:t xml:space="preserve">https://doi.org/10.1111/j.1600-0587.2009.06335.x</w:t>
        </w:r>
      </w:hyperlink>
      <w:r>
        <w:t xml:space="preserve">.</w:t>
      </w:r>
    </w:p>
    <w:bookmarkEnd w:id="129"/>
    <w:bookmarkStart w:id="130" w:name="ref-wallace1878"/>
    <w:p>
      <w:pPr>
        <w:pStyle w:val="Bibliography"/>
      </w:pPr>
      <w:r>
        <w:t xml:space="preserve">52.</w:t>
      </w:r>
      <w:r>
        <w:t xml:space="preserve"> </w:t>
      </w:r>
      <w:r>
        <w:t xml:space="preserve">	</w:t>
      </w:r>
      <w:r>
        <w:t xml:space="preserve">Wallace, A.R. (1878). Tropical Nature, and Other Essays (Macmillan; Company).</w:t>
      </w:r>
    </w:p>
    <w:bookmarkEnd w:id="130"/>
    <w:bookmarkStart w:id="132" w:name="ref-motta2025"/>
    <w:p>
      <w:pPr>
        <w:pStyle w:val="Bibliography"/>
      </w:pPr>
      <w:r>
        <w:t xml:space="preserve">53.</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31">
        <w:r>
          <w:rPr>
            <w:rStyle w:val="Hyperlink"/>
          </w:rPr>
          <w:t xml:space="preserve">https://doi.org/10.1016/j.palaeo.2025.112905</w:t>
        </w:r>
      </w:hyperlink>
      <w:r>
        <w:t xml:space="preserve">.</w:t>
      </w:r>
    </w:p>
    <w:bookmarkEnd w:id="132"/>
    <w:bookmarkStart w:id="134" w:name="ref-marshall1980"/>
    <w:p>
      <w:pPr>
        <w:pStyle w:val="Bibliography"/>
      </w:pPr>
      <w:r>
        <w:t xml:space="preserve">54.</w:t>
      </w:r>
      <w:r>
        <w:t xml:space="preserve"> </w:t>
      </w:r>
      <w:r>
        <w:t xml:space="preserve">	</w:t>
      </w:r>
      <w:r>
        <w:t xml:space="preserve">Marshall, L.G. (1980). A fortuitous experiment: Splendid isolation. The curious history of south american mammals. George gaylord simpson. Yale university press, new haven, conn., 1980. X, 266 pp., illus.</w:t>
      </w:r>
      <w:r>
        <w:t xml:space="preserve"> </w:t>
      </w:r>
      <w:r>
        <w:t xml:space="preserve">$</w:t>
      </w:r>
      <w:r>
        <w:t xml:space="preserve">17.50. Science</w:t>
      </w:r>
      <w:r>
        <w:t xml:space="preserve"> </w:t>
      </w:r>
      <w:r>
        <w:rPr>
          <w:i/>
          <w:iCs/>
        </w:rPr>
        <w:t xml:space="preserve">208</w:t>
      </w:r>
      <w:r>
        <w:t xml:space="preserve">, 719–720.</w:t>
      </w:r>
      <w:r>
        <w:t xml:space="preserve"> </w:t>
      </w:r>
      <w:hyperlink r:id="rId133">
        <w:r>
          <w:rPr>
            <w:rStyle w:val="Hyperlink"/>
          </w:rPr>
          <w:t xml:space="preserve">https://doi.org/10.1126/science.208.4445.719</w:t>
        </w:r>
      </w:hyperlink>
      <w:r>
        <w:t xml:space="preserve">.</w:t>
      </w:r>
    </w:p>
    <w:bookmarkEnd w:id="134"/>
    <w:bookmarkStart w:id="136" w:name="ref-haffer1969"/>
    <w:p>
      <w:pPr>
        <w:pStyle w:val="Bibliography"/>
      </w:pPr>
      <w:r>
        <w:t xml:space="preserve">55.</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5">
        <w:r>
          <w:rPr>
            <w:rStyle w:val="Hyperlink"/>
          </w:rPr>
          <w:t xml:space="preserve">https://doi.org/10.1126/science.165.3889.131</w:t>
        </w:r>
      </w:hyperlink>
      <w:r>
        <w:t xml:space="preserve">.</w:t>
      </w:r>
    </w:p>
    <w:bookmarkEnd w:id="136"/>
    <w:bookmarkStart w:id="138" w:name="ref-ugarte2025"/>
    <w:p>
      <w:pPr>
        <w:pStyle w:val="Bibliography"/>
      </w:pPr>
      <w:r>
        <w:t xml:space="preserve">56.</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37">
        <w:r>
          <w:rPr>
            <w:rStyle w:val="Hyperlink"/>
          </w:rPr>
          <w:t xml:space="preserve">https://doi.org/10.3389/fmamm.2024.1518039</w:t>
        </w:r>
      </w:hyperlink>
      <w:r>
        <w:t xml:space="preserve">.</w:t>
      </w:r>
    </w:p>
    <w:bookmarkEnd w:id="138"/>
    <w:bookmarkStart w:id="140" w:name="ref-buffan2025"/>
    <w:p>
      <w:pPr>
        <w:pStyle w:val="Bibliography"/>
      </w:pPr>
      <w:r>
        <w:t xml:space="preserve">57.</w:t>
      </w:r>
      <w:r>
        <w:t xml:space="preserve"> </w:t>
      </w:r>
      <w:r>
        <w:t xml:space="preserve">	</w:t>
      </w:r>
      <w:r>
        <w:t xml:space="preserve">Buffan, L., Condamine, F.L., Stutz, N.S., Pujos, F., Antoine, P.-O., and Marivaux, L. (2025). The fate of south america</w:t>
      </w:r>
      <w:r>
        <w:t xml:space="preserve">’</w:t>
      </w:r>
      <w:r>
        <w:t xml:space="preserve">s endemic mammalian fauna in response to the most dramatic cenozoic climate disruption. Proceedings of the National Academy of Sciences</w:t>
      </w:r>
      <w:r>
        <w:t xml:space="preserve"> </w:t>
      </w:r>
      <w:r>
        <w:rPr>
          <w:i/>
          <w:iCs/>
        </w:rPr>
        <w:t xml:space="preserve">122</w:t>
      </w:r>
      <w:r>
        <w:t xml:space="preserve">, e2419520122.</w:t>
      </w:r>
      <w:r>
        <w:t xml:space="preserve"> </w:t>
      </w:r>
      <w:hyperlink r:id="rId139">
        <w:r>
          <w:rPr>
            <w:rStyle w:val="Hyperlink"/>
          </w:rPr>
          <w:t xml:space="preserve">https://doi.org/10.1073/pnas.2419520122</w:t>
        </w:r>
      </w:hyperlink>
      <w:r>
        <w:t xml:space="preserve">.</w:t>
      </w:r>
    </w:p>
    <w:bookmarkEnd w:id="140"/>
    <w:bookmarkStart w:id="142" w:name="ref-wiens2004"/>
    <w:p>
      <w:pPr>
        <w:pStyle w:val="Bibliography"/>
      </w:pPr>
      <w:r>
        <w:t xml:space="preserve">58.</w:t>
      </w:r>
      <w:r>
        <w:t xml:space="preserve"> </w:t>
      </w:r>
      <w:r>
        <w:t xml:space="preserve">	</w:t>
      </w:r>
      <w:r>
        <w:t xml:space="preserve">Wiens, J.J., and Donoghue, M.J. (2004). Historical biogeography, ecology and species richness. Trends in Ecology &amp; Evolution</w:t>
      </w:r>
      <w:r>
        <w:t xml:space="preserve"> </w:t>
      </w:r>
      <w:r>
        <w:rPr>
          <w:i/>
          <w:iCs/>
        </w:rPr>
        <w:t xml:space="preserve">19</w:t>
      </w:r>
      <w:r>
        <w:t xml:space="preserve">, 639–644.</w:t>
      </w:r>
      <w:r>
        <w:t xml:space="preserve"> </w:t>
      </w:r>
      <w:hyperlink r:id="rId141">
        <w:r>
          <w:rPr>
            <w:rStyle w:val="Hyperlink"/>
          </w:rPr>
          <w:t xml:space="preserve">https://doi.org/10.1016/j.tree.2004.09.011</w:t>
        </w:r>
      </w:hyperlink>
      <w:r>
        <w:t xml:space="preserve">.</w:t>
      </w:r>
    </w:p>
    <w:bookmarkEnd w:id="142"/>
    <w:bookmarkStart w:id="144" w:name="ref-pino2022"/>
    <w:p>
      <w:pPr>
        <w:pStyle w:val="Bibliography"/>
      </w:pPr>
      <w:r>
        <w:t xml:space="preserve">59.</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43">
        <w:r>
          <w:rPr>
            <w:rStyle w:val="Hyperlink"/>
          </w:rPr>
          <w:t xml:space="preserve">https://doi.org/10.1016/j.gloplacha.2022.103758</w:t>
        </w:r>
      </w:hyperlink>
      <w:r>
        <w:t xml:space="preserve">.</w:t>
      </w:r>
    </w:p>
    <w:bookmarkEnd w:id="144"/>
    <w:bookmarkStart w:id="146" w:name="ref-simpson1950"/>
    <w:p>
      <w:pPr>
        <w:pStyle w:val="Bibliography"/>
      </w:pPr>
      <w:r>
        <w:t xml:space="preserve">60.</w:t>
      </w:r>
      <w:r>
        <w:t xml:space="preserve"> </w:t>
      </w:r>
      <w:r>
        <w:t xml:space="preserve">	</w:t>
      </w:r>
      <w:r>
        <w:t xml:space="preserve">Simpson, G.G. (1950).</w:t>
      </w:r>
      <w:r>
        <w:t xml:space="preserve"> </w:t>
      </w:r>
      <w:hyperlink r:id="rId145">
        <w:r>
          <w:rPr>
            <w:rStyle w:val="Hyperlink"/>
          </w:rPr>
          <w:t xml:space="preserve">History of the fauna of latin america</w:t>
        </w:r>
      </w:hyperlink>
      <w:r>
        <w:t xml:space="preserve">. American Scientist</w:t>
      </w:r>
      <w:r>
        <w:t xml:space="preserve"> </w:t>
      </w:r>
      <w:r>
        <w:rPr>
          <w:i/>
          <w:iCs/>
        </w:rPr>
        <w:t xml:space="preserve">38</w:t>
      </w:r>
      <w:r>
        <w:t xml:space="preserve">, 361–389.</w:t>
      </w:r>
    </w:p>
    <w:bookmarkEnd w:id="146"/>
    <w:bookmarkStart w:id="148" w:name="ref-morgan1993"/>
    <w:p>
      <w:pPr>
        <w:pStyle w:val="Bibliography"/>
      </w:pPr>
      <w:r>
        <w:t xml:space="preserve">61.</w:t>
      </w:r>
      <w:r>
        <w:t xml:space="preserve"> </w:t>
      </w:r>
      <w:r>
        <w:t xml:space="preserve">	</w:t>
      </w:r>
      <w:r>
        <w:t xml:space="preserve">Morgan, G.S. (1993). Quaternary land vertebrates of jamaica. In, R. M. Wright and E. Robinson, eds. (Geological Society of America), p. 0.</w:t>
      </w:r>
      <w:r>
        <w:t xml:space="preserve"> </w:t>
      </w:r>
      <w:hyperlink r:id="rId147">
        <w:r>
          <w:rPr>
            <w:rStyle w:val="Hyperlink"/>
          </w:rPr>
          <w:t xml:space="preserve">https://doi.org/10.1130/MEM182-p417</w:t>
        </w:r>
      </w:hyperlink>
      <w:r>
        <w:t xml:space="preserve">.</w:t>
      </w:r>
    </w:p>
    <w:bookmarkEnd w:id="148"/>
    <w:bookmarkStart w:id="150" w:name="ref-ali2021b"/>
    <w:p>
      <w:pPr>
        <w:pStyle w:val="Bibliography"/>
      </w:pPr>
      <w:r>
        <w:t xml:space="preserve">62.</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49">
        <w:r>
          <w:rPr>
            <w:rStyle w:val="Hyperlink"/>
          </w:rPr>
          <w:t xml:space="preserve">https://doi.org/10.1111/jbi.14234</w:t>
        </w:r>
      </w:hyperlink>
      <w:r>
        <w:t xml:space="preserve">.</w:t>
      </w:r>
    </w:p>
    <w:bookmarkEnd w:id="150"/>
    <w:bookmarkStart w:id="152" w:name="ref-cornée2021"/>
    <w:p>
      <w:pPr>
        <w:pStyle w:val="Bibliography"/>
      </w:pPr>
      <w:r>
        <w:t xml:space="preserve">63.</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51">
        <w:r>
          <w:rPr>
            <w:rStyle w:val="Hyperlink"/>
          </w:rPr>
          <w:t xml:space="preserve">https://doi.org/10.1016/j.earscirev.2021.103617</w:t>
        </w:r>
      </w:hyperlink>
      <w:r>
        <w:t xml:space="preserve">.</w:t>
      </w:r>
    </w:p>
    <w:bookmarkEnd w:id="152"/>
    <w:bookmarkStart w:id="154" w:name="ref-warren2015"/>
    <w:p>
      <w:pPr>
        <w:pStyle w:val="Bibliography"/>
      </w:pPr>
      <w:r>
        <w:t xml:space="preserve">64.</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53">
        <w:r>
          <w:rPr>
            <w:rStyle w:val="Hyperlink"/>
          </w:rPr>
          <w:t xml:space="preserve">https://doi.org/10.1111/ele.12398</w:t>
        </w:r>
      </w:hyperlink>
      <w:r>
        <w:t xml:space="preserve">.</w:t>
      </w:r>
    </w:p>
    <w:bookmarkEnd w:id="154"/>
    <w:bookmarkStart w:id="156" w:name="ref-gearty2023"/>
    <w:p>
      <w:pPr>
        <w:pStyle w:val="Bibliography"/>
      </w:pPr>
      <w:r>
        <w:t xml:space="preserve">65.</w:t>
      </w:r>
      <w:r>
        <w:t xml:space="preserve"> </w:t>
      </w:r>
      <w:r>
        <w:t xml:space="preserve">	</w:t>
      </w:r>
      <w:r>
        <w:t xml:space="preserve">Gearty, W. (2023).</w:t>
      </w:r>
      <w:r>
        <w:t xml:space="preserve"> </w:t>
      </w:r>
      <w:hyperlink r:id="rId155">
        <w:r>
          <w:rPr>
            <w:rStyle w:val="Hyperlink"/>
          </w:rPr>
          <w:t xml:space="preserve">Deeptime: Plotting tools for anyone working in deep time. R package version 1.0.1.</w:t>
        </w:r>
      </w:hyperlink>
    </w:p>
    <w:bookmarkEnd w:id="156"/>
    <w:bookmarkEnd w:id="157"/>
    <w:bookmarkEnd w:id="158"/>
    <w:bookmarkStart w:id="17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62" w:name="fig-framework"/>
          <w:p>
            <w:pPr>
              <w:pStyle w:val="Compact"/>
              <w:jc w:val="center"/>
            </w:pPr>
            <w:r>
              <w:drawing>
                <wp:inline>
                  <wp:extent cx="3959999" cy="3959999"/>
                  <wp:effectExtent b="0" l="0" r="0" t="0"/>
                  <wp:docPr descr="" title="" id="160" name="Picture"/>
                  <a:graphic>
                    <a:graphicData uri="http://schemas.openxmlformats.org/drawingml/2006/picture">
                      <pic:pic>
                        <pic:nvPicPr>
                          <pic:cNvPr descr="../Figures/MS/Main/Figure_framework/Figure_framework.png" id="161" name="Picture"/>
                          <pic:cNvPicPr>
                            <a:picLocks noChangeArrowheads="1" noChangeAspect="1"/>
                          </pic:cNvPicPr>
                        </pic:nvPicPr>
                        <pic:blipFill>
                          <a:blip r:embed="rId159"/>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Geological timescale was depicted using the deeptime R package</w:t>
            </w:r>
            <w:r>
              <w:rPr>
                <w:vertAlign w:val="superscript"/>
              </w:rPr>
              <w:t xml:space="preserve">65</w:t>
            </w:r>
            <w:r>
              <w:t xml:space="preserve">. The empirically-derived asymmetry of the transcontinental land mammal exchange is represented by the thickness of the two arrows, the thicker the arrow, the more intense the exchange.</w:t>
            </w:r>
          </w:p>
          <w:bookmarkEnd w:id="162"/>
        </w:tc>
      </w:tr>
    </w:tbl>
    <w:tbl>
      <w:tblPr>
        <w:tblStyle w:val="Table"/>
        <w:tblW w:type="pct" w:w="5000"/>
        <w:tblLayout w:type="fixed"/>
        <w:tblLook w:firstRow="0" w:lastRow="0" w:firstColumn="0" w:lastColumn="0" w:noHBand="0" w:noVBand="0" w:val="0000"/>
      </w:tblPr>
      <w:tblGrid>
        <w:gridCol w:w="7920"/>
      </w:tblGrid>
      <w:tr>
        <w:tc>
          <w:tcPr/>
          <w:bookmarkStart w:id="166" w:name="fig-propsuccess"/>
          <w:p>
            <w:pPr>
              <w:pStyle w:val="Compact"/>
              <w:jc w:val="center"/>
            </w:pPr>
            <w:r>
              <w:drawing>
                <wp:inline>
                  <wp:extent cx="3599999" cy="3779999"/>
                  <wp:effectExtent b="0" l="0" r="0" t="0"/>
                  <wp:docPr descr="" title="" id="164" name="Picture"/>
                  <a:graphic>
                    <a:graphicData uri="http://schemas.openxmlformats.org/drawingml/2006/picture">
                      <pic:pic>
                        <pic:nvPicPr>
                          <pic:cNvPr descr="../Figures/MS/Main/Figure_PropSuccess/Figure_PropSuccess.png" id="165" name="Picture"/>
                          <pic:cNvPicPr>
                            <a:picLocks noChangeArrowheads="1" noChangeAspect="1"/>
                          </pic:cNvPicPr>
                        </pic:nvPicPr>
                        <pic:blipFill>
                          <a:blip r:embed="rId163"/>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66"/>
        </w:tc>
      </w:tr>
    </w:tbl>
    <w:tbl>
      <w:tblPr>
        <w:tblStyle w:val="Table"/>
        <w:tblW w:type="pct" w:w="5000"/>
        <w:tblLayout w:type="fixed"/>
        <w:tblLook w:firstRow="0" w:lastRow="0" w:firstColumn="0" w:lastColumn="0" w:noHBand="0" w:noVBand="0" w:val="0000"/>
      </w:tblPr>
      <w:tblGrid>
        <w:gridCol w:w="7920"/>
      </w:tblGrid>
      <w:tr>
        <w:tc>
          <w:tcPr/>
          <w:bookmarkStart w:id="170" w:name="fig-metrics"/>
          <w:p>
            <w:pPr>
              <w:pStyle w:val="Compact"/>
              <w:jc w:val="left"/>
            </w:pPr>
            <w:r>
              <w:drawing>
                <wp:inline>
                  <wp:extent cx="5039999" cy="4319999"/>
                  <wp:effectExtent b="0" l="0" r="0" t="0"/>
                  <wp:docPr descr="" title="" id="168" name="Picture"/>
                  <a:graphic>
                    <a:graphicData uri="http://schemas.openxmlformats.org/drawingml/2006/picture">
                      <pic:pic>
                        <pic:nvPicPr>
                          <pic:cNvPr descr="../Figures/MS/Main/Figure_metrics/Figure_metrics.png" id="169" name="Picture"/>
                          <pic:cNvPicPr>
                            <a:picLocks noChangeArrowheads="1" noChangeAspect="1"/>
                          </pic:cNvPicPr>
                        </pic:nvPicPr>
                        <pic:blipFill>
                          <a:blip r:embed="rId167"/>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70"/>
        </w:tc>
      </w:tr>
    </w:tbl>
    <w:tbl>
      <w:tblPr>
        <w:tblStyle w:val="Table"/>
        <w:tblW w:type="pct" w:w="5000"/>
        <w:tblLayout w:type="fixed"/>
        <w:tblLook w:firstRow="0" w:lastRow="0" w:firstColumn="0" w:lastColumn="0" w:noHBand="0" w:noVBand="0" w:val="0000"/>
      </w:tblPr>
      <w:tblGrid>
        <w:gridCol w:w="7920"/>
      </w:tblGrid>
      <w:tr>
        <w:tc>
          <w:tcPr/>
          <w:bookmarkStart w:id="174" w:name="fig-biome"/>
          <w:p>
            <w:pPr>
              <w:pStyle w:val="Compact"/>
              <w:jc w:val="center"/>
            </w:pPr>
            <w:r>
              <w:drawing>
                <wp:inline>
                  <wp:extent cx="5399999" cy="5399999"/>
                  <wp:effectExtent b="0" l="0" r="0" t="0"/>
                  <wp:docPr descr="" title="" id="172" name="Picture"/>
                  <a:graphic>
                    <a:graphicData uri="http://schemas.openxmlformats.org/drawingml/2006/picture">
                      <pic:pic>
                        <pic:nvPicPr>
                          <pic:cNvPr descr="../Figures/MS/Main/Figure_biomes/Figure_biomes.png" id="173" name="Picture"/>
                          <pic:cNvPicPr>
                            <a:picLocks noChangeArrowheads="1" noChangeAspect="1"/>
                          </pic:cNvPicPr>
                        </pic:nvPicPr>
                        <pic:blipFill>
                          <a:blip r:embed="rId171"/>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74"/>
        </w:tc>
      </w:tr>
    </w:tbl>
    <w:bookmarkEnd w:id="175"/>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3" Target="media/rId163.png" /><Relationship Type="http://schemas.openxmlformats.org/officeDocument/2006/relationships/image" Id="rId171" Target="media/rId171.png" /><Relationship Type="http://schemas.openxmlformats.org/officeDocument/2006/relationships/image" Id="rId159" Target="media/rId159.png" /><Relationship Type="http://schemas.openxmlformats.org/officeDocument/2006/relationships/image" Id="rId167" Target="media/rId167.png" /><Relationship Type="http://schemas.openxmlformats.org/officeDocument/2006/relationships/hyperlink" Id="rId41" Target="http://repository.si.edu/xmlui/handle/10088/35473" TargetMode="External" /><Relationship Type="http://schemas.openxmlformats.org/officeDocument/2006/relationships/hyperlink" Id="rId155" Target="https://CRAN.R-project.org/package=deeptime" TargetMode="External" /><Relationship Type="http://schemas.openxmlformats.org/officeDocument/2006/relationships/hyperlink" Id="rId37" Target="https://doi.org/10.1007/978-1-4684-9181-4" TargetMode="External" /><Relationship Type="http://schemas.openxmlformats.org/officeDocument/2006/relationships/hyperlink" Id="rId53" Target="https://doi.org/10.1007/s10914-010-9144-8" TargetMode="External" /><Relationship Type="http://schemas.openxmlformats.org/officeDocument/2006/relationships/hyperlink" Id="rId79" Target="https://doi.org/10.1007/s10914-011-9175-9" TargetMode="External" /><Relationship Type="http://schemas.openxmlformats.org/officeDocument/2006/relationships/hyperlink" Id="rId151" Target="https://doi.org/10.1016/j.earscirev.2021.103617" TargetMode="External" /><Relationship Type="http://schemas.openxmlformats.org/officeDocument/2006/relationships/hyperlink" Id="rId47" Target="https://doi.org/10.1016/j.geobios.2006.09.005" TargetMode="External" /><Relationship Type="http://schemas.openxmlformats.org/officeDocument/2006/relationships/hyperlink" Id="rId143" Target="https://doi.org/10.1016/j.gloplacha.2022.103758" TargetMode="External" /><Relationship Type="http://schemas.openxmlformats.org/officeDocument/2006/relationships/hyperlink" Id="rId131" Target="https://doi.org/10.1016/j.palaeo.2025.112905" TargetMode="External" /><Relationship Type="http://schemas.openxmlformats.org/officeDocument/2006/relationships/hyperlink" Id="rId141" Target="https://doi.org/10.1016/j.tree.2004.09.011" TargetMode="External" /><Relationship Type="http://schemas.openxmlformats.org/officeDocument/2006/relationships/hyperlink" Id="rId59" Target="https://doi.org/10.1017/S0094837300010605" TargetMode="External" /><Relationship Type="http://schemas.openxmlformats.org/officeDocument/2006/relationships/hyperlink" Id="rId45" Target="https://doi.org/10.1029/2025GC012288" TargetMode="External" /><Relationship Type="http://schemas.openxmlformats.org/officeDocument/2006/relationships/hyperlink" Id="rId102" Target="https://doi.org/10.1038/s41559-023-02220-8" TargetMode="External" /><Relationship Type="http://schemas.openxmlformats.org/officeDocument/2006/relationships/hyperlink" Id="rId70" Target="https://doi.org/10.1038/s41598-020-58575-6" TargetMode="External" /><Relationship Type="http://schemas.openxmlformats.org/officeDocument/2006/relationships/hyperlink" Id="rId81" Target="https://doi.org/10.1038/s41598-022-05266-z" TargetMode="External" /><Relationship Type="http://schemas.openxmlformats.org/officeDocument/2006/relationships/hyperlink" Id="rId85" Target="https://doi.org/10.1038/s44185-024-00045-7" TargetMode="External" /><Relationship Type="http://schemas.openxmlformats.org/officeDocument/2006/relationships/hyperlink" Id="rId112" Target="https://doi.org/10.1038/sdata.2018.214" TargetMode="External" /><Relationship Type="http://schemas.openxmlformats.org/officeDocument/2006/relationships/hyperlink" Id="rId126" Target="https://doi.org/10.1073/pnas.0903811106" TargetMode="External" /><Relationship Type="http://schemas.openxmlformats.org/officeDocument/2006/relationships/hyperlink" Id="rId55" Target="https://doi.org/10.1073/pnas.1423853112" TargetMode="External" /><Relationship Type="http://schemas.openxmlformats.org/officeDocument/2006/relationships/hyperlink" Id="rId63" Target="https://doi.org/10.1073/pnas.2009397117" TargetMode="External" /><Relationship Type="http://schemas.openxmlformats.org/officeDocument/2006/relationships/hyperlink" Id="rId98" Target="https://doi.org/10.1073/pnas.2026347118" TargetMode="External" /><Relationship Type="http://schemas.openxmlformats.org/officeDocument/2006/relationships/hyperlink" Id="rId139" Target="https://doi.org/10.1073/pnas.2419520122" TargetMode="External" /><Relationship Type="http://schemas.openxmlformats.org/officeDocument/2006/relationships/hyperlink" Id="rId104" Target="https://doi.org/10.1093/sysbio/syac048" TargetMode="External" /><Relationship Type="http://schemas.openxmlformats.org/officeDocument/2006/relationships/hyperlink" Id="rId88" Target="https://doi.org/10.1098/rspb.2025.1745" TargetMode="External" /><Relationship Type="http://schemas.openxmlformats.org/officeDocument/2006/relationships/hyperlink" Id="rId92" Target="https://doi.org/10.1111/ecog.06132" TargetMode="External" /><Relationship Type="http://schemas.openxmlformats.org/officeDocument/2006/relationships/hyperlink" Id="rId153" Target="https://doi.org/10.1111/ele.12398" TargetMode="External" /><Relationship Type="http://schemas.openxmlformats.org/officeDocument/2006/relationships/hyperlink" Id="rId73" Target="https://doi.org/10.1111/geb.12504" TargetMode="External" /><Relationship Type="http://schemas.openxmlformats.org/officeDocument/2006/relationships/hyperlink" Id="rId110" Target="https://doi.org/10.1111/geb.13683" TargetMode="External" /><Relationship Type="http://schemas.openxmlformats.org/officeDocument/2006/relationships/hyperlink" Id="rId124" Target="https://doi.org/10.1111/j.1461-0248.2012.01855.x" TargetMode="External" /><Relationship Type="http://schemas.openxmlformats.org/officeDocument/2006/relationships/hyperlink" Id="rId128" Target="https://doi.org/10.1111/j.1600-0587.2009.06335.x" TargetMode="External" /><Relationship Type="http://schemas.openxmlformats.org/officeDocument/2006/relationships/hyperlink" Id="rId149" Target="https://doi.org/10.1111/jbi.14234" TargetMode="External" /><Relationship Type="http://schemas.openxmlformats.org/officeDocument/2006/relationships/hyperlink" Id="rId75" Target="https://doi.org/10.1111/pala.70012" TargetMode="External" /><Relationship Type="http://schemas.openxmlformats.org/officeDocument/2006/relationships/hyperlink" Id="rId43" Target="https://doi.org/10.1126/sciadv.1600883" TargetMode="External" /><Relationship Type="http://schemas.openxmlformats.org/officeDocument/2006/relationships/hyperlink" Id="rId119" Target="https://doi.org/10.1126/sciadv.abc6228" TargetMode="External" /><Relationship Type="http://schemas.openxmlformats.org/officeDocument/2006/relationships/hyperlink" Id="rId90" Target="https://doi.org/10.1126/sciadv.abj2271" TargetMode="External" /><Relationship Type="http://schemas.openxmlformats.org/officeDocument/2006/relationships/hyperlink" Id="rId135" Target="https://doi.org/10.1126/science.165.3889.131" TargetMode="External" /><Relationship Type="http://schemas.openxmlformats.org/officeDocument/2006/relationships/hyperlink" Id="rId133" Target="https://doi.org/10.1126/science.208.4445.719" TargetMode="External" /><Relationship Type="http://schemas.openxmlformats.org/officeDocument/2006/relationships/hyperlink" Id="rId39" Target="https://doi.org/10.1126/science.aaa2815" TargetMode="External" /><Relationship Type="http://schemas.openxmlformats.org/officeDocument/2006/relationships/hyperlink" Id="rId100" Target="https://doi.org/10.1126/science.adf7122" TargetMode="External" /><Relationship Type="http://schemas.openxmlformats.org/officeDocument/2006/relationships/hyperlink" Id="rId106" Target="https://doi.org/10.1126/science.adi0833" TargetMode="External" /><Relationship Type="http://schemas.openxmlformats.org/officeDocument/2006/relationships/hyperlink" Id="rId67"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147" Target="https://doi.org/10.1130/MEM182-p417" TargetMode="External" /><Relationship Type="http://schemas.openxmlformats.org/officeDocument/2006/relationships/hyperlink" Id="rId65" Target="https://doi.org/10.1146/annurev-earth-072619-060126" TargetMode="External" /><Relationship Type="http://schemas.openxmlformats.org/officeDocument/2006/relationships/hyperlink" Id="rId117" Target="https://doi.org/10.1146/annurev.ecolsys.34.012103.144032" TargetMode="External" /><Relationship Type="http://schemas.openxmlformats.org/officeDocument/2006/relationships/hyperlink" Id="rId94" Target="https://doi.org/10.1371/journal.pbio.3001340" TargetMode="External" /><Relationship Type="http://schemas.openxmlformats.org/officeDocument/2006/relationships/hyperlink" Id="rId96" Target="https://doi.org/10.1371/journal.pone.0332766" TargetMode="External" /><Relationship Type="http://schemas.openxmlformats.org/officeDocument/2006/relationships/hyperlink" Id="rId122" Target="https://doi.org/10.1525/california/9780520268685.003.0018" TargetMode="External" /><Relationship Type="http://schemas.openxmlformats.org/officeDocument/2006/relationships/hyperlink" Id="rId77" Target="https://doi.org/10.2307/1381862" TargetMode="External" /><Relationship Type="http://schemas.openxmlformats.org/officeDocument/2006/relationships/hyperlink" Id="rId51" Target="https://doi.org/10.3389/fgene.2014.00451" TargetMode="External" /><Relationship Type="http://schemas.openxmlformats.org/officeDocument/2006/relationships/hyperlink" Id="rId137" Target="https://doi.org/10.3389/fmamm.2024.1518039" TargetMode="External" /><Relationship Type="http://schemas.openxmlformats.org/officeDocument/2006/relationships/hyperlink" Id="rId83" Target="https://doi.org/10.3390/d17030153" TargetMode="External" /><Relationship Type="http://schemas.openxmlformats.org/officeDocument/2006/relationships/hyperlink" Id="rId108" Target="https://doi.org/10.5194/gmd-12-5137-2019" TargetMode="External" /><Relationship Type="http://schemas.openxmlformats.org/officeDocument/2006/relationships/hyperlink" Id="rId114" Target="https://eartharxiv.org/repository/view/6269/" TargetMode="External" /><Relationship Type="http://schemas.openxmlformats.org/officeDocument/2006/relationships/hyperlink" Id="rId61" Target="https://link.springer.com/10.1007/978-94-017-9792-4" TargetMode="External" /><Relationship Type="http://schemas.openxmlformats.org/officeDocument/2006/relationships/hyperlink" Id="rId49" Target="https://www.degruyterbrill.com/document/doi/10.7312/wood13040-008/html" TargetMode="External" /><Relationship Type="http://schemas.openxmlformats.org/officeDocument/2006/relationships/hyperlink" Id="rId35" Target="https://www.jstor.org/stable/1688046" TargetMode="External" /><Relationship Type="http://schemas.openxmlformats.org/officeDocument/2006/relationships/hyperlink" Id="rId33" Target="https://www.jstor.org/stable/2400220" TargetMode="External" /><Relationship Type="http://schemas.openxmlformats.org/officeDocument/2006/relationships/hyperlink" Id="rId145" Target="https://www.jstor.org/stable/27826322" TargetMode="External" /></Relationships>
</file>

<file path=word/_rels/footnotes.xml.rels><?xml version="1.0" encoding="UTF-8"?><Relationships xmlns="http://schemas.openxmlformats.org/package/2006/relationships"><Relationship Type="http://schemas.openxmlformats.org/officeDocument/2006/relationships/hyperlink" Id="rId41" Target="http://repository.si.edu/xmlui/handle/10088/35473" TargetMode="External" /><Relationship Type="http://schemas.openxmlformats.org/officeDocument/2006/relationships/hyperlink" Id="rId155" Target="https://CRAN.R-project.org/package=deeptime" TargetMode="External" /><Relationship Type="http://schemas.openxmlformats.org/officeDocument/2006/relationships/hyperlink" Id="rId37" Target="https://doi.org/10.1007/978-1-4684-9181-4" TargetMode="External" /><Relationship Type="http://schemas.openxmlformats.org/officeDocument/2006/relationships/hyperlink" Id="rId53" Target="https://doi.org/10.1007/s10914-010-9144-8" TargetMode="External" /><Relationship Type="http://schemas.openxmlformats.org/officeDocument/2006/relationships/hyperlink" Id="rId79" Target="https://doi.org/10.1007/s10914-011-9175-9" TargetMode="External" /><Relationship Type="http://schemas.openxmlformats.org/officeDocument/2006/relationships/hyperlink" Id="rId151" Target="https://doi.org/10.1016/j.earscirev.2021.103617" TargetMode="External" /><Relationship Type="http://schemas.openxmlformats.org/officeDocument/2006/relationships/hyperlink" Id="rId47" Target="https://doi.org/10.1016/j.geobios.2006.09.005" TargetMode="External" /><Relationship Type="http://schemas.openxmlformats.org/officeDocument/2006/relationships/hyperlink" Id="rId143" Target="https://doi.org/10.1016/j.gloplacha.2022.103758" TargetMode="External" /><Relationship Type="http://schemas.openxmlformats.org/officeDocument/2006/relationships/hyperlink" Id="rId131" Target="https://doi.org/10.1016/j.palaeo.2025.112905" TargetMode="External" /><Relationship Type="http://schemas.openxmlformats.org/officeDocument/2006/relationships/hyperlink" Id="rId141" Target="https://doi.org/10.1016/j.tree.2004.09.011" TargetMode="External" /><Relationship Type="http://schemas.openxmlformats.org/officeDocument/2006/relationships/hyperlink" Id="rId59" Target="https://doi.org/10.1017/S0094837300010605" TargetMode="External" /><Relationship Type="http://schemas.openxmlformats.org/officeDocument/2006/relationships/hyperlink" Id="rId45" Target="https://doi.org/10.1029/2025GC012288" TargetMode="External" /><Relationship Type="http://schemas.openxmlformats.org/officeDocument/2006/relationships/hyperlink" Id="rId102" Target="https://doi.org/10.1038/s41559-023-02220-8" TargetMode="External" /><Relationship Type="http://schemas.openxmlformats.org/officeDocument/2006/relationships/hyperlink" Id="rId70" Target="https://doi.org/10.1038/s41598-020-58575-6" TargetMode="External" /><Relationship Type="http://schemas.openxmlformats.org/officeDocument/2006/relationships/hyperlink" Id="rId81" Target="https://doi.org/10.1038/s41598-022-05266-z" TargetMode="External" /><Relationship Type="http://schemas.openxmlformats.org/officeDocument/2006/relationships/hyperlink" Id="rId85" Target="https://doi.org/10.1038/s44185-024-00045-7" TargetMode="External" /><Relationship Type="http://schemas.openxmlformats.org/officeDocument/2006/relationships/hyperlink" Id="rId112" Target="https://doi.org/10.1038/sdata.2018.214" TargetMode="External" /><Relationship Type="http://schemas.openxmlformats.org/officeDocument/2006/relationships/hyperlink" Id="rId126" Target="https://doi.org/10.1073/pnas.0903811106" TargetMode="External" /><Relationship Type="http://schemas.openxmlformats.org/officeDocument/2006/relationships/hyperlink" Id="rId55" Target="https://doi.org/10.1073/pnas.1423853112" TargetMode="External" /><Relationship Type="http://schemas.openxmlformats.org/officeDocument/2006/relationships/hyperlink" Id="rId63" Target="https://doi.org/10.1073/pnas.2009397117" TargetMode="External" /><Relationship Type="http://schemas.openxmlformats.org/officeDocument/2006/relationships/hyperlink" Id="rId98" Target="https://doi.org/10.1073/pnas.2026347118" TargetMode="External" /><Relationship Type="http://schemas.openxmlformats.org/officeDocument/2006/relationships/hyperlink" Id="rId139" Target="https://doi.org/10.1073/pnas.2419520122" TargetMode="External" /><Relationship Type="http://schemas.openxmlformats.org/officeDocument/2006/relationships/hyperlink" Id="rId104" Target="https://doi.org/10.1093/sysbio/syac048" TargetMode="External" /><Relationship Type="http://schemas.openxmlformats.org/officeDocument/2006/relationships/hyperlink" Id="rId88" Target="https://doi.org/10.1098/rspb.2025.1745" TargetMode="External" /><Relationship Type="http://schemas.openxmlformats.org/officeDocument/2006/relationships/hyperlink" Id="rId92" Target="https://doi.org/10.1111/ecog.06132" TargetMode="External" /><Relationship Type="http://schemas.openxmlformats.org/officeDocument/2006/relationships/hyperlink" Id="rId153" Target="https://doi.org/10.1111/ele.12398" TargetMode="External" /><Relationship Type="http://schemas.openxmlformats.org/officeDocument/2006/relationships/hyperlink" Id="rId73" Target="https://doi.org/10.1111/geb.12504" TargetMode="External" /><Relationship Type="http://schemas.openxmlformats.org/officeDocument/2006/relationships/hyperlink" Id="rId110" Target="https://doi.org/10.1111/geb.13683" TargetMode="External" /><Relationship Type="http://schemas.openxmlformats.org/officeDocument/2006/relationships/hyperlink" Id="rId124" Target="https://doi.org/10.1111/j.1461-0248.2012.01855.x" TargetMode="External" /><Relationship Type="http://schemas.openxmlformats.org/officeDocument/2006/relationships/hyperlink" Id="rId128" Target="https://doi.org/10.1111/j.1600-0587.2009.06335.x" TargetMode="External" /><Relationship Type="http://schemas.openxmlformats.org/officeDocument/2006/relationships/hyperlink" Id="rId149" Target="https://doi.org/10.1111/jbi.14234" TargetMode="External" /><Relationship Type="http://schemas.openxmlformats.org/officeDocument/2006/relationships/hyperlink" Id="rId75" Target="https://doi.org/10.1111/pala.70012" TargetMode="External" /><Relationship Type="http://schemas.openxmlformats.org/officeDocument/2006/relationships/hyperlink" Id="rId43" Target="https://doi.org/10.1126/sciadv.1600883" TargetMode="External" /><Relationship Type="http://schemas.openxmlformats.org/officeDocument/2006/relationships/hyperlink" Id="rId119" Target="https://doi.org/10.1126/sciadv.abc6228" TargetMode="External" /><Relationship Type="http://schemas.openxmlformats.org/officeDocument/2006/relationships/hyperlink" Id="rId90" Target="https://doi.org/10.1126/sciadv.abj2271" TargetMode="External" /><Relationship Type="http://schemas.openxmlformats.org/officeDocument/2006/relationships/hyperlink" Id="rId135" Target="https://doi.org/10.1126/science.165.3889.131" TargetMode="External" /><Relationship Type="http://schemas.openxmlformats.org/officeDocument/2006/relationships/hyperlink" Id="rId133" Target="https://doi.org/10.1126/science.208.4445.719" TargetMode="External" /><Relationship Type="http://schemas.openxmlformats.org/officeDocument/2006/relationships/hyperlink" Id="rId39" Target="https://doi.org/10.1126/science.aaa2815" TargetMode="External" /><Relationship Type="http://schemas.openxmlformats.org/officeDocument/2006/relationships/hyperlink" Id="rId100" Target="https://doi.org/10.1126/science.adf7122" TargetMode="External" /><Relationship Type="http://schemas.openxmlformats.org/officeDocument/2006/relationships/hyperlink" Id="rId106" Target="https://doi.org/10.1126/science.adi0833" TargetMode="External" /><Relationship Type="http://schemas.openxmlformats.org/officeDocument/2006/relationships/hyperlink" Id="rId67"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147" Target="https://doi.org/10.1130/MEM182-p417" TargetMode="External" /><Relationship Type="http://schemas.openxmlformats.org/officeDocument/2006/relationships/hyperlink" Id="rId65" Target="https://doi.org/10.1146/annurev-earth-072619-060126" TargetMode="External" /><Relationship Type="http://schemas.openxmlformats.org/officeDocument/2006/relationships/hyperlink" Id="rId117" Target="https://doi.org/10.1146/annurev.ecolsys.34.012103.144032" TargetMode="External" /><Relationship Type="http://schemas.openxmlformats.org/officeDocument/2006/relationships/hyperlink" Id="rId94" Target="https://doi.org/10.1371/journal.pbio.3001340" TargetMode="External" /><Relationship Type="http://schemas.openxmlformats.org/officeDocument/2006/relationships/hyperlink" Id="rId96" Target="https://doi.org/10.1371/journal.pone.0332766" TargetMode="External" /><Relationship Type="http://schemas.openxmlformats.org/officeDocument/2006/relationships/hyperlink" Id="rId122" Target="https://doi.org/10.1525/california/9780520268685.003.0018" TargetMode="External" /><Relationship Type="http://schemas.openxmlformats.org/officeDocument/2006/relationships/hyperlink" Id="rId77" Target="https://doi.org/10.2307/1381862" TargetMode="External" /><Relationship Type="http://schemas.openxmlformats.org/officeDocument/2006/relationships/hyperlink" Id="rId51" Target="https://doi.org/10.3389/fgene.2014.00451" TargetMode="External" /><Relationship Type="http://schemas.openxmlformats.org/officeDocument/2006/relationships/hyperlink" Id="rId137" Target="https://doi.org/10.3389/fmamm.2024.1518039" TargetMode="External" /><Relationship Type="http://schemas.openxmlformats.org/officeDocument/2006/relationships/hyperlink" Id="rId83" Target="https://doi.org/10.3390/d17030153" TargetMode="External" /><Relationship Type="http://schemas.openxmlformats.org/officeDocument/2006/relationships/hyperlink" Id="rId108" Target="https://doi.org/10.5194/gmd-12-5137-2019" TargetMode="External" /><Relationship Type="http://schemas.openxmlformats.org/officeDocument/2006/relationships/hyperlink" Id="rId114" Target="https://eartharxiv.org/repository/view/6269/" TargetMode="External" /><Relationship Type="http://schemas.openxmlformats.org/officeDocument/2006/relationships/hyperlink" Id="rId61" Target="https://link.springer.com/10.1007/978-94-017-9792-4" TargetMode="External" /><Relationship Type="http://schemas.openxmlformats.org/officeDocument/2006/relationships/hyperlink" Id="rId49" Target="https://www.degruyterbrill.com/document/doi/10.7312/wood13040-008/html" TargetMode="External" /><Relationship Type="http://schemas.openxmlformats.org/officeDocument/2006/relationships/hyperlink" Id="rId35" Target="https://www.jstor.org/stable/1688046" TargetMode="External" /><Relationship Type="http://schemas.openxmlformats.org/officeDocument/2006/relationships/hyperlink" Id="rId33" Target="https://www.jstor.org/stable/2400220" TargetMode="External" /><Relationship Type="http://schemas.openxmlformats.org/officeDocument/2006/relationships/hyperlink" Id="rId145" Target="https://www.jstor.org/stable/27826322"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Fabien L. Condamine¹, Sara Varela²</dc:creator>
  <cp:keywords/>
  <dcterms:created xsi:type="dcterms:W3CDTF">2025-12-10T17:07:27Z</dcterms:created>
  <dcterms:modified xsi:type="dcterms:W3CDTF">2025-12-10T17:07:27Z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