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s"/>
    <w:p>
      <w:pPr>
        <w:pStyle w:val="Heading2"/>
      </w:pPr>
      <w:r>
        <w:t xml:space="preserve">Primary aims</w:t>
      </w:r>
    </w:p>
    <w:p>
      <w:pPr>
        <w:pStyle w:val="FirstParagraph"/>
      </w:pPr>
      <w:r>
        <w:t xml:space="preserve">Biology Letters or Current Biology</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w:t>
      </w:r>
    </w:p>
    <w:bookmarkEnd w:id="21"/>
    <w:bookmarkEnd w:id="22"/>
    <w:bookmarkStart w:id="23" w:name="abstract"/>
    <w:p>
      <w:pPr>
        <w:pStyle w:val="Heading1"/>
      </w:pPr>
      <w:r>
        <w:t xml:space="preserve">Abstract</w:t>
      </w:r>
    </w:p>
    <w:p>
      <w:pPr>
        <w:pStyle w:val="FirstParagraph"/>
      </w:pPr>
      <w:r>
        <w:t xml:space="preserve">The Great American Biotic Interchange (GABI) refers to the admixture of North and South American faunas promoted by the Mio-Pliocene closure of the isthmus of Panama. Among mammals, this faunal exchange was asymmetric because it witnessed a greater ability of North American lineages to establish southwards, meanwhile many South Americans went extinct. Here, coupling a mechanistic eco-evolutionary simulator with high-resolution palaeoclimatic reconstructions for the last 5 million years, we explore the extent to which palaeoclimate may have shaped such a biogeographic asymmetry. When climatic variables are the only constraints to virtual species’ ecology, our results indicate that successful interchanges are more frequently achieved when simulations start from South America than from North America, contrasting with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This study offers valuable insights into the processes behind one of the most puzzling macroecological enigmas, suggesting that palaeoclimatic history is not sufficient to explain the imbalanced success of North American migrants in South America following the GABI.</w:t>
      </w:r>
    </w:p>
    <w:bookmarkEnd w:id="23"/>
    <w:bookmarkStart w:id="24" w:name="keywords"/>
    <w:p>
      <w:pPr>
        <w:pStyle w:val="Heading1"/>
      </w:pPr>
      <w:r>
        <w:t xml:space="preserve">Keywords</w:t>
      </w:r>
    </w:p>
    <w:p>
      <w:pPr>
        <w:pStyle w:val="FirstParagraph"/>
      </w:pPr>
      <w:r>
        <w:t xml:space="preserve">Eco-evolutionary simulations; Mammals; Macroecology; Palaeoclimate</w:t>
      </w:r>
    </w:p>
    <w:p>
      <w:r>
        <w:br w:type="page"/>
      </w:r>
    </w:p>
    <w:bookmarkEnd w:id="24"/>
    <w:bookmarkStart w:id="25"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[9,15,16]</w:t>
      </w:r>
      <w:r>
        <w:t xml:space="preserve"> </w:t>
      </w:r>
      <w:r>
        <w:t xml:space="preserve">or predation of predator-naive preys</w:t>
      </w:r>
      <w:r>
        <w:t xml:space="preserve"> </w:t>
      </w:r>
      <w:r>
        <w:t xml:space="preserve">[9,17–19]</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w:r>
        <w:t xml:space="preserve">[8,10,</w:t>
      </w:r>
      <w:r>
        <w:rPr>
          <w:i/>
          <w:iCs/>
        </w:rPr>
        <w:t xml:space="preserve">e</w:t>
      </w:r>
      <w:r>
        <w:t xml:space="preserve">.</w:t>
      </w:r>
      <w:r>
        <w:rPr>
          <w:i/>
          <w:iCs/>
        </w:rPr>
        <w:t xml:space="preserve">g</w:t>
      </w:r>
      <w: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[26]</w:t>
      </w:r>
      <w:r>
        <w:t xml:space="preserve">. Recently, this family of models has provided unprecedented insights into the underlying forces behind widely-recognised biodiversity patterns, such as the latitudinal biodiversity gradient</w:t>
      </w:r>
      <w:r>
        <w:t xml:space="preserve"> </w:t>
      </w:r>
      <w:r>
        <w:t xml:space="preserve">[27]</w:t>
      </w:r>
      <w:r>
        <w:t xml:space="preserve">, the diversity desequilibrium between tropical rainforests across the globe</w:t>
      </w:r>
      <w:r>
        <w:t xml:space="preserve"> </w:t>
      </w:r>
      <w:r>
        <w:t xml:space="preserve">[28]</w:t>
      </w:r>
      <w:r>
        <w:t xml:space="preserve">, the build-up of the unique biodiversity along the Wallace line</w:t>
      </w:r>
      <w:r>
        <w:t xml:space="preserve"> </w:t>
      </w:r>
      <w:r>
        <w:t xml:space="preserve">[29]</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5"/>
    <w:bookmarkStart w:id="33" w:name="materials-and-methods"/>
    <w:p>
      <w:pPr>
        <w:pStyle w:val="Heading1"/>
      </w:pPr>
      <w:r>
        <w:t xml:space="preserve">Materials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represented as a straight line connecting two points located along the eastern and western coasts of present Panama (</w:t>
      </w:r>
      <m:oMath>
        <m:r>
          <m:rPr>
            <m:sty m:val="p"/>
          </m:rPr>
          <m:t>−</m:t>
        </m:r>
        <m:r>
          <m:t>82.882</m:t>
        </m:r>
        <m:r>
          <m:rPr>
            <m:sty m:val="p"/>
          </m:rPr>
          <m:t>°</m:t>
        </m:r>
      </m:oMath>
      <w:r>
        <w:t xml:space="preserve">lon,</w:t>
      </w:r>
      <w:r>
        <w:t xml:space="preserve"> </w:t>
      </w:r>
      <m:oMath>
        <m:r>
          <m:t>7.138</m:t>
        </m:r>
        <m:r>
          <m:rPr>
            <m:sty m:val="p"/>
          </m:rPr>
          <m:t>°</m:t>
        </m:r>
      </m:oMath>
      <w:r>
        <w:t xml:space="preserve">lat and</w:t>
      </w:r>
      <w:r>
        <w:t xml:space="preserve"> </w:t>
      </w:r>
      <m:oMath>
        <m:r>
          <m:rPr>
            <m:sty m:val="p"/>
          </m:rPr>
          <m:t>−</m:t>
        </m:r>
        <m:r>
          <m:t>81.369</m:t>
        </m:r>
        <m:r>
          <m:rPr>
            <m:sty m:val="p"/>
          </m:rPr>
          <m:t>°</m:t>
        </m:r>
      </m:oMath>
      <w:r>
        <w:t xml:space="preserve">lon and</w:t>
      </w:r>
      <w:r>
        <w:t xml:space="preserve"> </w:t>
      </w:r>
      <m:oMath>
        <m:r>
          <m:t>9.008</m:t>
        </m:r>
        <m:r>
          <m:rPr>
            <m:sty m:val="p"/>
          </m:rPr>
          <m:t>°</m:t>
        </m:r>
      </m:oMath>
      <w:r>
        <w:t xml:space="preserve">lat) (</w:t>
      </w:r>
      <w:hyperlink w:anchor="fig-1">
        <w:r>
          <w:rPr>
            <w:rStyle w:val="Hyperlink"/>
          </w:rPr>
          <w:t xml:space="preserve">Figure 1</w:t>
        </w:r>
      </w:hyperlink>
      <w:r>
        <w:t xml:space="preserve">).</w:t>
      </w:r>
    </w:p>
    <w:bookmarkStart w:id="30" w:name="palaeoclimate-data"/>
    <w:p>
      <w:pPr>
        <w:pStyle w:val="Heading2"/>
      </w:pPr>
      <w:r>
        <w:t xml:space="preserve">Palaeoclimate data</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587151" cy="5184144"/>
                  <wp:effectExtent b="0" l="0" r="0" t="0"/>
                  <wp:docPr descr="" title="" id="27" name="Picture"/>
                  <a:graphic>
                    <a:graphicData uri="http://schemas.openxmlformats.org/drawingml/2006/picture">
                      <pic:pic>
                        <pic:nvPicPr>
                          <pic:cNvPr descr="../Figures/MS/Main/Figure1/Figure1.png" id="28" name="Picture"/>
                          <pic:cNvPicPr>
                            <a:picLocks noChangeArrowheads="1" noChangeAspect="1"/>
                          </pic:cNvPicPr>
                        </pic:nvPicPr>
                        <pic:blipFill>
                          <a:blip r:embed="rId26"/>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Palaeoclimate histories within our studied landmasses (North America−in red, and South America−in green). Spatially-averaged climate variables (Annual Temperature and Precipitations) are taken from the PALEO-PGEM palaeoclimate emulator</w:t>
            </w:r>
            <w:r>
              <w:t xml:space="preserve"> </w:t>
            </w:r>
            <w:r>
              <w:t xml:space="preserve">[33]</w:t>
            </w:r>
            <w:r>
              <w:t xml:space="preserve">. The empirically-derived asymmetry of the transcontinental land mammal exchange is represented by the thickness of the two arrows, the thicker the arrow, the more intense the exchange.</w:t>
            </w:r>
          </w:p>
          <w:bookmarkEnd w:id="29"/>
        </w:tc>
      </w:tr>
    </w:tbl>
    <w:p>
      <w:pPr>
        <w:pStyle w:val="BodyText"/>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 years-time step to a 10,000 years time-step.</w:t>
      </w:r>
    </w:p>
    <w:p>
      <w:pPr>
        <w:pStyle w:val="BodyText"/>
      </w:pPr>
      <w:r>
        <w:t xml:space="preserve">Additionally, in order to discriminate simulations on the basis of the biome the initial species starts in, we reclassified monthly palaeoclimate layers for our starting time (</w:t>
      </w:r>
      <m:oMath>
        <m:r>
          <m:t>t</m:t>
        </m:r>
        <m:r>
          <m:rPr>
            <m:sty m:val="p"/>
          </m:rPr>
          <m:t>=</m:t>
        </m:r>
        <m:r>
          <m:t>5</m:t>
        </m:r>
      </m:oMath>
      <w:r>
        <w:t xml:space="preserve"> </w:t>
      </w:r>
      <w:r>
        <w:t xml:space="preserve">Myrs) according to Köppen-Geiger broad climate types</w:t>
      </w:r>
      <w:r>
        <w:t xml:space="preserve"> </w:t>
      </w:r>
      <w:r>
        <w:t xml:space="preserve">[35]</w:t>
      </w:r>
      <w:r>
        <w:t xml:space="preserve">. This classification divides the world into five broad climatic regions: Polar, Cold, Temperate, Arid and Tropical.</w:t>
      </w:r>
    </w:p>
    <w:bookmarkEnd w:id="30"/>
    <w:bookmarkStart w:id="31"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made up with the two time-series of the aforementioned palaeoclimatic layers. Within this landscape, virtual species, made up with populations, inhabited a set of connected cells. At each time step, populations could disperse to the surrounding cells with an intensity sampled in a Weibull distribution (of shape and scale respectively termed</w:t>
      </w:r>
      <w:r>
        <w:t xml:space="preserve"> </w:t>
      </w:r>
      <m:oMath>
        <m:r>
          <m:t>ϕ</m:t>
        </m:r>
      </m:oMath>
      <w:r>
        <w:t xml:space="preserve"> </w:t>
      </w:r>
      <w:r>
        <w:t xml:space="preserve">and</w:t>
      </w:r>
      <w:r>
        <w:t xml:space="preserve"> </w:t>
      </w:r>
      <m:oMath>
        <m:r>
          <m:t>ψ</m:t>
        </m:r>
      </m:oMath>
      <w:r>
        <w:t xml:space="preserve">). If, by chance, two populations happened to be disconnected, they would accumulate divergence as long as they get disconnected, at a rate ruled by a divergence factor, here set to</w:t>
      </w:r>
      <w:r>
        <w:t xml:space="preserve"> </w:t>
      </w:r>
      <m:oMath>
        <m:r>
          <m:t>0.05</m:t>
        </m:r>
      </m:oMath>
      <w:r>
        <w:t xml:space="preserve">. Once passed a divergence threshold (</w:t>
      </w:r>
      <m:oMath>
        <m:r>
          <m:t>S</m:t>
        </m:r>
      </m:oMath>
      <w:r>
        <w:t xml:space="preserve">), speciation would occur. Thus,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A total of 500 replicates was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 only in models where we allowed climatic niche to evolve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precipitations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w:t>
      </w:r>
      <w:r>
        <w:t xml:space="preserve"> </w:t>
      </w:r>
      <w:r>
        <w:t xml:space="preserve">[28,29]</w:t>
      </w:r>
      <w:r>
        <w:t xml:space="preserve">. Parameter ranges were determined on the basis of a literature review, allowing to assess their biological relevance, and were further adjusted in order to limit the prevalence of crashing simulations. In addition to these varying parameters, we specified the value of several fixed parameters (Tab. S1)</w:t>
      </w:r>
    </w:p>
    <w:p>
      <w:pPr>
        <w:pStyle w:val="BodyText"/>
      </w:pPr>
      <w:r>
        <w:t xml:space="preserve">We implemented various simulation scenarios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31"/>
    <w:bookmarkStart w:id="32" w:name="postprocessing-and-quantifications"/>
    <w:p>
      <w:pPr>
        <w:pStyle w:val="Heading2"/>
      </w:pPr>
      <w:r>
        <w:t xml:space="preserve">Postprocessing and quantifications</w:t>
      </w:r>
    </w:p>
    <w:p>
      <w:pPr>
        <w:pStyle w:val="FirstParagraph"/>
      </w:pPr>
      <w:r>
        <w:t xml:space="preserve">At every time step, for each run of each simulation, we used a function released by Skeels et al.</w:t>
      </w:r>
      <w:r>
        <w:t xml:space="preserve"> </w:t>
      </w:r>
      <w:r>
        <w:t xml:space="preserve">[29]</w:t>
      </w:r>
      <w:r>
        <w:t xml:space="preserve"> </w:t>
      </w:r>
      <w:r>
        <w:t xml:space="preserve">to save presence-absence matrices. Given a time</w:t>
      </w:r>
      <w:r>
        <w:t xml:space="preserve"> </w:t>
      </w:r>
      <m:oMath>
        <m:r>
          <m:t>t</m:t>
        </m:r>
      </m:oMath>
      <w:r>
        <w:t xml:space="preserve">, those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lead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(let’s call it</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in the case of a successful exchange, we quantified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 We also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w:t>
      </w:r>
    </w:p>
    <w:p>
      <w:pPr>
        <w:pStyle w:val="BodyText"/>
      </w:pPr>
      <w:r>
        <w:t xml:space="preserve">Additionnally, we also evaluated the distance of the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w:t>
      </w:r>
    </w:p>
    <w:bookmarkEnd w:id="32"/>
    <w:bookmarkEnd w:id="33"/>
    <w:bookmarkStart w:id="41" w:name="results"/>
    <w:p>
      <w:pPr>
        <w:pStyle w:val="Heading1"/>
      </w:pPr>
      <w:r>
        <w:t xml:space="preserve">Results</w:t>
      </w:r>
    </w:p>
    <w:bookmarkStart w:id="38" w:name="X46091cfcf02b26afcadcbdab517ba968c60939b"/>
    <w:p>
      <w:pPr>
        <w:pStyle w:val="Heading2"/>
      </w:pPr>
      <w:r>
        <w:t xml:space="preserve">Climate makes it easier to reach North America from South America than the other way round</w:t>
      </w:r>
    </w:p>
    <w:p>
      <w:pPr>
        <w:pStyle w:val="FirstParagraph"/>
      </w:pPr>
      <w:r>
        <w:t xml:space="preserve">Unexpectedly, our simulation-based framework suggests that the proportion of simulations successfully reaching the other continent is always higher when starting from South America than from North America (Fig X). This imbalance, strikingly going against our expectations, is maintained whether we allowed species climatic niche to evolve following climatic change (44% vs. 87%, model M1) or not (29% vs 59%, model M0,</w:t>
      </w:r>
      <w:r>
        <w:t xml:space="preserve"> </w:t>
      </w:r>
      <w:hyperlink w:anchor="fig-2">
        <w:r>
          <w:rPr>
            <w:rStyle w:val="Hyperlink"/>
          </w:rPr>
          <w:t xml:space="preserve">Figure 2</w:t>
        </w:r>
      </w:hyperlink>
      <w:r>
        <w:t xml:space="preserve">). That being said, it has to be noticed that there the proportion of simulations resulting in no living representative (=crash) was on average twice higher for simulations starting in North America.</w:t>
      </w:r>
    </w:p>
    <w:tbl>
      <w:tblPr>
        <w:tblStyle w:val="Table"/>
        <w:tblW w:type="pct" w:w="5000"/>
        <w:tblLayout w:type="fixed"/>
        <w:tblLook w:firstRow="0" w:lastRow="0" w:firstColumn="0" w:lastColumn="0" w:noHBand="0" w:noVBand="0" w:val="0000"/>
      </w:tblPr>
      <w:tblGrid>
        <w:gridCol w:w="7920"/>
      </w:tblGrid>
      <w:tr>
        <w:tc>
          <w:tcPr/>
          <w:bookmarkStart w:id="37" w:name="fig-2"/>
          <w:p>
            <w:pPr>
              <w:pStyle w:val="Compact"/>
              <w:jc w:val="center"/>
            </w:pPr>
            <w:r>
              <w:drawing>
                <wp:inline>
                  <wp:extent cx="5943600" cy="2796378"/>
                  <wp:effectExtent b="0" l="0" r="0" t="0"/>
                  <wp:docPr descr="" title="" id="35" name="Picture"/>
                  <a:graphic>
                    <a:graphicData uri="http://schemas.openxmlformats.org/drawingml/2006/picture">
                      <pic:pic>
                        <pic:nvPicPr>
                          <pic:cNvPr descr="../Figures/prop_successful_exch/succ_exch_panel.png" id="36" name="Picture"/>
                          <pic:cNvPicPr>
                            <a:picLocks noChangeArrowheads="1" noChangeAspect="1"/>
                          </pic:cNvPicPr>
                        </pic:nvPicPr>
                        <pic:blipFill>
                          <a:blip r:embed="rId34"/>
                          <a:stretch>
                            <a:fillRect/>
                          </a:stretch>
                        </pic:blipFill>
                        <pic:spPr bwMode="auto">
                          <a:xfrm>
                            <a:off x="0" y="0"/>
                            <a:ext cx="5943600" cy="27963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successful exchange to the other continent, either starting from North (red) or South (blue) America.</w:t>
            </w:r>
          </w:p>
          <w:bookmarkEnd w:id="37"/>
        </w:tc>
      </w:tr>
    </w:tbl>
    <w:p>
      <w:pPr>
        <w:pStyle w:val="BodyText"/>
      </w:pPr>
      <w:r>
        <w:rPr>
          <w:b/>
          <w:bCs/>
        </w:rPr>
        <w:t xml:space="preserve">Biome here?</w:t>
      </w:r>
    </w:p>
    <w:bookmarkEnd w:id="38"/>
    <w:bookmarkStart w:id="39" w:name="success-on-the-foreign-continent"/>
    <w:p>
      <w:pPr>
        <w:pStyle w:val="Heading2"/>
      </w:pPr>
      <w:r>
        <w:t xml:space="preserve">Success on the foreign continent</w:t>
      </w:r>
    </w:p>
    <w:bookmarkEnd w:id="39"/>
    <w:bookmarkStart w:id="40" w:name="X7a927ae912a5869e71832d686916bf60c91de1e"/>
    <w:p>
      <w:pPr>
        <w:pStyle w:val="Heading2"/>
      </w:pPr>
      <w:r>
        <w:t xml:space="preserve">Geographic features of the simulated interchange</w:t>
      </w:r>
    </w:p>
    <w:p>
      <w:r>
        <w:br w:type="page"/>
      </w:r>
    </w:p>
    <w:bookmarkEnd w:id="40"/>
    <w:bookmarkEnd w:id="41"/>
    <w:bookmarkStart w:id="45"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[31]</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 though see Vrba.</w:t>
      </w:r>
    </w:p>
    <w:bookmarkStart w:id="42" w:name="climate"/>
    <w:p>
      <w:pPr>
        <w:pStyle w:val="Heading2"/>
      </w:pPr>
      <w:r>
        <w:t xml:space="preserve">Climate</w:t>
      </w:r>
    </w:p>
    <w:p>
      <w:pPr>
        <w:pStyle w:val="FirstParagraph"/>
      </w:pPr>
      <w:r>
        <w:t xml:space="preserve">One of the predictions of Vrba’s ressource-use hypotheses formulated in the framework of the habitat theory</w:t>
      </w:r>
      <w:r>
        <w:t xml:space="preserve"> </w:t>
      </w:r>
      <w:r>
        <w:t xml:space="preserve">[20]</w:t>
      </w:r>
      <w:r>
        <w:t xml:space="preserve"> </w:t>
      </w:r>
      <w:r>
        <w:t xml:space="preserve">applied to the GABI 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p>
      <w:pPr>
        <w:pStyle w:val="BodyText"/>
      </w:pPr>
      <w:r>
        <w:t xml:space="preserve">Precipitation niche</w:t>
      </w:r>
      <w:r>
        <w:t xml:space="preserve"> </w:t>
      </w:r>
      <w:r>
        <w:t xml:space="preserve">[29]</w:t>
      </w:r>
    </w:p>
    <w:bookmarkEnd w:id="42"/>
    <w:bookmarkStart w:id="43"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t xml:space="preserve"> </w:t>
      </w:r>
      <w:r>
        <w:t xml:space="preserve">[39]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Temporality (red queen vs. court jester, Benton 2001) =&gt; favouring biotic ?</w:t>
      </w:r>
    </w:p>
    <w:p>
      <w:pPr>
        <w:pStyle w:val="BodyText"/>
      </w:pPr>
      <w:r>
        <w:t xml:space="preserve">Fortuitous experiment ?</w:t>
      </w:r>
    </w:p>
    <w:bookmarkEnd w:id="43"/>
    <w:bookmarkStart w:id="44"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whereas we know that this region changed across our study.</w:t>
      </w:r>
    </w:p>
    <w:p>
      <w:pPr>
        <w:pStyle w:val="BodyText"/>
      </w:pPr>
      <w:r>
        <w:t xml:space="preserve">Problem of taxonomic extinctions in Gen3sis!</w:t>
      </w:r>
    </w:p>
    <w:bookmarkEnd w:id="44"/>
    <w:bookmarkEnd w:id="45"/>
    <w:bookmarkStart w:id="46"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[13]</w:t>
      </w:r>
      <w:r>
        <w:t xml:space="preserve"> </w:t>
      </w:r>
      <w:r>
        <w:t xml:space="preserve">or sparassodonts (metatherian predators,</w:t>
      </w:r>
      <w:r>
        <w:t xml:space="preserve"> </w:t>
      </w:r>
      <w:r>
        <w:t xml:space="preserve">[22,42]</w:t>
      </w:r>
      <w:r>
        <w:t xml:space="preserve">) that followed the establishment of northern lineages</w:t>
      </w:r>
      <w:r>
        <w:t xml:space="preserve"> </w:t>
      </w:r>
      <w: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[21,22]</w:t>
      </w:r>
      <w:r>
        <w:t xml:space="preserve">. That being said, using phylogenetic regressions, Faurby et al.</w:t>
      </w:r>
      <w:r>
        <w:t xml:space="preserve"> </w:t>
      </w:r>
      <w: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[8,10,17]</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[8,10,17,24]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12]</w:t>
      </w:r>
      <w:r>
        <w:t xml:space="preserve">.</w:t>
      </w:r>
    </w:p>
    <w:p>
      <w:r>
        <w:br w:type="page"/>
      </w:r>
    </w:p>
    <w:bookmarkEnd w:id="46"/>
    <w:bookmarkStart w:id="130" w:name="references"/>
    <w:p>
      <w:pPr>
        <w:pStyle w:val="Heading1"/>
      </w:pPr>
      <w:r>
        <w:t xml:space="preserve">References</w:t>
      </w:r>
    </w:p>
    <w:bookmarkStart w:id="129" w:name="refs"/>
    <w:bookmarkStart w:id="48" w:name="ref-marshall1982"/>
    <w:p>
      <w:pPr>
        <w:pStyle w:val="Bibliography"/>
      </w:pPr>
      <w:r>
        <w:t xml:space="preserve">1.</w:t>
      </w:r>
      <w:r>
        <w:t xml:space="preserve"> </w:t>
      </w:r>
      <w:r>
        <w:t xml:space="preserve">	</w:t>
      </w:r>
      <w:r>
        <w:t xml:space="preserve">Marshall LG, Webb SD, Sepkoski JJ, Raup DM. 1982</w:t>
      </w:r>
      <w:r>
        <w:t xml:space="preserve"> </w:t>
      </w:r>
      <w:hyperlink r:id="rId47">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48"/>
    <w:bookmarkStart w:id="50"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49">
        <w:r>
          <w:rPr>
            <w:rStyle w:val="Hyperlink"/>
          </w:rPr>
          <w:t xml:space="preserve">10.1126/science.aaa2815</w:t>
        </w:r>
      </w:hyperlink>
      <w:r>
        <w:t xml:space="preserve">)</w:t>
      </w:r>
    </w:p>
    <w:bookmarkEnd w:id="50"/>
    <w:bookmarkStart w:id="52" w:name="ref-jaramillo2018"/>
    <w:p>
      <w:pPr>
        <w:pStyle w:val="Bibliography"/>
      </w:pPr>
      <w:r>
        <w:t xml:space="preserve">3.</w:t>
      </w:r>
      <w:r>
        <w:t xml:space="preserve"> </w:t>
      </w:r>
      <w:r>
        <w:t xml:space="preserve">	</w:t>
      </w:r>
      <w:r>
        <w:t xml:space="preserve">Jaramillo CA. 2018</w:t>
      </w:r>
      <w:r>
        <w:t xml:space="preserve"> </w:t>
      </w:r>
      <w:hyperlink r:id="rId51">
        <w:r>
          <w:rPr>
            <w:rStyle w:val="Hyperlink"/>
          </w:rPr>
          <w:t xml:space="preserve">Evolution of the isthmus of panama: Biological, paleoceanographic and paleoclimatological implications</w:t>
        </w:r>
      </w:hyperlink>
      <w:r>
        <w:t xml:space="preserve">. John Wiley &amp; Sons.</w:t>
      </w:r>
      <w:r>
        <w:t xml:space="preserve"> </w:t>
      </w:r>
    </w:p>
    <w:bookmarkEnd w:id="52"/>
    <w:bookmarkStart w:id="54"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53">
        <w:r>
          <w:rPr>
            <w:rStyle w:val="Hyperlink"/>
          </w:rPr>
          <w:t xml:space="preserve">10.1126/sciadv.1600883</w:t>
        </w:r>
      </w:hyperlink>
      <w:r>
        <w:t xml:space="preserve">)</w:t>
      </w:r>
    </w:p>
    <w:bookmarkEnd w:id="54"/>
    <w:bookmarkStart w:id="56"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55">
        <w:r>
          <w:rPr>
            <w:rStyle w:val="Hyperlink"/>
          </w:rPr>
          <w:t xml:space="preserve">10.1016/j.geobios.2006.09.005</w:t>
        </w:r>
      </w:hyperlink>
      <w:r>
        <w:t xml:space="preserve">)</w:t>
      </w:r>
    </w:p>
    <w:bookmarkEnd w:id="56"/>
    <w:bookmarkStart w:id="58"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57">
        <w:r>
          <w:rPr>
            <w:rStyle w:val="Hyperlink"/>
          </w:rPr>
          <w:t xml:space="preserve">10.1007/s10914-010-9144-8</w:t>
        </w:r>
      </w:hyperlink>
      <w:r>
        <w:t xml:space="preserve">)</w:t>
      </w:r>
    </w:p>
    <w:bookmarkEnd w:id="58"/>
    <w:bookmarkStart w:id="60"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59">
        <w:r>
          <w:rPr>
            <w:rStyle w:val="Hyperlink"/>
          </w:rPr>
          <w:t xml:space="preserve">10.1073/pnas.1423853112</w:t>
        </w:r>
      </w:hyperlink>
      <w:r>
        <w:t xml:space="preserve">)</w:t>
      </w:r>
    </w:p>
    <w:bookmarkEnd w:id="60"/>
    <w:bookmarkStart w:id="62"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61">
        <w:r>
          <w:rPr>
            <w:rStyle w:val="Hyperlink"/>
          </w:rPr>
          <w:t xml:space="preserve">10.1130/G37624.1</w:t>
        </w:r>
      </w:hyperlink>
      <w:r>
        <w:t xml:space="preserve">)</w:t>
      </w:r>
    </w:p>
    <w:bookmarkEnd w:id="62"/>
    <w:bookmarkStart w:id="64" w:name="ref-webb1976"/>
    <w:p>
      <w:pPr>
        <w:pStyle w:val="Bibliography"/>
      </w:pPr>
      <w:r>
        <w:t xml:space="preserve">9.</w:t>
      </w:r>
      <w:r>
        <w:t xml:space="preserve"> </w:t>
      </w:r>
      <w:r>
        <w:t xml:space="preserve">	</w:t>
      </w:r>
      <w:r>
        <w:t xml:space="preserve">Webb SD. 1976</w:t>
      </w:r>
      <w:r>
        <w:t xml:space="preserve"> </w:t>
      </w:r>
      <w:hyperlink r:id="rId63">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64"/>
    <w:bookmarkStart w:id="66"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5">
        <w:r>
          <w:rPr>
            <w:rStyle w:val="Hyperlink"/>
          </w:rPr>
          <w:t xml:space="preserve">10.1017/S0094837300010605</w:t>
        </w:r>
      </w:hyperlink>
      <w:r>
        <w:t xml:space="preserve">)</w:t>
      </w:r>
    </w:p>
    <w:bookmarkEnd w:id="66"/>
    <w:bookmarkStart w:id="68"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67">
        <w:r>
          <w:rPr>
            <w:rStyle w:val="Hyperlink"/>
          </w:rPr>
          <w:t xml:space="preserve">https://link.springer.com/10.1007/978-94-017-9792-4</w:t>
        </w:r>
      </w:hyperlink>
      <w:r>
        <w:t xml:space="preserve">.</w:t>
      </w:r>
    </w:p>
    <w:bookmarkEnd w:id="68"/>
    <w:bookmarkStart w:id="70"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69">
        <w:r>
          <w:rPr>
            <w:rStyle w:val="Hyperlink"/>
          </w:rPr>
          <w:t xml:space="preserve">10.1073/pnas.2009397117</w:t>
        </w:r>
      </w:hyperlink>
      <w:r>
        <w:t xml:space="preserve">)</w:t>
      </w:r>
    </w:p>
    <w:bookmarkEnd w:id="70"/>
    <w:bookmarkStart w:id="72" w:name="ref-croft2020"/>
    <w:p>
      <w:pPr>
        <w:pStyle w:val="Bibliography"/>
      </w:pPr>
      <w:r>
        <w:t xml:space="preserve">13.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71">
        <w:r>
          <w:rPr>
            <w:rStyle w:val="Hyperlink"/>
          </w:rPr>
          <w:t xml:space="preserve">10.1146/annurev-earth-072619-060126</w:t>
        </w:r>
      </w:hyperlink>
      <w:r>
        <w:t xml:space="preserve">)</w:t>
      </w:r>
    </w:p>
    <w:bookmarkEnd w:id="72"/>
    <w:bookmarkStart w:id="74" w:name="ref-boscaini2025"/>
    <w:p>
      <w:pPr>
        <w:pStyle w:val="Bibliography"/>
      </w:pPr>
      <w:r>
        <w:t xml:space="preserve">14.</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73">
        <w:r>
          <w:rPr>
            <w:rStyle w:val="Hyperlink"/>
          </w:rPr>
          <w:t xml:space="preserve">10.1126/science.adu0704</w:t>
        </w:r>
      </w:hyperlink>
      <w:r>
        <w:t xml:space="preserve">)</w:t>
      </w:r>
    </w:p>
    <w:bookmarkEnd w:id="74"/>
    <w:bookmarkStart w:id="75" w:name="ref-simpson1980"/>
    <w:p>
      <w:pPr>
        <w:pStyle w:val="Bibliography"/>
      </w:pPr>
      <w:r>
        <w:t xml:space="preserve">15.</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75"/>
    <w:bookmarkStart w:id="77" w:name="ref-domingo2020"/>
    <w:p>
      <w:pPr>
        <w:pStyle w:val="Bibliography"/>
      </w:pPr>
      <w:r>
        <w:t xml:space="preserve">16.</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76">
        <w:r>
          <w:rPr>
            <w:rStyle w:val="Hyperlink"/>
          </w:rPr>
          <w:t xml:space="preserve">10.1038/s41598-020-58575-6</w:t>
        </w:r>
      </w:hyperlink>
      <w:r>
        <w:t xml:space="preserve">)</w:t>
      </w:r>
    </w:p>
    <w:bookmarkEnd w:id="77"/>
    <w:bookmarkStart w:id="78" w:name="ref-marshall1990"/>
    <w:p>
      <w:pPr>
        <w:pStyle w:val="Bibliography"/>
      </w:pPr>
      <w:r>
        <w:t xml:space="preserve">17.</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78"/>
    <w:bookmarkStart w:id="80" w:name="ref-faurby2016"/>
    <w:p>
      <w:pPr>
        <w:pStyle w:val="Bibliography"/>
      </w:pPr>
      <w:r>
        <w:t xml:space="preserve">18.</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79">
        <w:r>
          <w:rPr>
            <w:rStyle w:val="Hyperlink"/>
          </w:rPr>
          <w:t xml:space="preserve">10.1111/geb.12504</w:t>
        </w:r>
      </w:hyperlink>
      <w:r>
        <w:t xml:space="preserve">)</w:t>
      </w:r>
    </w:p>
    <w:bookmarkEnd w:id="80"/>
    <w:bookmarkStart w:id="82" w:name="ref-fernández-monescillo2025"/>
    <w:p>
      <w:pPr>
        <w:pStyle w:val="Bibliography"/>
      </w:pPr>
      <w:r>
        <w:t xml:space="preserve">19.</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81">
        <w:r>
          <w:rPr>
            <w:rStyle w:val="Hyperlink"/>
          </w:rPr>
          <w:t xml:space="preserve">10.1111/pala.70012</w:t>
        </w:r>
      </w:hyperlink>
      <w:r>
        <w:t xml:space="preserve">)</w:t>
      </w:r>
    </w:p>
    <w:bookmarkEnd w:id="82"/>
    <w:bookmarkStart w:id="84" w:name="ref-vrba1992"/>
    <w:p>
      <w:pPr>
        <w:pStyle w:val="Bibliography"/>
      </w:pPr>
      <w:r>
        <w:t xml:space="preserve">20.</w:t>
      </w:r>
      <w:r>
        <w:t xml:space="preserve"> </w:t>
      </w:r>
      <w:r>
        <w:t xml:space="preserve">	</w:t>
      </w:r>
      <w:r>
        <w:t xml:space="preserve">Vrba ES. 1992 Mammals as a Key to Evolutionary Theory.</w:t>
      </w:r>
      <w:r>
        <w:t xml:space="preserve"> </w:t>
      </w:r>
      <w:r>
        <w:rPr>
          <w:i/>
          <w:iCs/>
        </w:rPr>
        <w:t xml:space="preserve">Journal of Mammalogy</w:t>
      </w:r>
      <w:r>
        <w:t xml:space="preserve"> </w:t>
      </w:r>
      <w:r>
        <w:rPr>
          <w:b/>
          <w:bCs/>
        </w:rPr>
        <w:t xml:space="preserve">73</w:t>
      </w:r>
      <w:r>
        <w:t xml:space="preserve">, 1–28. (doi:</w:t>
      </w:r>
      <w:hyperlink r:id="rId83">
        <w:r>
          <w:rPr>
            <w:rStyle w:val="Hyperlink"/>
          </w:rPr>
          <w:t xml:space="preserve">10.2307/1381862</w:t>
        </w:r>
      </w:hyperlink>
      <w:r>
        <w:t xml:space="preserve">)</w:t>
      </w:r>
    </w:p>
    <w:bookmarkEnd w:id="84"/>
    <w:bookmarkStart w:id="86" w:name="ref-prevosti2013"/>
    <w:p>
      <w:pPr>
        <w:pStyle w:val="Bibliography"/>
      </w:pPr>
      <w:r>
        <w:t xml:space="preserve">21.</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85">
        <w:r>
          <w:rPr>
            <w:rStyle w:val="Hyperlink"/>
          </w:rPr>
          <w:t xml:space="preserve">10.1007/s10914-011-9175-9</w:t>
        </w:r>
      </w:hyperlink>
      <w:r>
        <w:t xml:space="preserve">)</w:t>
      </w:r>
    </w:p>
    <w:bookmarkEnd w:id="86"/>
    <w:bookmarkStart w:id="88" w:name="ref-tarquini2022"/>
    <w:p>
      <w:pPr>
        <w:pStyle w:val="Bibliography"/>
      </w:pPr>
      <w:r>
        <w:t xml:space="preserve">22.</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87">
        <w:r>
          <w:rPr>
            <w:rStyle w:val="Hyperlink"/>
          </w:rPr>
          <w:t xml:space="preserve">10.1038/s41598-022-05266-z</w:t>
        </w:r>
      </w:hyperlink>
      <w:r>
        <w:t xml:space="preserve">)</w:t>
      </w:r>
    </w:p>
    <w:bookmarkEnd w:id="88"/>
    <w:bookmarkStart w:id="90" w:name="ref-marsà2025"/>
    <w:p>
      <w:pPr>
        <w:pStyle w:val="Bibliography"/>
      </w:pPr>
      <w:r>
        <w:t xml:space="preserve">23.</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89">
        <w:r>
          <w:rPr>
            <w:rStyle w:val="Hyperlink"/>
          </w:rPr>
          <w:t xml:space="preserve">10.3390/d17030153</w:t>
        </w:r>
      </w:hyperlink>
      <w:r>
        <w:t xml:space="preserve">)</w:t>
      </w:r>
    </w:p>
    <w:bookmarkEnd w:id="90"/>
    <w:bookmarkStart w:id="92"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91">
        <w:r>
          <w:rPr>
            <w:rStyle w:val="Hyperlink"/>
          </w:rPr>
          <w:t xml:space="preserve">10.1038/s44185-024-00045-7</w:t>
        </w:r>
      </w:hyperlink>
      <w:r>
        <w:t xml:space="preserve">)</w:t>
      </w:r>
    </w:p>
    <w:bookmarkEnd w:id="92"/>
    <w:bookmarkStart w:id="94" w:name="ref-pilowsky2022"/>
    <w:p>
      <w:pPr>
        <w:pStyle w:val="Bibliography"/>
      </w:pPr>
      <w:r>
        <w:t xml:space="preserve">25.</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93">
        <w:r>
          <w:rPr>
            <w:rStyle w:val="Hyperlink"/>
          </w:rPr>
          <w:t xml:space="preserve">10.1126/sciadv.abj2271</w:t>
        </w:r>
      </w:hyperlink>
      <w:r>
        <w:t xml:space="preserve">)</w:t>
      </w:r>
    </w:p>
    <w:bookmarkEnd w:id="94"/>
    <w:bookmarkStart w:id="96"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5">
        <w:r>
          <w:rPr>
            <w:rStyle w:val="Hyperlink"/>
          </w:rPr>
          <w:t xml:space="preserve">10.1111/ecog.06132</w:t>
        </w:r>
      </w:hyperlink>
      <w:r>
        <w:t xml:space="preserve">)</w:t>
      </w:r>
    </w:p>
    <w:bookmarkEnd w:id="96"/>
    <w:bookmarkStart w:id="98" w:name="ref-hagen2021"/>
    <w:p>
      <w:pPr>
        <w:pStyle w:val="Bibliography"/>
      </w:pPr>
      <w:r>
        <w:t xml:space="preserve">27.</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7">
        <w:r>
          <w:rPr>
            <w:rStyle w:val="Hyperlink"/>
          </w:rPr>
          <w:t xml:space="preserve">10.1371/journal.pbio.3001340</w:t>
        </w:r>
      </w:hyperlink>
      <w:r>
        <w:t xml:space="preserve">)</w:t>
      </w:r>
    </w:p>
    <w:bookmarkEnd w:id="98"/>
    <w:bookmarkStart w:id="100" w:name="ref-hagen2021b"/>
    <w:p>
      <w:pPr>
        <w:pStyle w:val="Bibliography"/>
      </w:pPr>
      <w:r>
        <w:t xml:space="preserve">28.</w:t>
      </w:r>
      <w:r>
        <w:t xml:space="preserve"> </w:t>
      </w:r>
      <w:r>
        <w:t xml:space="preserve">	</w:t>
      </w:r>
      <w:r>
        <w:t xml:space="preserve">Hagen O, Skeels A, Onstein RE, Jetz W, Pellissier L. 2021 Earth history events shaped the evolution of uneven biodiversity across tropical moist forests.</w:t>
      </w:r>
      <w:r>
        <w:t xml:space="preserve"> </w:t>
      </w:r>
      <w:r>
        <w:rPr>
          <w:i/>
          <w:iCs/>
        </w:rPr>
        <w:t xml:space="preserve">Proceedings of the National Academy of Sciences</w:t>
      </w:r>
      <w:r>
        <w:t xml:space="preserve"> </w:t>
      </w:r>
      <w:r>
        <w:rPr>
          <w:b/>
          <w:bCs/>
        </w:rPr>
        <w:t xml:space="preserve">118</w:t>
      </w:r>
      <w:r>
        <w:t xml:space="preserve">, e2026347118. (doi:</w:t>
      </w:r>
      <w:hyperlink r:id="rId99">
        <w:r>
          <w:rPr>
            <w:rStyle w:val="Hyperlink"/>
          </w:rPr>
          <w:t xml:space="preserve">10.1073/pnas.2026347118</w:t>
        </w:r>
      </w:hyperlink>
      <w:r>
        <w:t xml:space="preserve">)</w:t>
      </w:r>
    </w:p>
    <w:bookmarkEnd w:id="100"/>
    <w:bookmarkStart w:id="102" w:name="ref-skeels2023b"/>
    <w:p>
      <w:pPr>
        <w:pStyle w:val="Bibliography"/>
      </w:pPr>
      <w:r>
        <w:t xml:space="preserve">29.</w:t>
      </w:r>
      <w:r>
        <w:t xml:space="preserve"> </w:t>
      </w:r>
      <w:r>
        <w:t xml:space="preserve">	</w:t>
      </w:r>
      <w:r>
        <w:t xml:space="preserve">Skeels A</w:t>
      </w:r>
      <w:r>
        <w:t xml:space="preserve"> </w:t>
      </w:r>
      <w:r>
        <w:rPr>
          <w:i/>
          <w:iCs/>
        </w:rPr>
        <w:t xml:space="preserve">et al.</w:t>
      </w:r>
      <w:r>
        <w:t xml:space="preserve"> 2023 Paleoenvironments shaped the exchange of terrestrial vertebrates across wallace’s line.</w:t>
      </w:r>
      <w:r>
        <w:t xml:space="preserve"> </w:t>
      </w:r>
      <w:r>
        <w:rPr>
          <w:i/>
          <w:iCs/>
        </w:rPr>
        <w:t xml:space="preserve">Science</w:t>
      </w:r>
      <w:r>
        <w:t xml:space="preserve"> </w:t>
      </w:r>
      <w:r>
        <w:rPr>
          <w:b/>
          <w:bCs/>
        </w:rPr>
        <w:t xml:space="preserve">381</w:t>
      </w:r>
      <w:r>
        <w:t xml:space="preserve">, 86–92. (doi:</w:t>
      </w:r>
      <w:hyperlink r:id="rId101">
        <w:r>
          <w:rPr>
            <w:rStyle w:val="Hyperlink"/>
          </w:rPr>
          <w:t xml:space="preserve">10.1126/science.adf7122</w:t>
        </w:r>
      </w:hyperlink>
      <w:r>
        <w:t xml:space="preserve">)</w:t>
      </w:r>
    </w:p>
    <w:bookmarkEnd w:id="102"/>
    <w:bookmarkStart w:id="104" w:name="ref-boschman2023"/>
    <w:p>
      <w:pPr>
        <w:pStyle w:val="Bibliography"/>
      </w:pPr>
      <w:r>
        <w:t xml:space="preserve">30.</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103">
        <w:r>
          <w:rPr>
            <w:rStyle w:val="Hyperlink"/>
          </w:rPr>
          <w:t xml:space="preserve">10.1038/s41559-023-02220-8</w:t>
        </w:r>
      </w:hyperlink>
      <w:r>
        <w:t xml:space="preserve">)</w:t>
      </w:r>
    </w:p>
    <w:bookmarkEnd w:id="104"/>
    <w:bookmarkStart w:id="106" w:name="ref-skeels2023"/>
    <w:p>
      <w:pPr>
        <w:pStyle w:val="Bibliography"/>
      </w:pPr>
      <w:r>
        <w:t xml:space="preserve">31.</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105">
        <w:r>
          <w:rPr>
            <w:rStyle w:val="Hyperlink"/>
          </w:rPr>
          <w:t xml:space="preserve">10.1093/sysbio/syac048</w:t>
        </w:r>
      </w:hyperlink>
      <w:r>
        <w:t xml:space="preserve">)</w:t>
      </w:r>
    </w:p>
    <w:bookmarkEnd w:id="106"/>
    <w:bookmarkStart w:id="108" w:name="ref-liu2024"/>
    <w:p>
      <w:pPr>
        <w:pStyle w:val="Bibliography"/>
      </w:pPr>
      <w:r>
        <w:t xml:space="preserve">32.</w:t>
      </w:r>
      <w:r>
        <w:t xml:space="preserve"> </w:t>
      </w:r>
      <w:r>
        <w:t xml:space="preserve">	</w:t>
      </w:r>
      <w:r>
        <w:t xml:space="preserve">Liu Y, Wang Y, Willett SD, Zimmermann NE, Pellissier L. 2024 Escarpment evolution drives the diversification of the madagascar flora.</w:t>
      </w:r>
      <w:r>
        <w:t xml:space="preserve"> </w:t>
      </w:r>
      <w:r>
        <w:rPr>
          <w:i/>
          <w:iCs/>
        </w:rPr>
        <w:t xml:space="preserve">Science</w:t>
      </w:r>
      <w:r>
        <w:t xml:space="preserve"> </w:t>
      </w:r>
      <w:r>
        <w:rPr>
          <w:b/>
          <w:bCs/>
        </w:rPr>
        <w:t xml:space="preserve">383</w:t>
      </w:r>
      <w:r>
        <w:t xml:space="preserve">, 653–658. (doi:</w:t>
      </w:r>
      <w:hyperlink r:id="rId107">
        <w:r>
          <w:rPr>
            <w:rStyle w:val="Hyperlink"/>
          </w:rPr>
          <w:t xml:space="preserve">10.1126/science.adi0833</w:t>
        </w:r>
      </w:hyperlink>
      <w:r>
        <w:t xml:space="preserve">)</w:t>
      </w:r>
    </w:p>
    <w:bookmarkEnd w:id="108"/>
    <w:bookmarkStart w:id="110"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11">
        <w:r>
          <w:rPr>
            <w:rStyle w:val="Hyperlink"/>
          </w:rPr>
          <w:t xml:space="preserve">10.1111/geb.13683</w:t>
        </w:r>
      </w:hyperlink>
      <w:r>
        <w:t xml:space="preserve">)</w:t>
      </w:r>
    </w:p>
    <w:bookmarkEnd w:id="112"/>
    <w:bookmarkStart w:id="114" w:name="ref-galván2023"/>
    <w:p>
      <w:pPr>
        <w:pStyle w:val="Bibliography"/>
      </w:pPr>
      <w:r>
        <w:t xml:space="preserve">35.</w:t>
      </w:r>
      <w:r>
        <w:t xml:space="preserve"> </w:t>
      </w:r>
      <w:r>
        <w:t xml:space="preserve">	</w:t>
      </w:r>
      <w:r>
        <w:t xml:space="preserve">Galván S, Gamboa S, Varela S. 2023</w:t>
      </w:r>
      <w:r>
        <w:t xml:space="preserve"> </w:t>
      </w:r>
      <w:hyperlink r:id="rId113">
        <w:r>
          <w:rPr>
            <w:rStyle w:val="Hyperlink"/>
          </w:rPr>
          <w:t xml:space="preserve">Köppen Geiger climatic classification for R users.</w:t>
        </w:r>
      </w:hyperlink>
      <w:r>
        <w:t xml:space="preserve"> </w:t>
      </w:r>
    </w:p>
    <w:bookmarkEnd w:id="114"/>
    <w:bookmarkStart w:id="116"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15">
        <w:r>
          <w:rPr>
            <w:rStyle w:val="Hyperlink"/>
          </w:rPr>
          <w:t xml:space="preserve">https://CRAN.R-project.org/package=h3jsr</w:t>
        </w:r>
      </w:hyperlink>
      <w:r>
        <w:t xml:space="preserve">.</w:t>
      </w:r>
    </w:p>
    <w:bookmarkEnd w:id="116"/>
    <w:bookmarkStart w:id="118"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17">
        <w:r>
          <w:rPr>
            <w:rStyle w:val="Hyperlink"/>
          </w:rPr>
          <w:t xml:space="preserve">10.1073/pnas.0903811106</w:t>
        </w:r>
      </w:hyperlink>
      <w:r>
        <w:t xml:space="preserve">)</w:t>
      </w:r>
    </w:p>
    <w:bookmarkEnd w:id="118"/>
    <w:bookmarkStart w:id="120"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19">
        <w:r>
          <w:rPr>
            <w:rStyle w:val="Hyperlink"/>
          </w:rPr>
          <w:t xml:space="preserve">10.1038/s41561-018-0236-z</w:t>
        </w:r>
      </w:hyperlink>
      <w:r>
        <w:t xml:space="preserve">)</w:t>
      </w:r>
    </w:p>
    <w:bookmarkEnd w:id="120"/>
    <w:bookmarkStart w:id="122" w:name="ref-motta2025"/>
    <w:p>
      <w:pPr>
        <w:pStyle w:val="Bibliography"/>
      </w:pPr>
      <w:r>
        <w:t xml:space="preserve">39.</w:t>
      </w:r>
      <w:r>
        <w:t xml:space="preserve"> </w:t>
      </w:r>
      <w:r>
        <w:t xml:space="preserve">	</w:t>
      </w:r>
      <w:r>
        <w:t xml:space="preserve">Motta LM, Quental TB. 2025 New aspects of the asymmetry of the great american biotic interchange based on an analysis of the spatial and temporal structure of immigrant taxa at local scale.</w:t>
      </w:r>
      <w:r>
        <w:t xml:space="preserve"> </w:t>
      </w:r>
      <w:r>
        <w:rPr>
          <w:i/>
          <w:iCs/>
        </w:rPr>
        <w:t xml:space="preserve">Palaeogeography, Palaeoclimatology, Palaeoecology</w:t>
      </w:r>
      <w:r>
        <w:t xml:space="preserve"> </w:t>
      </w:r>
      <w:r>
        <w:rPr>
          <w:b/>
          <w:bCs/>
        </w:rPr>
        <w:t xml:space="preserve">668</w:t>
      </w:r>
      <w:r>
        <w:t xml:space="preserve">, 112905. (doi:</w:t>
      </w:r>
      <w:hyperlink r:id="rId121">
        <w:r>
          <w:rPr>
            <w:rStyle w:val="Hyperlink"/>
          </w:rPr>
          <w:t xml:space="preserve">10.1016/j.palaeo.2025.112905</w:t>
        </w:r>
      </w:hyperlink>
      <w:r>
        <w:t xml:space="preserve">)</w:t>
      </w:r>
    </w:p>
    <w:bookmarkEnd w:id="122"/>
    <w:bookmarkStart w:id="124"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23">
        <w:r>
          <w:rPr>
            <w:rStyle w:val="Hyperlink"/>
          </w:rPr>
          <w:t xml:space="preserve">10.1111/j.1365-2699.2010.02434.x</w:t>
        </w:r>
      </w:hyperlink>
      <w:r>
        <w:t xml:space="preserve">)</w:t>
      </w:r>
    </w:p>
    <w:bookmarkEnd w:id="124"/>
    <w:bookmarkStart w:id="126"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25">
        <w:r>
          <w:rPr>
            <w:rStyle w:val="Hyperlink"/>
          </w:rPr>
          <w:t xml:space="preserve">10.1098/rsbl.2024.0429</w:t>
        </w:r>
      </w:hyperlink>
      <w:r>
        <w:t xml:space="preserve">)</w:t>
      </w:r>
    </w:p>
    <w:bookmarkEnd w:id="126"/>
    <w:bookmarkStart w:id="128"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27">
        <w:r>
          <w:rPr>
            <w:rStyle w:val="Hyperlink"/>
          </w:rPr>
          <w:t xml:space="preserve">10.1016/j.gloplacha.2022.103758</w:t>
        </w:r>
      </w:hyperlink>
      <w:r>
        <w:t xml:space="preserve">)</w:t>
      </w:r>
    </w:p>
    <w:bookmarkEnd w:id="128"/>
    <w:bookmarkEnd w:id="129"/>
    <w:bookmarkEnd w:id="13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51" Target="http://repository.si.edu/xmlui/handle/10088/35473" TargetMode="External" /><Relationship Type="http://schemas.openxmlformats.org/officeDocument/2006/relationships/hyperlink" Id="rId115" Target="https://CRAN.R-project.org/package=h3jsr" TargetMode="External" /><Relationship Type="http://schemas.openxmlformats.org/officeDocument/2006/relationships/hyperlink" Id="rId57" Target="https://doi.org/10.1007/s10914-010-9144-8" TargetMode="External" /><Relationship Type="http://schemas.openxmlformats.org/officeDocument/2006/relationships/hyperlink" Id="rId85" Target="https://doi.org/10.1007/s10914-011-9175-9" TargetMode="External" /><Relationship Type="http://schemas.openxmlformats.org/officeDocument/2006/relationships/hyperlink" Id="rId55"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1" Target="https://doi.org/10.1016/j.palaeo.2025.112905" TargetMode="External" /><Relationship Type="http://schemas.openxmlformats.org/officeDocument/2006/relationships/hyperlink" Id="rId65"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19" Target="https://doi.org/10.1038/s41561-018-0236-z" TargetMode="External" /><Relationship Type="http://schemas.openxmlformats.org/officeDocument/2006/relationships/hyperlink" Id="rId76" Target="https://doi.org/10.1038/s41598-020-58575-6" TargetMode="External" /><Relationship Type="http://schemas.openxmlformats.org/officeDocument/2006/relationships/hyperlink" Id="rId87"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117"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9"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25" Target="https://doi.org/10.1098/rsbl.2024.0429" TargetMode="External" /><Relationship Type="http://schemas.openxmlformats.org/officeDocument/2006/relationships/hyperlink" Id="rId95" Target="https://doi.org/10.1111/ecog.06132" TargetMode="External" /><Relationship Type="http://schemas.openxmlformats.org/officeDocument/2006/relationships/hyperlink" Id="rId79"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3" Target="https://doi.org/10.1111/j.1365-2699.2010.02434.x" TargetMode="External" /><Relationship Type="http://schemas.openxmlformats.org/officeDocument/2006/relationships/hyperlink" Id="rId81" Target="https://doi.org/10.1111/pala.70012" TargetMode="External" /><Relationship Type="http://schemas.openxmlformats.org/officeDocument/2006/relationships/hyperlink" Id="rId53" Target="https://doi.org/10.1126/sciadv.1600883" TargetMode="External" /><Relationship Type="http://schemas.openxmlformats.org/officeDocument/2006/relationships/hyperlink" Id="rId93" Target="https://doi.org/10.1126/sciadv.abj2271" TargetMode="External" /><Relationship Type="http://schemas.openxmlformats.org/officeDocument/2006/relationships/hyperlink" Id="rId4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3"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71" Target="https://doi.org/10.1146/annurev-earth-072619-060126" TargetMode="External" /><Relationship Type="http://schemas.openxmlformats.org/officeDocument/2006/relationships/hyperlink" Id="rId97" Target="https://doi.org/10.1371/journal.pbio.3001340" TargetMode="External" /><Relationship Type="http://schemas.openxmlformats.org/officeDocument/2006/relationships/hyperlink" Id="rId83" Target="https://doi.org/10.2307/1381862" TargetMode="External" /><Relationship Type="http://schemas.openxmlformats.org/officeDocument/2006/relationships/hyperlink" Id="rId89"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7" Target="https://link.springer.com/10.1007/978-94-017-9792-4" TargetMode="External" /><Relationship Type="http://schemas.openxmlformats.org/officeDocument/2006/relationships/hyperlink" Id="rId47" Target="https://www.jstor.org/stable/1688046" TargetMode="External" /><Relationship Type="http://schemas.openxmlformats.org/officeDocument/2006/relationships/hyperlink" Id="rId63"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51" Target="http://repository.si.edu/xmlui/handle/10088/35473" TargetMode="External" /><Relationship Type="http://schemas.openxmlformats.org/officeDocument/2006/relationships/hyperlink" Id="rId115" Target="https://CRAN.R-project.org/package=h3jsr" TargetMode="External" /><Relationship Type="http://schemas.openxmlformats.org/officeDocument/2006/relationships/hyperlink" Id="rId57" Target="https://doi.org/10.1007/s10914-010-9144-8" TargetMode="External" /><Relationship Type="http://schemas.openxmlformats.org/officeDocument/2006/relationships/hyperlink" Id="rId85" Target="https://doi.org/10.1007/s10914-011-9175-9" TargetMode="External" /><Relationship Type="http://schemas.openxmlformats.org/officeDocument/2006/relationships/hyperlink" Id="rId55" Target="https://doi.org/10.1016/j.geobios.2006.09.005" TargetMode="External" /><Relationship Type="http://schemas.openxmlformats.org/officeDocument/2006/relationships/hyperlink" Id="rId127" Target="https://doi.org/10.1016/j.gloplacha.2022.103758" TargetMode="External" /><Relationship Type="http://schemas.openxmlformats.org/officeDocument/2006/relationships/hyperlink" Id="rId121" Target="https://doi.org/10.1016/j.palaeo.2025.112905" TargetMode="External" /><Relationship Type="http://schemas.openxmlformats.org/officeDocument/2006/relationships/hyperlink" Id="rId65" Target="https://doi.org/10.1017/S0094837300010605" TargetMode="External" /><Relationship Type="http://schemas.openxmlformats.org/officeDocument/2006/relationships/hyperlink" Id="rId103" Target="https://doi.org/10.1038/s41559-023-02220-8" TargetMode="External" /><Relationship Type="http://schemas.openxmlformats.org/officeDocument/2006/relationships/hyperlink" Id="rId119" Target="https://doi.org/10.1038/s41561-018-0236-z" TargetMode="External" /><Relationship Type="http://schemas.openxmlformats.org/officeDocument/2006/relationships/hyperlink" Id="rId76" Target="https://doi.org/10.1038/s41598-020-58575-6" TargetMode="External" /><Relationship Type="http://schemas.openxmlformats.org/officeDocument/2006/relationships/hyperlink" Id="rId87" Target="https://doi.org/10.1038/s41598-022-05266-z" TargetMode="External" /><Relationship Type="http://schemas.openxmlformats.org/officeDocument/2006/relationships/hyperlink" Id="rId91" Target="https://doi.org/10.1038/s44185-024-00045-7" TargetMode="External" /><Relationship Type="http://schemas.openxmlformats.org/officeDocument/2006/relationships/hyperlink" Id="rId117"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9"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05" Target="https://doi.org/10.1093/sysbio/syac048" TargetMode="External" /><Relationship Type="http://schemas.openxmlformats.org/officeDocument/2006/relationships/hyperlink" Id="rId125" Target="https://doi.org/10.1098/rsbl.2024.0429" TargetMode="External" /><Relationship Type="http://schemas.openxmlformats.org/officeDocument/2006/relationships/hyperlink" Id="rId95" Target="https://doi.org/10.1111/ecog.06132" TargetMode="External" /><Relationship Type="http://schemas.openxmlformats.org/officeDocument/2006/relationships/hyperlink" Id="rId79"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3" Target="https://doi.org/10.1111/j.1365-2699.2010.02434.x" TargetMode="External" /><Relationship Type="http://schemas.openxmlformats.org/officeDocument/2006/relationships/hyperlink" Id="rId81" Target="https://doi.org/10.1111/pala.70012" TargetMode="External" /><Relationship Type="http://schemas.openxmlformats.org/officeDocument/2006/relationships/hyperlink" Id="rId53" Target="https://doi.org/10.1126/sciadv.1600883" TargetMode="External" /><Relationship Type="http://schemas.openxmlformats.org/officeDocument/2006/relationships/hyperlink" Id="rId93" Target="https://doi.org/10.1126/sciadv.abj2271" TargetMode="External" /><Relationship Type="http://schemas.openxmlformats.org/officeDocument/2006/relationships/hyperlink" Id="rId49"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73"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71" Target="https://doi.org/10.1146/annurev-earth-072619-060126" TargetMode="External" /><Relationship Type="http://schemas.openxmlformats.org/officeDocument/2006/relationships/hyperlink" Id="rId97" Target="https://doi.org/10.1371/journal.pbio.3001340" TargetMode="External" /><Relationship Type="http://schemas.openxmlformats.org/officeDocument/2006/relationships/hyperlink" Id="rId83" Target="https://doi.org/10.2307/1381862" TargetMode="External" /><Relationship Type="http://schemas.openxmlformats.org/officeDocument/2006/relationships/hyperlink" Id="rId89"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7" Target="https://link.springer.com/10.1007/978-94-017-9792-4" TargetMode="External" /><Relationship Type="http://schemas.openxmlformats.org/officeDocument/2006/relationships/hyperlink" Id="rId47" Target="https://www.jstor.org/stable/1688046" TargetMode="External" /><Relationship Type="http://schemas.openxmlformats.org/officeDocument/2006/relationships/hyperlink" Id="rId63"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2025-09-17T15:49:24Z</dcterms:created>
  <dcterms:modified xsi:type="dcterms:W3CDTF">2025-09-17T15:49:24Z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