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54.png" ContentType="image/png"/>
  <Override PartName="/word/media/rId142.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2–4</w:t>
      </w:r>
      <w:r>
        <w:t xml:space="preserve">, palaeontological evidence and molecular phylogenies both agree with a late Miocene onset of land mammal exchange between the Americas</w:t>
      </w:r>
      <w:r>
        <w:rPr>
          <w:vertAlign w:val="superscript"/>
        </w:rPr>
        <w:t xml:space="preserve">5–7</w:t>
      </w:r>
      <w:r>
        <w:t xml:space="preserve">,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1,8–10</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1,8,11</w:t>
      </w:r>
      <w:r>
        <w:t xml:space="preserve">. However, during the Quaternary, the ability of migrant lineages to maintain and diversify in the foreign continent became greater in South America</w:t>
      </w:r>
      <w:r>
        <w:rPr>
          <w:vertAlign w:val="superscript"/>
        </w:rPr>
        <w:t xml:space="preserve">8</w:t>
      </w:r>
      <w:r>
        <w:t xml:space="preserve">, and many native South American mammal lineages concomitantly declined, some of which even going totally extinct</w:t>
      </w:r>
      <w:r>
        <w:rPr>
          <w:vertAlign w:val="superscript"/>
        </w:rPr>
        <w:t xml:space="preserve">12–16</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11,17,18</w:t>
      </w:r>
      <w:r>
        <w:t xml:space="preserve"> </w:t>
      </w:r>
      <w:r>
        <w:t xml:space="preserve">or predation of predator-naive preys</w:t>
      </w:r>
      <w:r>
        <w:rPr>
          <w:vertAlign w:val="superscript"/>
        </w:rPr>
        <w:t xml:space="preserve">11,19–21</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22,23–25</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10,12,19,22,26</w:t>
      </w:r>
      <w:r>
        <w:t xml:space="preserve">. The prevailing view, proposed by Webb.</w:t>
      </w:r>
      <w:r>
        <w:rPr>
          <w:vertAlign w:val="superscript"/>
        </w:rPr>
        <w:t xml:space="preserve">12</w:t>
      </w:r>
      <w:r>
        <w:t xml:space="preserve"> </w:t>
      </w:r>
      <w:r>
        <w:t xml:space="preserve">and Vrba.</w:t>
      </w:r>
      <w:r>
        <w:rPr>
          <w:vertAlign w:val="superscript"/>
        </w:rPr>
        <w:t xml:space="preserve">22</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8</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27</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28</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29,30</w:t>
      </w:r>
      <w:r>
        <w:t xml:space="preserve">, the diversity desequilibrium between tropical rainforests across the globe</w:t>
      </w:r>
      <w:r>
        <w:rPr>
          <w:vertAlign w:val="superscript"/>
        </w:rPr>
        <w:t xml:space="preserve">31</w:t>
      </w:r>
      <w:r>
        <w:t xml:space="preserve">, the build-up of the unique biodiversity along the Wallace line</w:t>
      </w:r>
      <w:r>
        <w:rPr>
          <w:vertAlign w:val="superscript"/>
        </w:rPr>
        <w:t xml:space="preserve">32</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33,34,35</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29</w:t>
      </w:r>
      <w:r>
        <w:t xml:space="preserve">, a mechanistic eco-evolutionary simulator, incorporating palaeoclimatic layers (annual temperature and precipitation) covering the last 5 million years generated by the PALEO-PGEM emulator</w:t>
      </w:r>
      <w:r>
        <w:rPr>
          <w:vertAlign w:val="superscript"/>
        </w:rPr>
        <w:t xml:space="preserve">36,37</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38</w:t>
      </w:r>
      <w:r>
        <w:t xml:space="preserve"> </w:t>
      </w:r>
      <w:r>
        <w:t xml:space="preserve">and Galván et al.</w:t>
      </w:r>
      <w:r>
        <w:rPr>
          <w:vertAlign w:val="superscript"/>
        </w:rPr>
        <w:t xml:space="preserve">39</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3" w:name="discussion"/>
    <w:p>
      <w:pPr>
        <w:pStyle w:val="Heading1"/>
      </w:pPr>
      <w:r>
        <w:t xml:space="preserve">Discussion</w:t>
      </w:r>
    </w:p>
    <w:bookmarkStart w:id="27" w:name="X2fd7191646d6ee80bf88e129ac03aa68131b695"/>
    <w:p>
      <w:pPr>
        <w:pStyle w:val="Heading2"/>
      </w:pPr>
      <w:r>
        <w:t xml:space="preserve">The role of climate in shaping the inter-american faunal exchange as told by computer experiments</w:t>
      </w:r>
    </w:p>
    <w:p>
      <w:pPr>
        <w:pStyle w:val="FirstParagraph"/>
      </w:pPr>
      <w:r>
        <w:t xml:space="preserve">Our results suggest that, under abiotic constraints alone, the likelihood of northwards dispersal events (</w:t>
      </w:r>
      <w:r>
        <w:rPr>
          <w:i/>
          <w:iCs/>
        </w:rPr>
        <w:t xml:space="preserve">i</w:t>
      </w:r>
      <w:r>
        <w:t xml:space="preserve">.</w:t>
      </w:r>
      <w:r>
        <w:rPr>
          <w:i/>
          <w:iCs/>
        </w:rPr>
        <w:t xml:space="preserve">e</w:t>
      </w:r>
      <w:r>
        <w:t xml:space="preserve">., from South to North America) occurring throughout the last five million years is on average twice higher than that of southwards dispersal events (</w:t>
      </w:r>
      <w:hyperlink w:anchor="fig-propsuccess">
        <w:r>
          <w:rPr>
            <w:rStyle w:val="Hyperlink"/>
          </w:rPr>
          <w:t xml:space="preserve">Figure 2</w:t>
        </w:r>
      </w:hyperlink>
      <w:r>
        <w:t xml:space="preserve">). Such a pattern obviously marks a huge contrast with the incontestably greater success of North American endemics at establishing southwards compared to the other way around. As a matter of fact, it is estimated that around half of extant South America’s mammalian generic diversity – note that South America is considered as the most mammal-rich continent on Earth</w:t>
      </w:r>
      <w:r>
        <w:rPr>
          <w:vertAlign w:val="superscript"/>
        </w:rPr>
        <w:t xml:space="preserve">40</w:t>
      </w:r>
      <w:r>
        <w:t xml:space="preserve"> </w:t>
      </w:r>
      <w:r>
        <w:t xml:space="preserve">– descends from a migrant lineage</w:t>
      </w:r>
      <w:r>
        <w:rPr>
          <w:vertAlign w:val="superscript"/>
        </w:rPr>
        <w:t xml:space="preserve">1</w:t>
      </w:r>
      <w:r>
        <w:t xml:space="preserve">. On the contrary, North America is home for a tiny number of taxa descending from South America. Hence, this raises the question of the significance of our findings. Can such a mismatch be interpreted through the lens of macroecological processes? Are we completely going at odds with what we should find, or are we opening useful boxes to understand such a complex biodiversity pattern?</w:t>
      </w:r>
    </w:p>
    <w:p>
      <w:pPr>
        <w:pStyle w:val="BodyText"/>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22</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41</w:t>
      </w:r>
      <w:r>
        <w:t xml:space="preserve"> </w:t>
      </w:r>
      <w:r>
        <w:t xml:space="preserve">a few decades earlier. The latter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41</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C,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highest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8</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32</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42</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7"/>
    <w:bookmarkStart w:id="31" w:name="Xe18ddb4cdbaf0554026f0f34503804c8b07c344"/>
    <w:p>
      <w:pPr>
        <w:pStyle w:val="Heading2"/>
      </w:pPr>
      <w:r>
        <w:t xml:space="preserve">Implications : what may have driven the asymmetry of the GABI?</w:t>
      </w:r>
    </w:p>
    <w:bookmarkStart w:id="28" w:name="biotic"/>
    <w:p>
      <w:pPr>
        <w:pStyle w:val="Heading3"/>
      </w:pPr>
      <w:r>
        <w:t xml:space="preserve">Biotic</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15</w:t>
      </w:r>
      <w:r>
        <w:t xml:space="preserve"> </w:t>
      </w:r>
      <w:r>
        <w:t xml:space="preserve">or sparassodonts – metatherian predators</w:t>
      </w:r>
      <w:r>
        <w:rPr>
          <w:vertAlign w:val="superscript"/>
        </w:rPr>
        <w:t xml:space="preserve">43</w:t>
      </w:r>
      <w:r>
        <w:t xml:space="preserve"> </w:t>
      </w:r>
      <w:r>
        <w:t xml:space="preserve">– that followed the establishment of northern lineages</w:t>
      </w:r>
      <w:r>
        <w:rPr>
          <w:vertAlign w:val="superscript"/>
        </w:rPr>
        <w:t xml:space="preserve">17</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18</w:t>
      </w:r>
      <w:r>
        <w:t xml:space="preserve">. Moreover, using phylogenetic regressions, Faurby et al.</w:t>
      </w:r>
      <w:r>
        <w:rPr>
          <w:vertAlign w:val="superscript"/>
        </w:rPr>
        <w:t xml:space="preserve">20</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23,24</w:t>
      </w:r>
      <w:r>
        <w:t xml:space="preserve">. Incorporating biotic compounds in mechanistic frameworks such as the one we have implemented here would be a nice way-to-go for future studies tackling the asymmetry behind the GABI.</w:t>
      </w:r>
    </w:p>
    <w:bookmarkEnd w:id="28"/>
    <w:bookmarkStart w:id="29" w:name="species-pool"/>
    <w:p>
      <w:pPr>
        <w:pStyle w:val="Heading3"/>
      </w:pPr>
      <w:r>
        <w:t xml:space="preserve">Species pool</w:t>
      </w:r>
    </w:p>
    <w:p>
      <w:pPr>
        <w:pStyle w:val="FirstParagraph"/>
      </w:pPr>
      <w:r>
        <w:t xml:space="preserve">Species pool proved relevant in the case of the interchange along the Wallacea</w:t>
      </w:r>
      <w:r>
        <w:rPr>
          <w:vertAlign w:val="superscript"/>
        </w:rPr>
        <w:t xml:space="preserve">34</w:t>
      </w:r>
      <w:r>
        <w:t xml:space="preserve">. But here, we expect to find more species in South America, encompassing one of earth’s major and long-standing biodiversity hotspot – Amazonia</w:t>
      </w:r>
      <w:r>
        <w:rPr>
          <w:vertAlign w:val="superscript"/>
        </w:rPr>
        <w:t xml:space="preserve">44</w:t>
      </w:r>
      <w:r>
        <w:t xml:space="preserve"> </w:t>
      </w:r>
      <w:r>
        <w:t xml:space="preserve">– than in North America. That being said, some authors argued that it is not the case for genera, with North America having a higher</w:t>
      </w:r>
      <w:r>
        <w:t xml:space="preserve"> </w:t>
      </w:r>
      <w:r>
        <w:t xml:space="preserve">‘</w:t>
      </w:r>
      <w:r>
        <w:t xml:space="preserve">proportion of reservoir genera</w:t>
      </w:r>
      <w:r>
        <w:t xml:space="preserve">’</w:t>
      </w:r>
      <w:r>
        <w:rPr>
          <w:vertAlign w:val="superscript"/>
        </w:rPr>
        <w:t xml:space="preserve">1,22</w:t>
      </w:r>
    </w:p>
    <w:bookmarkEnd w:id="29"/>
    <w:bookmarkStart w:id="30" w:name="geography-and-randomness"/>
    <w:p>
      <w:pPr>
        <w:pStyle w:val="Heading3"/>
      </w:pPr>
      <w:r>
        <w:t xml:space="preserve">Geography and randomness</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45</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w:t>
      </w:r>
      <w:r>
        <w:t xml:space="preserve">Too far to be exchanged</w:t>
      </w:r>
      <w:r>
        <w:t xml:space="preserve">”</w:t>
      </w:r>
      <w:r>
        <w:t xml:space="preserve">: example of caprins raised by</w:t>
      </w:r>
      <w:r>
        <w:rPr>
          <w:vertAlign w:val="superscript"/>
        </w:rPr>
        <w:t xml:space="preserve">12</w:t>
      </w:r>
    </w:p>
    <w:p>
      <w:pPr>
        <w:pStyle w:val="BodyText"/>
      </w:pPr>
      <w:r>
        <w:t xml:space="preserve">Fortuitous experiment and neutral/random effect?</w:t>
      </w:r>
    </w:p>
    <w:bookmarkEnd w:id="30"/>
    <w:bookmarkEnd w:id="31"/>
    <w:bookmarkStart w:id="32" w:name="limitations-and-perspectives"/>
    <w:p>
      <w:pPr>
        <w:pStyle w:val="Heading2"/>
      </w:pPr>
      <w:r>
        <w:t xml:space="preserve">Limitations and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46,47</w:t>
      </w:r>
      <w:r>
        <w:t xml:space="preserve">. Although over-water dispersal has long been regarded as the prevailing mechanism</w:t>
      </w:r>
      <w:r>
        <w:rPr>
          <w:vertAlign w:val="superscript"/>
        </w:rPr>
        <w:t xml:space="preserve">46</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48</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49</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bookmarkEnd w:id="32"/>
    <w:bookmarkEnd w:id="33"/>
    <w:bookmarkStart w:id="34" w:name="acknowledgements"/>
    <w:p>
      <w:pPr>
        <w:pStyle w:val="Heading1"/>
      </w:pPr>
      <w:r>
        <w:t xml:space="preserve">Acknowledgements</w:t>
      </w:r>
    </w:p>
    <w:p>
      <w:pPr>
        <w:pStyle w:val="FirstParagraph"/>
      </w:pPr>
      <w:r>
        <w:t xml:space="preserve">We thank Céline Devaux for her useful comments and feedbacks on the present work.</w:t>
      </w:r>
    </w:p>
    <w:bookmarkEnd w:id="34"/>
    <w:bookmarkStart w:id="35"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51</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10,12,19</w:t>
      </w:r>
      <w:r>
        <w:t xml:space="preserve">. Others drew direct relationships between the higher extinction rates of native South American mammal genera and temperature change</w:t>
      </w:r>
      <w:r>
        <w:rPr>
          <w:vertAlign w:val="superscript"/>
        </w:rPr>
        <w:t xml:space="preserve">26</w:t>
      </w:r>
      <w:r>
        <w:t xml:space="preserve">.</w:t>
      </w:r>
    </w:p>
    <w:p>
      <w:pPr>
        <w:pStyle w:val="BodyText"/>
      </w:pPr>
      <w:r>
        <w:t xml:space="preserve">several studies proposed that palaeoclimate change shaped unequal dispersal abilities between northern and southern taxa</w:t>
      </w:r>
      <w:r>
        <w:rPr>
          <w:vertAlign w:val="superscript"/>
        </w:rPr>
        <w:t xml:space="preserve">10,12,19,26</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14</w:t>
      </w:r>
      <w:r>
        <w:t xml:space="preserve">.</w:t>
      </w:r>
    </w:p>
    <w:p>
      <w:pPr>
        <w:pStyle w:val="BodyText"/>
      </w:pPr>
      <w:r>
        <w:t xml:space="preserve">Smoothing asymmetry =&gt; echo to birds</w:t>
      </w:r>
      <w:r>
        <w:rPr>
          <w:vertAlign w:val="superscript"/>
        </w:rPr>
        <w:t xml:space="preserve">52</w:t>
      </w:r>
      <w:r>
        <w:t xml:space="preserve">, flying behaviour relaxing constraints applied to land mammals ?</w:t>
      </w:r>
    </w:p>
    <w:p>
      <w:r>
        <w:br w:type="page"/>
      </w:r>
    </w:p>
    <w:bookmarkEnd w:id="35"/>
    <w:bookmarkStart w:id="141" w:name="references"/>
    <w:p>
      <w:pPr>
        <w:pStyle w:val="Heading1"/>
      </w:pPr>
      <w:r>
        <w:t xml:space="preserve">References</w:t>
      </w:r>
    </w:p>
    <w:bookmarkStart w:id="140" w:name="refs"/>
    <w:bookmarkStart w:id="37" w:name="ref-marshall1982"/>
    <w:p>
      <w:pPr>
        <w:pStyle w:val="Bibliography"/>
      </w:pPr>
      <w:r>
        <w:t xml:space="preserve">1.</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8">
        <w:r>
          <w:rPr>
            <w:rStyle w:val="Hyperlink"/>
          </w:rPr>
          <w:t xml:space="preserve">https://doi.org/10.1126/science.aaa2815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In (John Wiley &amp; Sons).</w:t>
      </w:r>
    </w:p>
    <w:bookmarkEnd w:id="41"/>
    <w:bookmarkStart w:id="43"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2">
        <w:r>
          <w:rPr>
            <w:rStyle w:val="Hyperlink"/>
          </w:rPr>
          <w:t xml:space="preserve">https://doi.org/10.1126/sciadv.1600883</w:t>
        </w:r>
      </w:hyperlink>
      <w:r>
        <w:t xml:space="preserve">.</w:t>
      </w:r>
    </w:p>
    <w:bookmarkEnd w:id="43"/>
    <w:bookmarkStart w:id="45"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4">
        <w:r>
          <w:rPr>
            <w:rStyle w:val="Hyperlink"/>
          </w:rPr>
          <w:t xml:space="preserve">https://doi.org/10.1016/j.geobios.2006.09.005</w:t>
        </w:r>
      </w:hyperlink>
      <w:r>
        <w:t xml:space="preserve">.</w:t>
      </w:r>
    </w:p>
    <w:bookmarkEnd w:id="45"/>
    <w:bookmarkStart w:id="47" w:name="ref-tedford2004"/>
    <w:p>
      <w:pPr>
        <w:pStyle w:val="Bibliography"/>
      </w:pPr>
      <w:r>
        <w:t xml:space="preserve">6.</w:t>
      </w:r>
      <w:r>
        <w:t xml:space="preserve"> </w:t>
      </w:r>
      <w:r>
        <w:t xml:space="preserve">	</w:t>
      </w:r>
      <w:r>
        <w:t xml:space="preserve">Tedford, R.H., Albright, L.B., Barnosky, A.D., Ferrusquia-Villafranca, I., Hunt, R.M., Storer, J.E., Swisher, C.C., Voorhies, M.R., Webb, S.D., and Whistler, D.P. (2004).</w:t>
      </w:r>
      <w:r>
        <w:t xml:space="preserve"> </w:t>
      </w:r>
      <w:hyperlink r:id="rId46">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7"/>
    <w:bookmarkStart w:id="49" w:name="ref-carrillo2015"/>
    <w:p>
      <w:pPr>
        <w:pStyle w:val="Bibliography"/>
      </w:pPr>
      <w:r>
        <w:t xml:space="preserve">7.</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48">
        <w:r>
          <w:rPr>
            <w:rStyle w:val="Hyperlink"/>
          </w:rPr>
          <w:t xml:space="preserve">https://doi.org/10.3389/fgene.2014.00451</w:t>
        </w:r>
      </w:hyperlink>
      <w:r>
        <w:t xml:space="preserve">.</w:t>
      </w:r>
    </w:p>
    <w:bookmarkEnd w:id="49"/>
    <w:bookmarkStart w:id="51" w:name="ref-woodburne2010"/>
    <w:p>
      <w:pPr>
        <w:pStyle w:val="Bibliography"/>
      </w:pPr>
      <w:r>
        <w:t xml:space="preserve">8.</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0">
        <w:r>
          <w:rPr>
            <w:rStyle w:val="Hyperlink"/>
          </w:rPr>
          <w:t xml:space="preserve">https://doi.org/10.1007/s10914-010-9144-8</w:t>
        </w:r>
      </w:hyperlink>
      <w:r>
        <w:t xml:space="preserve">.</w:t>
      </w:r>
    </w:p>
    <w:bookmarkEnd w:id="51"/>
    <w:bookmarkStart w:id="53" w:name="ref-bacon2015"/>
    <w:p>
      <w:pPr>
        <w:pStyle w:val="Bibliography"/>
      </w:pPr>
      <w:r>
        <w:t xml:space="preserve">9.</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2">
        <w:r>
          <w:rPr>
            <w:rStyle w:val="Hyperlink"/>
          </w:rPr>
          <w:t xml:space="preserve">https://doi.org/10.1073/pnas.1423853112</w:t>
        </w:r>
      </w:hyperlink>
      <w:r>
        <w:t xml:space="preserve">.</w:t>
      </w:r>
    </w:p>
    <w:bookmarkEnd w:id="53"/>
    <w:bookmarkStart w:id="55" w:name="ref-bacon2016"/>
    <w:p>
      <w:pPr>
        <w:pStyle w:val="Bibliography"/>
      </w:pPr>
      <w:r>
        <w:t xml:space="preserve">10.</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4">
        <w:r>
          <w:rPr>
            <w:rStyle w:val="Hyperlink"/>
          </w:rPr>
          <w:t xml:space="preserve">https://doi.org/10.1130/G37624.1</w:t>
        </w:r>
      </w:hyperlink>
      <w:r>
        <w:t xml:space="preserve">.</w:t>
      </w:r>
    </w:p>
    <w:bookmarkEnd w:id="55"/>
    <w:bookmarkStart w:id="57" w:name="ref-webb1976"/>
    <w:p>
      <w:pPr>
        <w:pStyle w:val="Bibliography"/>
      </w:pPr>
      <w:r>
        <w:t xml:space="preserve">11.</w:t>
      </w:r>
      <w:r>
        <w:t xml:space="preserve"> </w:t>
      </w:r>
      <w:r>
        <w:t xml:space="preserve">	</w:t>
      </w:r>
      <w:r>
        <w:t xml:space="preserve">Webb, S.D. (1976).</w:t>
      </w:r>
      <w:r>
        <w:t xml:space="preserve"> </w:t>
      </w:r>
      <w:hyperlink r:id="rId56">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7"/>
    <w:bookmarkStart w:id="59" w:name="ref-webb1991"/>
    <w:p>
      <w:pPr>
        <w:pStyle w:val="Bibliography"/>
      </w:pPr>
      <w:r>
        <w:t xml:space="preserve">12.</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8">
        <w:r>
          <w:rPr>
            <w:rStyle w:val="Hyperlink"/>
          </w:rPr>
          <w:t xml:space="preserve">https://doi.org/10.1017/S0094837300010605</w:t>
        </w:r>
      </w:hyperlink>
      <w:r>
        <w:t xml:space="preserve">.</w:t>
      </w:r>
    </w:p>
    <w:bookmarkEnd w:id="59"/>
    <w:bookmarkStart w:id="61" w:name="ref-cione2015"/>
    <w:p>
      <w:pPr>
        <w:pStyle w:val="Bibliography"/>
      </w:pPr>
      <w:r>
        <w:t xml:space="preserve">13.</w:t>
      </w:r>
      <w:r>
        <w:t xml:space="preserve"> </w:t>
      </w:r>
      <w:r>
        <w:t xml:space="preserve">	</w:t>
      </w:r>
      <w:r>
        <w:t xml:space="preserve">Cione, A.L., Gasparini, G.M., Soibelzon, E., Soibelzon, L.H., and Tonni, E.P. (2015).</w:t>
      </w:r>
      <w:r>
        <w:t xml:space="preserve"> </w:t>
      </w:r>
      <w:hyperlink r:id="rId60">
        <w:r>
          <w:rPr>
            <w:rStyle w:val="Hyperlink"/>
          </w:rPr>
          <w:t xml:space="preserve">The Great American Biotic Interchange: A South American Perspective</w:t>
        </w:r>
      </w:hyperlink>
      <w:r>
        <w:t xml:space="preserve"> </w:t>
      </w:r>
      <w:r>
        <w:t xml:space="preserve">(Springer Netherlands).</w:t>
      </w:r>
    </w:p>
    <w:bookmarkEnd w:id="61"/>
    <w:bookmarkStart w:id="63" w:name="ref-carrillo2020"/>
    <w:p>
      <w:pPr>
        <w:pStyle w:val="Bibliography"/>
      </w:pPr>
      <w:r>
        <w:t xml:space="preserve">14.</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2">
        <w:r>
          <w:rPr>
            <w:rStyle w:val="Hyperlink"/>
          </w:rPr>
          <w:t xml:space="preserve">https://doi.org/10.1073/pnas.2009397117</w:t>
        </w:r>
      </w:hyperlink>
      <w:r>
        <w:t xml:space="preserve">.</w:t>
      </w:r>
    </w:p>
    <w:bookmarkEnd w:id="63"/>
    <w:bookmarkStart w:id="65" w:name="ref-croft2020"/>
    <w:p>
      <w:pPr>
        <w:pStyle w:val="Bibliography"/>
      </w:pPr>
      <w:r>
        <w:t xml:space="preserve">15.</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4">
        <w:r>
          <w:rPr>
            <w:rStyle w:val="Hyperlink"/>
          </w:rPr>
          <w:t xml:space="preserve">https://doi.org/10.1146/annurev-earth-072619-060126</w:t>
        </w:r>
      </w:hyperlink>
      <w:r>
        <w:t xml:space="preserve">.</w:t>
      </w:r>
    </w:p>
    <w:bookmarkEnd w:id="65"/>
    <w:bookmarkStart w:id="67" w:name="ref-boscaini2025"/>
    <w:p>
      <w:pPr>
        <w:pStyle w:val="Bibliography"/>
      </w:pPr>
      <w:r>
        <w:t xml:space="preserve">16.</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6">
        <w:r>
          <w:rPr>
            <w:rStyle w:val="Hyperlink"/>
          </w:rPr>
          <w:t xml:space="preserve">https://doi.org/10.1126/science.adu0704</w:t>
        </w:r>
      </w:hyperlink>
      <w:r>
        <w:t xml:space="preserve">.</w:t>
      </w:r>
    </w:p>
    <w:bookmarkEnd w:id="67"/>
    <w:bookmarkStart w:id="68" w:name="ref-simpson1980"/>
    <w:p>
      <w:pPr>
        <w:pStyle w:val="Bibliography"/>
      </w:pPr>
      <w:r>
        <w:t xml:space="preserve">17.</w:t>
      </w:r>
      <w:r>
        <w:t xml:space="preserve"> </w:t>
      </w:r>
      <w:r>
        <w:t xml:space="preserve">	</w:t>
      </w:r>
      <w:r>
        <w:t xml:space="preserve">Simpson, G.G. (1980). Splendid isolation : The curious history of south american mammals Yale University Press, New Haven.</w:t>
      </w:r>
    </w:p>
    <w:bookmarkEnd w:id="68"/>
    <w:bookmarkStart w:id="70" w:name="ref-domingo2020"/>
    <w:p>
      <w:pPr>
        <w:pStyle w:val="Bibliography"/>
      </w:pPr>
      <w:r>
        <w:t xml:space="preserve">18.</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9">
        <w:r>
          <w:rPr>
            <w:rStyle w:val="Hyperlink"/>
          </w:rPr>
          <w:t xml:space="preserve">https://doi.org/10.1038/s41598-020-58575-6</w:t>
        </w:r>
      </w:hyperlink>
      <w:r>
        <w:t xml:space="preserve">.</w:t>
      </w:r>
    </w:p>
    <w:bookmarkEnd w:id="70"/>
    <w:bookmarkStart w:id="71" w:name="ref-marshall1990"/>
    <w:p>
      <w:pPr>
        <w:pStyle w:val="Bibliography"/>
      </w:pPr>
      <w:r>
        <w:t xml:space="preserve">19.</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1"/>
    <w:bookmarkStart w:id="73" w:name="ref-faurby2016"/>
    <w:p>
      <w:pPr>
        <w:pStyle w:val="Bibliography"/>
      </w:pPr>
      <w:r>
        <w:t xml:space="preserve">20.</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2">
        <w:r>
          <w:rPr>
            <w:rStyle w:val="Hyperlink"/>
          </w:rPr>
          <w:t xml:space="preserve">https://doi.org/10.1111/geb.12504</w:t>
        </w:r>
      </w:hyperlink>
      <w:r>
        <w:t xml:space="preserve">.</w:t>
      </w:r>
    </w:p>
    <w:bookmarkEnd w:id="73"/>
    <w:bookmarkStart w:id="75" w:name="ref-fernández-monescillo2025"/>
    <w:p>
      <w:pPr>
        <w:pStyle w:val="Bibliography"/>
      </w:pPr>
      <w:r>
        <w:t xml:space="preserve">21.</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4">
        <w:r>
          <w:rPr>
            <w:rStyle w:val="Hyperlink"/>
          </w:rPr>
          <w:t xml:space="preserve">https://doi.org/10.1111/pala.70012</w:t>
        </w:r>
      </w:hyperlink>
      <w:r>
        <w:t xml:space="preserve">.</w:t>
      </w:r>
    </w:p>
    <w:bookmarkEnd w:id="75"/>
    <w:bookmarkStart w:id="77" w:name="ref-vrba1992"/>
    <w:p>
      <w:pPr>
        <w:pStyle w:val="Bibliography"/>
      </w:pPr>
      <w:r>
        <w:t xml:space="preserve">22.</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6">
        <w:r>
          <w:rPr>
            <w:rStyle w:val="Hyperlink"/>
          </w:rPr>
          <w:t xml:space="preserve">https://doi.org/10.2307/1381862</w:t>
        </w:r>
      </w:hyperlink>
      <w:r>
        <w:t xml:space="preserve">.</w:t>
      </w:r>
    </w:p>
    <w:bookmarkEnd w:id="77"/>
    <w:bookmarkStart w:id="79" w:name="ref-prevosti2013"/>
    <w:p>
      <w:pPr>
        <w:pStyle w:val="Bibliography"/>
      </w:pPr>
      <w:r>
        <w:t xml:space="preserve">23.</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8">
        <w:r>
          <w:rPr>
            <w:rStyle w:val="Hyperlink"/>
          </w:rPr>
          <w:t xml:space="preserve">https://doi.org/10.1007/s10914-011-9175-9</w:t>
        </w:r>
      </w:hyperlink>
      <w:r>
        <w:t xml:space="preserve">.</w:t>
      </w:r>
    </w:p>
    <w:bookmarkEnd w:id="79"/>
    <w:bookmarkStart w:id="81" w:name="ref-tarquini2022"/>
    <w:p>
      <w:pPr>
        <w:pStyle w:val="Bibliography"/>
      </w:pPr>
      <w:r>
        <w:t xml:space="preserve">24.</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0">
        <w:r>
          <w:rPr>
            <w:rStyle w:val="Hyperlink"/>
          </w:rPr>
          <w:t xml:space="preserve">https://doi.org/10.1038/s41598-022-05266-z</w:t>
        </w:r>
      </w:hyperlink>
      <w:r>
        <w:t xml:space="preserve">.</w:t>
      </w:r>
    </w:p>
    <w:bookmarkEnd w:id="81"/>
    <w:bookmarkStart w:id="83" w:name="ref-marsà2025"/>
    <w:p>
      <w:pPr>
        <w:pStyle w:val="Bibliography"/>
      </w:pPr>
      <w:r>
        <w:t xml:space="preserve">25.</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2">
        <w:r>
          <w:rPr>
            <w:rStyle w:val="Hyperlink"/>
          </w:rPr>
          <w:t xml:space="preserve">https://doi.org/10.3390/d17030153</w:t>
        </w:r>
      </w:hyperlink>
      <w:r>
        <w:t xml:space="preserve">.</w:t>
      </w:r>
    </w:p>
    <w:bookmarkEnd w:id="83"/>
    <w:bookmarkStart w:id="85" w:name="ref-freitas-oliveira2024"/>
    <w:p>
      <w:pPr>
        <w:pStyle w:val="Bibliography"/>
      </w:pPr>
      <w:r>
        <w:t xml:space="preserve">26.</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4">
        <w:r>
          <w:rPr>
            <w:rStyle w:val="Hyperlink"/>
          </w:rPr>
          <w:t xml:space="preserve">https://doi.org/10.1038/s44185-024-00045-7</w:t>
        </w:r>
      </w:hyperlink>
      <w:r>
        <w:t xml:space="preserve">.</w:t>
      </w:r>
    </w:p>
    <w:bookmarkEnd w:id="85"/>
    <w:bookmarkStart w:id="87" w:name="ref-pilowsky2022"/>
    <w:p>
      <w:pPr>
        <w:pStyle w:val="Bibliography"/>
      </w:pPr>
      <w:r>
        <w:t xml:space="preserve">27.</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6">
        <w:r>
          <w:rPr>
            <w:rStyle w:val="Hyperlink"/>
          </w:rPr>
          <w:t xml:space="preserve">https://doi.org/10.1126/sciadv.abj2271</w:t>
        </w:r>
      </w:hyperlink>
      <w:r>
        <w:t xml:space="preserve">.</w:t>
      </w:r>
    </w:p>
    <w:bookmarkEnd w:id="87"/>
    <w:bookmarkStart w:id="89" w:name="ref-hagen2023"/>
    <w:p>
      <w:pPr>
        <w:pStyle w:val="Bibliography"/>
      </w:pPr>
      <w:r>
        <w:t xml:space="preserve">28.</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8">
        <w:r>
          <w:rPr>
            <w:rStyle w:val="Hyperlink"/>
          </w:rPr>
          <w:t xml:space="preserve">https://doi.org/10.1111/ecog.06132</w:t>
        </w:r>
      </w:hyperlink>
      <w:r>
        <w:t xml:space="preserve">.</w:t>
      </w:r>
    </w:p>
    <w:bookmarkEnd w:id="89"/>
    <w:bookmarkStart w:id="91" w:name="ref-hagen2021"/>
    <w:p>
      <w:pPr>
        <w:pStyle w:val="Bibliography"/>
      </w:pPr>
      <w:r>
        <w:t xml:space="preserve">29.</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0">
        <w:r>
          <w:rPr>
            <w:rStyle w:val="Hyperlink"/>
          </w:rPr>
          <w:t xml:space="preserve">https://doi.org/10.1371/journal.pbio.3001340</w:t>
        </w:r>
      </w:hyperlink>
      <w:r>
        <w:t xml:space="preserve">.</w:t>
      </w:r>
    </w:p>
    <w:bookmarkEnd w:id="91"/>
    <w:bookmarkStart w:id="93" w:name="ref-lorcery2025"/>
    <w:p>
      <w:pPr>
        <w:pStyle w:val="Bibliography"/>
      </w:pPr>
      <w:r>
        <w:t xml:space="preserve">30.</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2">
        <w:r>
          <w:rPr>
            <w:rStyle w:val="Hyperlink"/>
          </w:rPr>
          <w:t xml:space="preserve">https://doi.org/10.1371/journal.pone.0332766</w:t>
        </w:r>
      </w:hyperlink>
      <w:r>
        <w:t xml:space="preserve">.</w:t>
      </w:r>
    </w:p>
    <w:bookmarkEnd w:id="93"/>
    <w:bookmarkStart w:id="95" w:name="ref-hagen2021b"/>
    <w:p>
      <w:pPr>
        <w:pStyle w:val="Bibliography"/>
      </w:pPr>
      <w:r>
        <w:t xml:space="preserve">31.</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4">
        <w:r>
          <w:rPr>
            <w:rStyle w:val="Hyperlink"/>
          </w:rPr>
          <w:t xml:space="preserve">https://doi.org/10.1073/pnas.2026347118</w:t>
        </w:r>
      </w:hyperlink>
      <w:r>
        <w:t xml:space="preserve">.</w:t>
      </w:r>
    </w:p>
    <w:bookmarkEnd w:id="95"/>
    <w:bookmarkStart w:id="97" w:name="ref-skeels2023b"/>
    <w:p>
      <w:pPr>
        <w:pStyle w:val="Bibliography"/>
      </w:pPr>
      <w:r>
        <w:t xml:space="preserve">32.</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6">
        <w:r>
          <w:rPr>
            <w:rStyle w:val="Hyperlink"/>
          </w:rPr>
          <w:t xml:space="preserve">https://doi.org/10.1126/science.adf7122</w:t>
        </w:r>
      </w:hyperlink>
      <w:r>
        <w:t xml:space="preserve">.</w:t>
      </w:r>
    </w:p>
    <w:bookmarkEnd w:id="97"/>
    <w:bookmarkStart w:id="99" w:name="ref-boschman2023"/>
    <w:p>
      <w:pPr>
        <w:pStyle w:val="Bibliography"/>
      </w:pPr>
      <w:r>
        <w:t xml:space="preserve">33.</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8">
        <w:r>
          <w:rPr>
            <w:rStyle w:val="Hyperlink"/>
          </w:rPr>
          <w:t xml:space="preserve">https://doi.org/10.1038/s41559-023-02220-8</w:t>
        </w:r>
      </w:hyperlink>
      <w:r>
        <w:t xml:space="preserve">.</w:t>
      </w:r>
    </w:p>
    <w:bookmarkEnd w:id="99"/>
    <w:bookmarkStart w:id="101" w:name="ref-skeels2023"/>
    <w:p>
      <w:pPr>
        <w:pStyle w:val="Bibliography"/>
      </w:pPr>
      <w:r>
        <w:t xml:space="preserve">34.</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0">
        <w:r>
          <w:rPr>
            <w:rStyle w:val="Hyperlink"/>
          </w:rPr>
          <w:t xml:space="preserve">https://doi.org/10.1093/sysbio/syac048</w:t>
        </w:r>
      </w:hyperlink>
      <w:r>
        <w:t xml:space="preserve">.</w:t>
      </w:r>
    </w:p>
    <w:bookmarkEnd w:id="101"/>
    <w:bookmarkStart w:id="103" w:name="ref-liu2024"/>
    <w:p>
      <w:pPr>
        <w:pStyle w:val="Bibliography"/>
      </w:pPr>
      <w:r>
        <w:t xml:space="preserve">35.</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2">
        <w:r>
          <w:rPr>
            <w:rStyle w:val="Hyperlink"/>
          </w:rPr>
          <w:t xml:space="preserve">https://doi.org/10.1126/science.adi0833</w:t>
        </w:r>
      </w:hyperlink>
      <w:r>
        <w:t xml:space="preserve">.</w:t>
      </w:r>
    </w:p>
    <w:bookmarkEnd w:id="103"/>
    <w:bookmarkStart w:id="105" w:name="ref-holden2019"/>
    <w:p>
      <w:pPr>
        <w:pStyle w:val="Bibliography"/>
      </w:pPr>
      <w:r>
        <w:t xml:space="preserve">36.</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4">
        <w:r>
          <w:rPr>
            <w:rStyle w:val="Hyperlink"/>
          </w:rPr>
          <w:t xml:space="preserve">https://doi.org/10.5194/gmd-12-5137-2019</w:t>
        </w:r>
      </w:hyperlink>
      <w:r>
        <w:t xml:space="preserve">.</w:t>
      </w:r>
    </w:p>
    <w:bookmarkEnd w:id="105"/>
    <w:bookmarkStart w:id="107" w:name="ref-barreto2023"/>
    <w:p>
      <w:pPr>
        <w:pStyle w:val="Bibliography"/>
      </w:pPr>
      <w:r>
        <w:t xml:space="preserve">37.</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6">
        <w:r>
          <w:rPr>
            <w:rStyle w:val="Hyperlink"/>
          </w:rPr>
          <w:t xml:space="preserve">https://doi.org/10.1111/geb.13683</w:t>
        </w:r>
      </w:hyperlink>
      <w:r>
        <w:t xml:space="preserve">.</w:t>
      </w:r>
    </w:p>
    <w:bookmarkEnd w:id="107"/>
    <w:bookmarkStart w:id="109" w:name="ref-beck2018"/>
    <w:p>
      <w:pPr>
        <w:pStyle w:val="Bibliography"/>
      </w:pPr>
      <w:r>
        <w:t xml:space="preserve">38.</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8">
        <w:r>
          <w:rPr>
            <w:rStyle w:val="Hyperlink"/>
          </w:rPr>
          <w:t xml:space="preserve">https://doi.org/10.1038/sdata.2018.214</w:t>
        </w:r>
      </w:hyperlink>
      <w:r>
        <w:t xml:space="preserve">.</w:t>
      </w:r>
    </w:p>
    <w:bookmarkEnd w:id="109"/>
    <w:bookmarkStart w:id="111" w:name="ref-galván2023"/>
    <w:p>
      <w:pPr>
        <w:pStyle w:val="Bibliography"/>
      </w:pPr>
      <w:r>
        <w:t xml:space="preserve">39.</w:t>
      </w:r>
      <w:r>
        <w:t xml:space="preserve"> </w:t>
      </w:r>
      <w:r>
        <w:t xml:space="preserve">	</w:t>
      </w:r>
      <w:r>
        <w:t xml:space="preserve">Galván, S., Gamboa, S., and Varela, S. (2023).</w:t>
      </w:r>
      <w:r>
        <w:t xml:space="preserve"> </w:t>
      </w:r>
      <w:hyperlink r:id="rId110">
        <w:r>
          <w:rPr>
            <w:rStyle w:val="Hyperlink"/>
          </w:rPr>
          <w:t xml:space="preserve">Köppen Geiger climatic classification for R users.</w:t>
        </w:r>
      </w:hyperlink>
    </w:p>
    <w:bookmarkEnd w:id="111"/>
    <w:bookmarkStart w:id="113" w:name="ref-raven2020"/>
    <w:p>
      <w:pPr>
        <w:pStyle w:val="Bibliography"/>
      </w:pPr>
      <w:r>
        <w:t xml:space="preserve">40.</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12">
        <w:r>
          <w:rPr>
            <w:rStyle w:val="Hyperlink"/>
          </w:rPr>
          <w:t xml:space="preserve">https://doi.org/10.1126/sciadv.abc6228</w:t>
        </w:r>
      </w:hyperlink>
      <w:r>
        <w:t xml:space="preserve">.</w:t>
      </w:r>
    </w:p>
    <w:bookmarkEnd w:id="113"/>
    <w:bookmarkStart w:id="115" w:name="ref-haffer1969"/>
    <w:p>
      <w:pPr>
        <w:pStyle w:val="Bibliography"/>
      </w:pPr>
      <w:r>
        <w:t xml:space="preserve">41.</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4">
        <w:r>
          <w:rPr>
            <w:rStyle w:val="Hyperlink"/>
          </w:rPr>
          <w:t xml:space="preserve">https://doi.org/10.1126/science.165.3889.131</w:t>
        </w:r>
      </w:hyperlink>
      <w:r>
        <w:t xml:space="preserve">.</w:t>
      </w:r>
    </w:p>
    <w:bookmarkEnd w:id="115"/>
    <w:bookmarkStart w:id="117" w:name="ref-cruz2025"/>
    <w:p>
      <w:pPr>
        <w:pStyle w:val="Bibliography"/>
      </w:pPr>
      <w:r>
        <w:t xml:space="preserve">42.</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16">
        <w:r>
          <w:rPr>
            <w:rStyle w:val="Hyperlink"/>
          </w:rPr>
          <w:t xml:space="preserve">https://doi.org/10.1590/S1984-4689.v42.e24051</w:t>
        </w:r>
      </w:hyperlink>
      <w:r>
        <w:t xml:space="preserve">.</w:t>
      </w:r>
    </w:p>
    <w:bookmarkEnd w:id="117"/>
    <w:bookmarkStart w:id="119"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8">
        <w:r>
          <w:rPr>
            <w:rStyle w:val="Hyperlink"/>
          </w:rPr>
          <w:t xml:space="preserve">https://doi.org/10.1016/j.gloplacha.2022.103758</w:t>
        </w:r>
      </w:hyperlink>
      <w:r>
        <w:t xml:space="preserve">.</w:t>
      </w:r>
    </w:p>
    <w:bookmarkEnd w:id="119"/>
    <w:bookmarkStart w:id="121" w:name="ref-antonelli2018"/>
    <w:p>
      <w:pPr>
        <w:pStyle w:val="Bibliography"/>
      </w:pPr>
      <w:r>
        <w:t xml:space="preserve">44.</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0">
        <w:r>
          <w:rPr>
            <w:rStyle w:val="Hyperlink"/>
          </w:rPr>
          <w:t xml:space="preserve">https://doi.org/10.1038/s41561-018-0236-z</w:t>
        </w:r>
      </w:hyperlink>
      <w:r>
        <w:t xml:space="preserve">.</w:t>
      </w:r>
    </w:p>
    <w:bookmarkEnd w:id="121"/>
    <w:bookmarkStart w:id="123" w:name="ref-motta2025"/>
    <w:p>
      <w:pPr>
        <w:pStyle w:val="Bibliography"/>
      </w:pPr>
      <w:r>
        <w:t xml:space="preserve">45.</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2">
        <w:r>
          <w:rPr>
            <w:rStyle w:val="Hyperlink"/>
          </w:rPr>
          <w:t xml:space="preserve">https://doi.org/10.1016/j.palaeo.2025.112905</w:t>
        </w:r>
      </w:hyperlink>
      <w:r>
        <w:t xml:space="preserve">.</w:t>
      </w:r>
    </w:p>
    <w:bookmarkEnd w:id="123"/>
    <w:bookmarkStart w:id="125" w:name="ref-morgan1993"/>
    <w:p>
      <w:pPr>
        <w:pStyle w:val="Bibliography"/>
      </w:pPr>
      <w:r>
        <w:t xml:space="preserve">46.</w:t>
      </w:r>
      <w:r>
        <w:t xml:space="preserve"> </w:t>
      </w:r>
      <w:r>
        <w:t xml:space="preserve">	</w:t>
      </w:r>
      <w:r>
        <w:t xml:space="preserve">Morgan, G.S. (1993). Quaternary land vertebrates of jamaica. In, R. M. Wright and E. Robinson, eds. (Geological Society of America), p. 0.</w:t>
      </w:r>
      <w:r>
        <w:t xml:space="preserve"> </w:t>
      </w:r>
      <w:hyperlink r:id="rId124">
        <w:r>
          <w:rPr>
            <w:rStyle w:val="Hyperlink"/>
          </w:rPr>
          <w:t xml:space="preserve">https://doi.org/10.1130/MEM182-p417</w:t>
        </w:r>
      </w:hyperlink>
      <w:r>
        <w:t xml:space="preserve">.</w:t>
      </w:r>
    </w:p>
    <w:bookmarkEnd w:id="125"/>
    <w:bookmarkStart w:id="127" w:name="ref-ali2021b"/>
    <w:p>
      <w:pPr>
        <w:pStyle w:val="Bibliography"/>
      </w:pPr>
      <w:r>
        <w:t xml:space="preserve">47.</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6">
        <w:r>
          <w:rPr>
            <w:rStyle w:val="Hyperlink"/>
          </w:rPr>
          <w:t xml:space="preserve">https://doi.org/10.1111/jbi.14234</w:t>
        </w:r>
      </w:hyperlink>
      <w:r>
        <w:t xml:space="preserve">.</w:t>
      </w:r>
    </w:p>
    <w:bookmarkEnd w:id="127"/>
    <w:bookmarkStart w:id="129" w:name="ref-cornée2021"/>
    <w:p>
      <w:pPr>
        <w:pStyle w:val="Bibliography"/>
      </w:pPr>
      <w:r>
        <w:t xml:space="preserve">48.</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8">
        <w:r>
          <w:rPr>
            <w:rStyle w:val="Hyperlink"/>
          </w:rPr>
          <w:t xml:space="preserve">https://doi.org/10.1016/j.earscirev.2021.103617</w:t>
        </w:r>
      </w:hyperlink>
      <w:r>
        <w:t xml:space="preserve">.</w:t>
      </w:r>
    </w:p>
    <w:bookmarkEnd w:id="129"/>
    <w:bookmarkStart w:id="131" w:name="ref-warren2015"/>
    <w:p>
      <w:pPr>
        <w:pStyle w:val="Bibliography"/>
      </w:pPr>
      <w:r>
        <w:t xml:space="preserve">49.</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0">
        <w:r>
          <w:rPr>
            <w:rStyle w:val="Hyperlink"/>
          </w:rPr>
          <w:t xml:space="preserve">https://doi.org/10.1111/ele.12398</w:t>
        </w:r>
      </w:hyperlink>
      <w:r>
        <w:t xml:space="preserve">.</w:t>
      </w:r>
    </w:p>
    <w:bookmarkEnd w:id="131"/>
    <w:bookmarkStart w:id="133" w:name="ref-couvreur2011"/>
    <w:p>
      <w:pPr>
        <w:pStyle w:val="Bibliography"/>
      </w:pPr>
      <w:r>
        <w:t xml:space="preserve">50.</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2">
        <w:r>
          <w:rPr>
            <w:rStyle w:val="Hyperlink"/>
          </w:rPr>
          <w:t xml:space="preserve">https://doi.org/10.1111/j.1365-2699.2010.02434.x</w:t>
        </w:r>
      </w:hyperlink>
      <w:r>
        <w:t xml:space="preserve">.</w:t>
      </w:r>
    </w:p>
    <w:bookmarkEnd w:id="133"/>
    <w:bookmarkStart w:id="135" w:name="ref-upchurch2024"/>
    <w:p>
      <w:pPr>
        <w:pStyle w:val="Bibliography"/>
      </w:pPr>
      <w:r>
        <w:t xml:space="preserve">51.</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4">
        <w:r>
          <w:rPr>
            <w:rStyle w:val="Hyperlink"/>
          </w:rPr>
          <w:t xml:space="preserve">https://doi.org/10.1098/rsbl.2024.0429</w:t>
        </w:r>
      </w:hyperlink>
      <w:r>
        <w:t xml:space="preserve">.</w:t>
      </w:r>
    </w:p>
    <w:bookmarkEnd w:id="135"/>
    <w:bookmarkStart w:id="137" w:name="ref-weir2009"/>
    <w:p>
      <w:pPr>
        <w:pStyle w:val="Bibliography"/>
      </w:pPr>
      <w:r>
        <w:t xml:space="preserve">52.</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36">
        <w:r>
          <w:rPr>
            <w:rStyle w:val="Hyperlink"/>
          </w:rPr>
          <w:t xml:space="preserve">https://doi.org/10.1073/pnas.0903811106</w:t>
        </w:r>
      </w:hyperlink>
      <w:r>
        <w:t xml:space="preserve">.</w:t>
      </w:r>
    </w:p>
    <w:bookmarkEnd w:id="137"/>
    <w:bookmarkStart w:id="139" w:name="ref-gearty2023"/>
    <w:p>
      <w:pPr>
        <w:pStyle w:val="Bibliography"/>
      </w:pPr>
      <w:r>
        <w:t xml:space="preserve">53.</w:t>
      </w:r>
      <w:r>
        <w:t xml:space="preserve"> </w:t>
      </w:r>
      <w:r>
        <w:t xml:space="preserve">	</w:t>
      </w:r>
      <w:r>
        <w:t xml:space="preserve">Gearty, W. (2023).</w:t>
      </w:r>
      <w:r>
        <w:t xml:space="preserve"> </w:t>
      </w:r>
      <w:hyperlink r:id="rId138">
        <w:r>
          <w:rPr>
            <w:rStyle w:val="Hyperlink"/>
          </w:rPr>
          <w:t xml:space="preserve">Deeptime: Plotting tools for anyone working in deep time. R package version 1.0.1.</w:t>
        </w:r>
      </w:hyperlink>
    </w:p>
    <w:bookmarkEnd w:id="139"/>
    <w:bookmarkEnd w:id="140"/>
    <w:bookmarkEnd w:id="141"/>
    <w:bookmarkStart w:id="15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45" w:name="fig-framework"/>
          <w:p>
            <w:pPr>
              <w:pStyle w:val="Compact"/>
              <w:jc w:val="center"/>
            </w:pPr>
            <w:r>
              <w:drawing>
                <wp:inline>
                  <wp:extent cx="3959999" cy="3959999"/>
                  <wp:effectExtent b="0" l="0" r="0" t="0"/>
                  <wp:docPr descr="" title="" id="143" name="Picture"/>
                  <a:graphic>
                    <a:graphicData uri="http://schemas.openxmlformats.org/drawingml/2006/picture">
                      <pic:pic>
                        <pic:nvPicPr>
                          <pic:cNvPr descr="../Figures/MS/Main/Figure_framework/Figure_framework.png" id="144" name="Picture"/>
                          <pic:cNvPicPr>
                            <a:picLocks noChangeArrowheads="1" noChangeAspect="1"/>
                          </pic:cNvPicPr>
                        </pic:nvPicPr>
                        <pic:blipFill>
                          <a:blip r:embed="rId14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36</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8,10</w:t>
            </w:r>
            <w:r>
              <w:t xml:space="preserve"> </w:t>
            </w:r>
            <w:r>
              <w:t xml:space="preserve">is indicated by the light purple vertical bands. Geological timescale was depicted using the deeptime R package</w:t>
            </w:r>
            <w:r>
              <w:rPr>
                <w:vertAlign w:val="superscript"/>
              </w:rPr>
              <w:t xml:space="preserve">53</w:t>
            </w:r>
            <w:r>
              <w:t xml:space="preserve">. The empirically-derived asymmetry of the transcontinental land mammal exchange is represented by the thickness of the two arrows, the thicker the arrow, the more intense the exchange.</w:t>
            </w:r>
          </w:p>
          <w:bookmarkEnd w:id="145"/>
        </w:tc>
      </w:tr>
    </w:tbl>
    <w:tbl>
      <w:tblPr>
        <w:tblStyle w:val="Table"/>
        <w:tblW w:type="pct" w:w="5000"/>
        <w:tblLayout w:type="fixed"/>
        <w:tblLook w:firstRow="0" w:lastRow="0" w:firstColumn="0" w:lastColumn="0" w:noHBand="0" w:noVBand="0" w:val="0000"/>
      </w:tblPr>
      <w:tblGrid>
        <w:gridCol w:w="7920"/>
      </w:tblGrid>
      <w:tr>
        <w:tc>
          <w:tcPr/>
          <w:bookmarkStart w:id="149" w:name="fig-propsuccess"/>
          <w:p>
            <w:pPr>
              <w:pStyle w:val="Compact"/>
              <w:jc w:val="center"/>
            </w:pPr>
            <w:r>
              <w:drawing>
                <wp:inline>
                  <wp:extent cx="3599999" cy="3779999"/>
                  <wp:effectExtent b="0" l="0" r="0" t="0"/>
                  <wp:docPr descr="" title="" id="147" name="Picture"/>
                  <a:graphic>
                    <a:graphicData uri="http://schemas.openxmlformats.org/drawingml/2006/picture">
                      <pic:pic>
                        <pic:nvPicPr>
                          <pic:cNvPr descr="../Figures/MS/Main/Figure_PropSuccess/Figure_PropSuccess.png" id="148" name="Picture"/>
                          <pic:cNvPicPr>
                            <a:picLocks noChangeArrowheads="1" noChangeAspect="1"/>
                          </pic:cNvPicPr>
                        </pic:nvPicPr>
                        <pic:blipFill>
                          <a:blip r:embed="rId146"/>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49"/>
        </w:tc>
      </w:tr>
    </w:tbl>
    <w:tbl>
      <w:tblPr>
        <w:tblStyle w:val="Table"/>
        <w:tblW w:type="pct" w:w="5000"/>
        <w:tblLayout w:type="fixed"/>
        <w:tblLook w:firstRow="0" w:lastRow="0" w:firstColumn="0" w:lastColumn="0" w:noHBand="0" w:noVBand="0" w:val="0000"/>
      </w:tblPr>
      <w:tblGrid>
        <w:gridCol w:w="7920"/>
      </w:tblGrid>
      <w:tr>
        <w:tc>
          <w:tcPr/>
          <w:bookmarkStart w:id="153" w:name="fig-metrics"/>
          <w:p>
            <w:pPr>
              <w:pStyle w:val="Compact"/>
              <w:jc w:val="left"/>
            </w:pPr>
            <w:r>
              <w:drawing>
                <wp:inline>
                  <wp:extent cx="5039999" cy="4319999"/>
                  <wp:effectExtent b="0" l="0" r="0" t="0"/>
                  <wp:docPr descr="" title="" id="151" name="Picture"/>
                  <a:graphic>
                    <a:graphicData uri="http://schemas.openxmlformats.org/drawingml/2006/picture">
                      <pic:pic>
                        <pic:nvPicPr>
                          <pic:cNvPr descr="../Figures/MS/Main/Figure_metrics/Figure_metrics.png" id="152" name="Picture"/>
                          <pic:cNvPicPr>
                            <a:picLocks noChangeArrowheads="1" noChangeAspect="1"/>
                          </pic:cNvPicPr>
                        </pic:nvPicPr>
                        <pic:blipFill>
                          <a:blip r:embed="rId15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53"/>
        </w:tc>
      </w:tr>
    </w:tbl>
    <w:tbl>
      <w:tblPr>
        <w:tblStyle w:val="Table"/>
        <w:tblW w:type="pct" w:w="5000"/>
        <w:tblLayout w:type="fixed"/>
        <w:tblLook w:firstRow="0" w:lastRow="0" w:firstColumn="0" w:lastColumn="0" w:noHBand="0" w:noVBand="0" w:val="0000"/>
      </w:tblPr>
      <w:tblGrid>
        <w:gridCol w:w="7920"/>
      </w:tblGrid>
      <w:tr>
        <w:tc>
          <w:tcPr/>
          <w:bookmarkStart w:id="157" w:name="fig-biome"/>
          <w:p>
            <w:pPr>
              <w:pStyle w:val="Compact"/>
              <w:jc w:val="center"/>
            </w:pPr>
            <w:r>
              <w:drawing>
                <wp:inline>
                  <wp:extent cx="5399999" cy="5399999"/>
                  <wp:effectExtent b="0" l="0" r="0" t="0"/>
                  <wp:docPr descr="" title="" id="155" name="Picture"/>
                  <a:graphic>
                    <a:graphicData uri="http://schemas.openxmlformats.org/drawingml/2006/picture">
                      <pic:pic>
                        <pic:nvPicPr>
                          <pic:cNvPr descr="../Figures/MS/Main/Figure_biomes/Figure_biomes.png" id="156" name="Picture"/>
                          <pic:cNvPicPr>
                            <a:picLocks noChangeArrowheads="1" noChangeAspect="1"/>
                          </pic:cNvPicPr>
                        </pic:nvPicPr>
                        <pic:blipFill>
                          <a:blip r:embed="rId154"/>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57"/>
        </w:tc>
      </w:tr>
    </w:tbl>
    <w:bookmarkEnd w:id="15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6" Target="media/rId146.png" /><Relationship Type="http://schemas.openxmlformats.org/officeDocument/2006/relationships/image" Id="rId154" Target="media/rId154.png" /><Relationship Type="http://schemas.openxmlformats.org/officeDocument/2006/relationships/image" Id="rId142" Target="media/rId142.png" /><Relationship Type="http://schemas.openxmlformats.org/officeDocument/2006/relationships/image" Id="rId150" Target="media/rId150.png" /><Relationship Type="http://schemas.openxmlformats.org/officeDocument/2006/relationships/hyperlink" Id="rId40" Target="http://repository.si.edu/xmlui/handle/10088/35473" TargetMode="External" /><Relationship Type="http://schemas.openxmlformats.org/officeDocument/2006/relationships/hyperlink" Id="rId138"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28"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18" Target="https://doi.org/10.1016/j.gloplacha.2022.103758" TargetMode="External" /><Relationship Type="http://schemas.openxmlformats.org/officeDocument/2006/relationships/hyperlink" Id="rId122"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20" Target="https://doi.org/10.1038/s41561-018-0236-z"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36"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34" Target="https://doi.org/10.1098/rsbl.2024.0429" TargetMode="External" /><Relationship Type="http://schemas.openxmlformats.org/officeDocument/2006/relationships/hyperlink" Id="rId88" Target="https://doi.org/10.1111/ecog.06132" TargetMode="External" /><Relationship Type="http://schemas.openxmlformats.org/officeDocument/2006/relationships/hyperlink" Id="rId130"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32" Target="https://doi.org/10.1111/j.1365-2699.2010.02434.x" TargetMode="External" /><Relationship Type="http://schemas.openxmlformats.org/officeDocument/2006/relationships/hyperlink" Id="rId126"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12"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14"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24"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6"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38" Target="https://CRAN.R-project.org/package=deeptime" TargetMode="External" /><Relationship Type="http://schemas.openxmlformats.org/officeDocument/2006/relationships/hyperlink" Id="rId50" Target="https://doi.org/10.1007/s10914-010-9144-8" TargetMode="External" /><Relationship Type="http://schemas.openxmlformats.org/officeDocument/2006/relationships/hyperlink" Id="rId78" Target="https://doi.org/10.1007/s10914-011-9175-9" TargetMode="External" /><Relationship Type="http://schemas.openxmlformats.org/officeDocument/2006/relationships/hyperlink" Id="rId128" Target="https://doi.org/10.1016/j.earscirev.2021.103617" TargetMode="External" /><Relationship Type="http://schemas.openxmlformats.org/officeDocument/2006/relationships/hyperlink" Id="rId44" Target="https://doi.org/10.1016/j.geobios.2006.09.005" TargetMode="External" /><Relationship Type="http://schemas.openxmlformats.org/officeDocument/2006/relationships/hyperlink" Id="rId118" Target="https://doi.org/10.1016/j.gloplacha.2022.103758" TargetMode="External" /><Relationship Type="http://schemas.openxmlformats.org/officeDocument/2006/relationships/hyperlink" Id="rId122" Target="https://doi.org/10.1016/j.palaeo.2025.112905" TargetMode="External" /><Relationship Type="http://schemas.openxmlformats.org/officeDocument/2006/relationships/hyperlink" Id="rId58"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20" Target="https://doi.org/10.1038/s41561-018-0236-z" TargetMode="External" /><Relationship Type="http://schemas.openxmlformats.org/officeDocument/2006/relationships/hyperlink" Id="rId69" Target="https://doi.org/10.1038/s41598-020-58575-6" TargetMode="External" /><Relationship Type="http://schemas.openxmlformats.org/officeDocument/2006/relationships/hyperlink" Id="rId80"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8" Target="https://doi.org/10.1038/sdata.2018.214" TargetMode="External" /><Relationship Type="http://schemas.openxmlformats.org/officeDocument/2006/relationships/hyperlink" Id="rId136" Target="https://doi.org/10.1073/pnas.0903811106" TargetMode="External" /><Relationship Type="http://schemas.openxmlformats.org/officeDocument/2006/relationships/hyperlink" Id="rId52" Target="https://doi.org/10.1073/pnas.1423853112" TargetMode="External" /><Relationship Type="http://schemas.openxmlformats.org/officeDocument/2006/relationships/hyperlink" Id="rId62"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34" Target="https://doi.org/10.1098/rsbl.2024.0429" TargetMode="External" /><Relationship Type="http://schemas.openxmlformats.org/officeDocument/2006/relationships/hyperlink" Id="rId88" Target="https://doi.org/10.1111/ecog.06132" TargetMode="External" /><Relationship Type="http://schemas.openxmlformats.org/officeDocument/2006/relationships/hyperlink" Id="rId130" Target="https://doi.org/10.1111/ele.12398" TargetMode="External" /><Relationship Type="http://schemas.openxmlformats.org/officeDocument/2006/relationships/hyperlink" Id="rId72"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32" Target="https://doi.org/10.1111/j.1365-2699.2010.02434.x" TargetMode="External" /><Relationship Type="http://schemas.openxmlformats.org/officeDocument/2006/relationships/hyperlink" Id="rId126" Target="https://doi.org/10.1111/jbi.14234" TargetMode="External" /><Relationship Type="http://schemas.openxmlformats.org/officeDocument/2006/relationships/hyperlink" Id="rId74"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12" Target="https://doi.org/10.1126/sciadv.abc6228" TargetMode="External" /><Relationship Type="http://schemas.openxmlformats.org/officeDocument/2006/relationships/hyperlink" Id="rId86" Target="https://doi.org/10.1126/sciadv.abj2271" TargetMode="External" /><Relationship Type="http://schemas.openxmlformats.org/officeDocument/2006/relationships/hyperlink" Id="rId114"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6" Target="https://doi.org/10.1126/science.adu0704" TargetMode="External" /><Relationship Type="http://schemas.openxmlformats.org/officeDocument/2006/relationships/hyperlink" Id="rId54" Target="https://doi.org/10.1130/G37624.1" TargetMode="External" /><Relationship Type="http://schemas.openxmlformats.org/officeDocument/2006/relationships/hyperlink" Id="rId124" Target="https://doi.org/10.1130/MEM182-p417" TargetMode="External" /><Relationship Type="http://schemas.openxmlformats.org/officeDocument/2006/relationships/hyperlink" Id="rId64" Target="https://doi.org/10.1146/annurev-earth-072619-060126" TargetMode="External" /><Relationship Type="http://schemas.openxmlformats.org/officeDocument/2006/relationships/hyperlink" Id="rId90" Target="https://doi.org/10.1371/journal.pbio.3001340" TargetMode="External" /><Relationship Type="http://schemas.openxmlformats.org/officeDocument/2006/relationships/hyperlink" Id="rId92" Target="https://doi.org/10.1371/journal.pone.0332766" TargetMode="External" /><Relationship Type="http://schemas.openxmlformats.org/officeDocument/2006/relationships/hyperlink" Id="rId116" Target="https://doi.org/10.1590/S1984-4689.v42.e24051" TargetMode="External" /><Relationship Type="http://schemas.openxmlformats.org/officeDocument/2006/relationships/hyperlink" Id="rId76" Target="https://doi.org/10.2307/1381862" TargetMode="External" /><Relationship Type="http://schemas.openxmlformats.org/officeDocument/2006/relationships/hyperlink" Id="rId48" Target="https://doi.org/10.3389/fgene.2014.00451" TargetMode="External" /><Relationship Type="http://schemas.openxmlformats.org/officeDocument/2006/relationships/hyperlink" Id="rId82"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0" Target="https://link.springer.com/10.1007/978-94-017-9792-4" TargetMode="External" /><Relationship Type="http://schemas.openxmlformats.org/officeDocument/2006/relationships/hyperlink" Id="rId46"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6"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2025-10-28T17:20:10Z</dcterms:created>
  <dcterms:modified xsi:type="dcterms:W3CDTF">2025-10-28T17:20:10Z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