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Palaeoclimate</w:t>
      </w:r>
      <w:r>
        <w:t xml:space="preserve"> </w:t>
      </w:r>
      <w:r>
        <w:t xml:space="preserve">constraints</w:t>
      </w:r>
      <w:r>
        <w:t xml:space="preserve"> </w:t>
      </w:r>
      <w:r>
        <w:t xml:space="preserve">on</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0" w:name="potential-journals"/>
    <w:p>
      <w:pPr>
        <w:pStyle w:val="Heading1"/>
      </w:pPr>
      <w:r>
        <w:t xml:space="preserve">Potential journals</w:t>
      </w:r>
    </w:p>
    <w:p>
      <w:pPr>
        <w:pStyle w:val="FirstParagraph"/>
      </w:pPr>
      <w:r>
        <w:t xml:space="preserve">Global ecology &amp; Biogeography? Journal of Biogeography?</w:t>
      </w:r>
    </w:p>
    <w:bookmarkEnd w:id="20"/>
    <w:bookmarkStart w:id="24" w:name="introduction"/>
    <w:p>
      <w:pPr>
        <w:pStyle w:val="Heading1"/>
      </w:pPr>
      <w:r>
        <w:t xml:space="preserve">Introduction</w:t>
      </w:r>
    </w:p>
    <w:bookmarkStart w:id="21" w:name="X9b434546b88f86cade7bd2a962b555402145bbd"/>
    <w:p>
      <w:pPr>
        <w:pStyle w:val="Heading3"/>
      </w:pPr>
      <w:r>
        <w:t xml:space="preserve">Paragraph 1. Biotic interchanges, how they shaped the history ofGABI broad description</w:t>
      </w:r>
    </w:p>
    <w:p>
      <w:pPr>
        <w:pStyle w:val="FirstParagraph"/>
      </w:pPr>
      <w:r>
        <w:t xml:space="preserve">Half of living South American mammal genera have a North American ancestry</w:t>
      </w:r>
      <w:r>
        <w:t xml:space="preserve"> </w:t>
      </w:r>
      <w:r>
        <w:t xml:space="preserve">(Marshall, 1988)</w:t>
      </w:r>
      <w:r>
        <w:t xml:space="preserve">. Colonisation and establishment of Amazonian taxa in</w:t>
      </w:r>
      <w:r>
        <w:t xml:space="preserve"> </w:t>
      </w:r>
      <w:r>
        <w:t xml:space="preserve">‘</w:t>
      </w:r>
      <w:r>
        <w:t xml:space="preserve">tropical North America</w:t>
      </w:r>
      <w:r>
        <w:t xml:space="preserve">’</w:t>
      </w:r>
      <w:r>
        <w:t xml:space="preserve"> </w:t>
      </w:r>
      <w:r>
        <w:t xml:space="preserve">(</w:t>
      </w:r>
      <w:r>
        <w:rPr>
          <w:i/>
          <w:iCs/>
        </w:rPr>
        <w:t xml:space="preserve">i</w:t>
      </w:r>
      <w:r>
        <w:t xml:space="preserve">.</w:t>
      </w:r>
      <w:r>
        <w:rPr>
          <w:i/>
          <w:iCs/>
        </w:rPr>
        <w:t xml:space="preserve">e</w:t>
      </w:r>
      <w:r>
        <w:t xml:space="preserve">., Central America) =&gt; Neotropics.</w:t>
      </w:r>
    </w:p>
    <w:bookmarkEnd w:id="21"/>
    <w:bookmarkStart w:id="22" w:name="X1dd52ffe770150a9ad72eeee78d2a164b284d3b"/>
    <w:p>
      <w:pPr>
        <w:pStyle w:val="Heading3"/>
      </w:pPr>
      <w:r>
        <w:t xml:space="preserve">Paragraph 2. GABI =&gt; asymmetry! Drivers? History and state-of-the-art</w:t>
      </w:r>
    </w:p>
    <w:p>
      <w:pPr>
        <w:pStyle w:val="FirstParagraph"/>
      </w:pPr>
      <w:r>
        <w:t xml:space="preserve">Species pool proved relevant in the case of the interchange along the Wallacea</w:t>
      </w:r>
      <w:r>
        <w:t xml:space="preserve"> </w:t>
      </w:r>
      <w:r>
        <w:t xml:space="preserve">(Skeels</w:t>
      </w:r>
      <w:r>
        <w:t xml:space="preserve"> </w:t>
      </w:r>
      <w:r>
        <w:rPr>
          <w:i/>
          <w:iCs/>
        </w:rPr>
        <w:t xml:space="preserve">et al.</w:t>
      </w:r>
      <w:r>
        <w:t xml:space="preserve">, 2023)</w:t>
      </w:r>
      <w:r>
        <w:t xml:space="preserve">. But here, we expect to find more species in South America, encompassing one of earth’s major and long-standing biodiversity hotspot − Amazonia</w:t>
      </w:r>
      <w:r>
        <w:t xml:space="preserve"> </w:t>
      </w:r>
      <w:r>
        <w:t xml:space="preserve">(Antonelli</w:t>
      </w:r>
      <w:r>
        <w:t xml:space="preserve"> </w:t>
      </w:r>
      <w:r>
        <w:rPr>
          <w:i/>
          <w:iCs/>
        </w:rPr>
        <w:t xml:space="preserve">et al.</w:t>
      </w:r>
      <w:r>
        <w:t xml:space="preserve">, 2018)</w:t>
      </w:r>
      <w:r>
        <w:t xml:space="preserve"> </w:t>
      </w:r>
      <w:r>
        <w:t xml:space="preserve">− than in North America. Therefore, what drove the notable asymmetry of the GABI? Naturally, this question has been viewed through the lens of biotic interactions. Competition involving clades of similar ecologies (</w:t>
      </w:r>
      <w:r>
        <w:rPr>
          <w:i/>
          <w:iCs/>
        </w:rPr>
        <w:t xml:space="preserve">e</w:t>
      </w:r>
      <w:r>
        <w:t xml:space="preserve">.</w:t>
      </w:r>
      <w:r>
        <w:rPr>
          <w:i/>
          <w:iCs/>
        </w:rPr>
        <w:t xml:space="preserve">g</w:t>
      </w:r>
      <w:r>
        <w:t xml:space="preserve">., artio/perissodactyls v.s. South American native ungulates; carinvorans v.s. sparassodonts) appeared as a likely first-order explanation</w:t>
      </w:r>
      <w:r>
        <w:t xml:space="preserve"> </w:t>
      </w:r>
      <w:r>
        <w:t xml:space="preserve">(Simpson, 1980)</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w:t>
      </w:r>
      <w:r>
        <w:rPr>
          <w:i/>
          <w:iCs/>
        </w:rPr>
        <w:t xml:space="preserve">e</w:t>
      </w:r>
      <w:r>
        <w:t xml:space="preserve">.</w:t>
      </w:r>
      <w:r>
        <w:rPr>
          <w:i/>
          <w:iCs/>
        </w:rPr>
        <w:t xml:space="preserve">g</w:t>
      </w:r>
      <w:r>
        <w:t xml:space="preserve">., Prevosti</w:t>
      </w:r>
      <w:r>
        <w:t xml:space="preserve"> </w:t>
      </w:r>
      <w:r>
        <w:rPr>
          <w:i/>
          <w:iCs/>
        </w:rPr>
        <w:t xml:space="preserve">et al.</w:t>
      </w:r>
      <w:r>
        <w:t xml:space="preserve">, 2013; Tarquini</w:t>
      </w:r>
      <w:r>
        <w:t xml:space="preserve"> </w:t>
      </w:r>
      <w:r>
        <w:rPr>
          <w:i/>
          <w:iCs/>
        </w:rPr>
        <w:t xml:space="preserve">et al.</w:t>
      </w:r>
      <w:r>
        <w:t xml:space="preserve">, 2022)</w:t>
      </w:r>
      <w:r>
        <w:t xml:space="preserve">. Thus, this hypothesis has been increasingly questioned.</w:t>
      </w:r>
    </w:p>
    <w:bookmarkEnd w:id="22"/>
    <w:bookmarkStart w:id="23" w:name="X3103f0312769cc5df5b5fcae21dc7ca54a5a5e7"/>
    <w:p>
      <w:pPr>
        <w:pStyle w:val="Heading3"/>
      </w:pPr>
      <w:r>
        <w:t xml:space="preserve">Paragraph 3. Mechanistic eco-evo modelling</w:t>
      </w:r>
    </w:p>
    <w:p>
      <w:pPr>
        <w:pStyle w:val="FirstParagraph"/>
      </w:pPr>
      <w:r>
        <w:t xml:space="preserve">Possibility to run natural experiments and draw casual links between biodiversity patterns and (a)biotic patterns. Proved efficient in a wide range of questions.</w:t>
      </w:r>
    </w:p>
    <w:bookmarkEnd w:id="23"/>
    <w:bookmarkEnd w:id="24"/>
    <w:bookmarkStart w:id="27" w:name="materials-and-methods"/>
    <w:p>
      <w:pPr>
        <w:pStyle w:val="Heading1"/>
      </w:pPr>
      <w:r>
        <w:t xml:space="preserve">Materials and methods</w:t>
      </w:r>
    </w:p>
    <w:p>
      <w:pPr>
        <w:pStyle w:val="FirstParagraph"/>
      </w:pPr>
      <w:r>
        <w:t xml:space="preserve">What we want to compare: - Proportion of successful exchanges when starting from North v.s. South - Is there any change in diversification rates after crossing Panama’s isthmus? Do crossers from the North experience enhanced diversification than in the other way round?</w:t>
      </w:r>
    </w:p>
    <w:bookmarkStart w:id="25"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(Holden</w:t>
      </w:r>
      <w:r>
        <w:t xml:space="preserve"> </w:t>
      </w:r>
      <w:r>
        <w:rPr>
          <w:i/>
          <w:iCs/>
        </w:rPr>
        <w:t xml:space="preserve">et al.</w:t>
      </w:r>
      <w:r>
        <w:t xml:space="preserve">, 2019)</w:t>
      </w:r>
      <w:r>
        <w:t xml:space="preserve">, covering the last 5 Myrs with a 1</w:t>
      </w:r>
      <w:r>
        <w:t xml:space="preserve"> </w:t>
      </w:r>
      <w:r>
        <w:t xml:space="preserve"> </w:t>
      </w:r>
      <w:r>
        <w:t xml:space="preserve">° spatial resolution</w:t>
      </w:r>
      <w:r>
        <w:t xml:space="preserve"> </w:t>
      </w:r>
      <w:r>
        <w:t xml:space="preserve">(Barreto</w:t>
      </w:r>
      <w:r>
        <w:t xml:space="preserve"> </w:t>
      </w:r>
      <w:r>
        <w:rPr>
          <w:i/>
          <w:iCs/>
        </w:rPr>
        <w:t xml:space="preserve">et al.</w:t>
      </w:r>
      <w:r>
        <w:t xml:space="preserve">, 2023)</w:t>
      </w:r>
      <w:r>
        <w:t xml:space="preserve">. For the scope of this work, we used two bioclimatic variables: mean annual temperature (MAT, BIO1) and mean annual precipitation (MAP, BIO12).</w:t>
      </w:r>
    </w:p>
    <w:bookmarkEnd w:id="25"/>
    <w:bookmarkStart w:id="26"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w:t>
      </w:r>
      <w:r>
        <w:t xml:space="preserve"> </w:t>
      </w:r>
      <w:r>
        <w:rPr>
          <w:i/>
          <w:iCs/>
        </w:rPr>
        <w:t xml:space="preserve">gen3sis</w:t>
      </w:r>
      <w:r>
        <w:t xml:space="preserve">, v1.5.11</w:t>
      </w:r>
      <w:r>
        <w:t xml:space="preserve"> </w:t>
      </w:r>
      <w:r>
        <w:t xml:space="preserve">(Hagen</w:t>
      </w:r>
      <w:r>
        <w:t xml:space="preserve"> </w:t>
      </w:r>
      <w:r>
        <w:rPr>
          <w:i/>
          <w:iCs/>
        </w:rPr>
        <w:t xml:space="preserve">et al.</w:t>
      </w:r>
      <w:r>
        <w:t xml:space="preserve">, 2021)</w:t>
      </w:r>
      <w:r>
        <w:t xml:space="preserve">. Simulations, moving forward-in-time with a 10ky time step, tracked the dispersion and diversification of ancestral lineages either originating in North, South America or both, throughout the last 5 Myr.</w:t>
      </w:r>
    </w:p>
    <w:p>
      <w:pPr>
        <w:pStyle w:val="TextBody"/>
      </w:pPr>
      <w:r>
        <w:t xml:space="preserve">The ancestral range of a starting lineage was randomly selected within the desired ancestral area (</w:t>
      </w:r>
      <w:r>
        <w:rPr>
          <w:i/>
          <w:iCs/>
        </w:rPr>
        <w:t xml:space="preserve">i</w:t>
      </w:r>
      <w:r>
        <w:t xml:space="preserve">.</w:t>
      </w:r>
      <w:r>
        <w:rPr>
          <w:i/>
          <w:iCs/>
        </w:rPr>
        <w:t xml:space="preserve">e</w:t>
      </w:r>
      <w:r>
        <w:t xml:space="preserve">., North, South America or both).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(O’Brien, 2023)</w:t>
      </w:r>
      <w:r>
        <w:t xml:space="preserve">. We then sampled a centroid at random and retrieved the corresponding cell in our landscape.</w:t>
      </w:r>
    </w:p>
    <w:p>
      <w:pPr>
        <w:pStyle w:val="TextBody"/>
      </w:pPr>
      <w:r>
        <w:t xml:space="preserve">Importantly, since the palaeoclimate reconstructions that we used ignored tectonic plate motion − a fairly reasonable assumption for a 5-Myr time frame − continental position in our landscapes was held constant across simulations. Therefore, in this framework, changes in connectivity between North and South America could only arise from the environment.</w:t>
      </w:r>
    </w:p>
    <w:bookmarkEnd w:id="26"/>
    <w:bookmarkEnd w:id="27"/>
    <w:bookmarkStart w:id="48" w:name="references"/>
    <w:p>
      <w:pPr>
        <w:pStyle w:val="Heading1"/>
      </w:pPr>
      <w:r>
        <w:t xml:space="preserve">References</w:t>
      </w:r>
    </w:p>
    <w:bookmarkStart w:id="47" w:name="refs"/>
    <w:bookmarkStart w:id="29" w:name="ref-antonelli2018"/>
    <w:p>
      <w:pPr>
        <w:pStyle w:val="Bibliography"/>
      </w:pPr>
      <w:r>
        <w:t xml:space="preserve">Antonelli, A., Kissling, W.D., Flantua, S.G.A., Bermúdez, M.A., Mulch, A., Muellner-Riehl, A.N., Kreft, H., Linder, H.P., Badgley, C., Fjeldså, J., Fritz, S.A., Rahbek, C., Herman, F., Hooghiemstra, H. &amp; Hoorn, C. (2018)</w:t>
      </w:r>
      <w:r>
        <w:t xml:space="preserve"> </w:t>
      </w:r>
      <w:hyperlink r:id="rId28">
        <w:r>
          <w:rPr>
            <w:rStyle w:val="InternetLink"/>
          </w:rPr>
          <w:t xml:space="preserve">Geological and climatic influences on mountain biodiversity</w:t>
        </w:r>
      </w:hyperlink>
      <w:r>
        <w:t xml:space="preserve">.</w:t>
      </w:r>
      <w:r>
        <w:t xml:space="preserve"> </w:t>
      </w:r>
      <w:r>
        <w:rPr>
          <w:i/>
          <w:iCs/>
        </w:rPr>
        <w:t xml:space="preserve">Nature Geoscience</w:t>
      </w:r>
      <w:r>
        <w:t xml:space="preserve">,</w:t>
      </w:r>
      <w:r>
        <w:t xml:space="preserve"> </w:t>
      </w:r>
      <w:r>
        <w:rPr>
          <w:b/>
          <w:bCs/>
        </w:rPr>
        <w:t xml:space="preserve">11</w:t>
      </w:r>
      <w:r>
        <w:t xml:space="preserve">, 718–725.</w:t>
      </w:r>
    </w:p>
    <w:bookmarkEnd w:id="29"/>
    <w:bookmarkStart w:id="31" w:name="ref-barreto2023"/>
    <w:p>
      <w:pPr>
        <w:pStyle w:val="Bibliography"/>
      </w:pPr>
      <w:r>
        <w:t xml:space="preserve">Barreto, E., Holden, P.B., Edwards, N.R. &amp; Rangel, T.F. (2023)</w:t>
      </w:r>
      <w:r>
        <w:t xml:space="preserve"> </w:t>
      </w:r>
      <w:hyperlink r:id="rId30">
        <w:r>
          <w:rPr>
            <w:rStyle w:val="InternetLink"/>
          </w:rPr>
          <w:t xml:space="preserve">PALEO-PGEM-Series: A spatial time series of the global climate over the last 5 million years (Plio-Pleistocene)</w:t>
        </w:r>
      </w:hyperlink>
      <w:r>
        <w:t xml:space="preserve">.</w:t>
      </w:r>
      <w:r>
        <w:t xml:space="preserve"> </w:t>
      </w:r>
      <w:r>
        <w:rPr>
          <w:i/>
          <w:iCs/>
        </w:rPr>
        <w:t xml:space="preserve">Global Ecology and Biogeography</w:t>
      </w:r>
      <w:r>
        <w:t xml:space="preserve">,</w:t>
      </w:r>
      <w:r>
        <w:t xml:space="preserve"> </w:t>
      </w:r>
      <w:r>
        <w:rPr>
          <w:b/>
          <w:bCs/>
        </w:rPr>
        <w:t xml:space="preserve">32</w:t>
      </w:r>
      <w:r>
        <w:t xml:space="preserve">, 1034–1045.</w:t>
      </w:r>
    </w:p>
    <w:bookmarkEnd w:id="31"/>
    <w:bookmarkStart w:id="33" w:name="ref-hagen2021"/>
    <w:p>
      <w:pPr>
        <w:pStyle w:val="Bibliography"/>
      </w:pPr>
      <w:r>
        <w:t xml:space="preserve">Hagen, O., Flück, B., Fopp, F., Cabral, J.S., Hartig, F., Pontarp, M., Rangel, T.F. &amp; Pellissier, L. (2021)</w:t>
      </w:r>
      <w:r>
        <w:t xml:space="preserve"> </w:t>
      </w:r>
      <w:hyperlink r:id="rId32">
        <w:r>
          <w:rPr>
            <w:rStyle w:val="InternetLink"/>
          </w:rPr>
          <w:t xml:space="preserve">gen3sis: A general engine for eco-evolutionary simulations of the processes that shape Earth</w:t>
        </w:r>
        <w:r>
          <w:rPr>
            <w:rStyle w:val="InternetLink"/>
          </w:rPr>
          <w:t xml:space="preserve">’</w:t>
        </w:r>
        <w:r>
          <w:rPr>
            <w:rStyle w:val="InternetLink"/>
          </w:rPr>
          <w:t xml:space="preserve">s biodiversity</w:t>
        </w:r>
      </w:hyperlink>
      <w:r>
        <w:t xml:space="preserve">.</w:t>
      </w:r>
      <w:r>
        <w:t xml:space="preserve"> </w:t>
      </w:r>
      <w:r>
        <w:rPr>
          <w:i/>
          <w:iCs/>
        </w:rPr>
        <w:t xml:space="preserve">PLOS Biology</w:t>
      </w:r>
      <w:r>
        <w:t xml:space="preserve">,</w:t>
      </w:r>
      <w:r>
        <w:t xml:space="preserve"> </w:t>
      </w:r>
      <w:r>
        <w:rPr>
          <w:b/>
          <w:bCs/>
        </w:rPr>
        <w:t xml:space="preserve">19</w:t>
      </w:r>
      <w:r>
        <w:t xml:space="preserve">, e3001340.</w:t>
      </w:r>
    </w:p>
    <w:bookmarkEnd w:id="33"/>
    <w:bookmarkStart w:id="35" w:name="ref-holden2019"/>
    <w:p>
      <w:pPr>
        <w:pStyle w:val="Bibliography"/>
      </w:pPr>
      <w:r>
        <w:t xml:space="preserve">Holden, P.B., Edwards, N.R., Rangel, T.F., Pereira, E.B., Tran, G.T. &amp; Wilkinson, R.D. (2019)</w:t>
      </w:r>
      <w:r>
        <w:t xml:space="preserve"> </w:t>
      </w:r>
      <w:hyperlink r:id="rId34">
        <w:r>
          <w:rPr>
            <w:rStyle w:val="InternetLink"/>
          </w:rPr>
          <w:t xml:space="preserve">PALEO-PGEM v1.0: A statistical emulator of pliocene</w:t>
        </w:r>
        <w:r>
          <w:rPr>
            <w:rStyle w:val="InternetLink"/>
          </w:rPr>
          <w:t xml:space="preserve">pleistocene climate</w:t>
        </w:r>
      </w:hyperlink>
      <w:r>
        <w:t xml:space="preserve">.</w:t>
      </w:r>
      <w:r>
        <w:t xml:space="preserve"> </w:t>
      </w:r>
      <w:r>
        <w:rPr>
          <w:i/>
          <w:iCs/>
        </w:rPr>
        <w:t xml:space="preserve">Geoscientific Model Development</w:t>
      </w:r>
      <w:r>
        <w:t xml:space="preserve">,</w:t>
      </w:r>
      <w:r>
        <w:t xml:space="preserve"> </w:t>
      </w:r>
      <w:r>
        <w:rPr>
          <w:b/>
          <w:bCs/>
        </w:rPr>
        <w:t xml:space="preserve">12</w:t>
      </w:r>
      <w:r>
        <w:t xml:space="preserve">, 5137–5155.</w:t>
      </w:r>
    </w:p>
    <w:bookmarkEnd w:id="35"/>
    <w:bookmarkStart w:id="37" w:name="ref-marshall1988"/>
    <w:p>
      <w:pPr>
        <w:pStyle w:val="Bibliography"/>
      </w:pPr>
      <w:r>
        <w:t xml:space="preserve">Marshall, L.G. (1988)</w:t>
      </w:r>
      <w:r>
        <w:t xml:space="preserve"> </w:t>
      </w:r>
      <w:hyperlink r:id="rId36">
        <w:r>
          <w:rPr>
            <w:rStyle w:val="InternetLink"/>
          </w:rPr>
          <w:t xml:space="preserve">Land mammals and the great american interchange</w:t>
        </w:r>
      </w:hyperlink>
      <w:r>
        <w:t xml:space="preserve">.</w:t>
      </w:r>
      <w:r>
        <w:t xml:space="preserve"> </w:t>
      </w:r>
      <w:r>
        <w:rPr>
          <w:i/>
          <w:iCs/>
        </w:rPr>
        <w:t xml:space="preserve">American Scientist</w:t>
      </w:r>
      <w:r>
        <w:t xml:space="preserve">,</w:t>
      </w:r>
      <w:r>
        <w:t xml:space="preserve"> </w:t>
      </w:r>
      <w:r>
        <w:rPr>
          <w:b/>
          <w:bCs/>
        </w:rPr>
        <w:t xml:space="preserve">76</w:t>
      </w:r>
      <w:r>
        <w:t xml:space="preserve">, 380–388.</w:t>
      </w:r>
    </w:p>
    <w:bookmarkEnd w:id="37"/>
    <w:bookmarkStart w:id="39" w:name="ref-obrien2023"/>
    <w:p>
      <w:pPr>
        <w:pStyle w:val="Bibliography"/>
      </w:pPr>
      <w:r>
        <w:t xml:space="preserve">O’Brien, L. (2023)</w:t>
      </w:r>
      <w:r>
        <w:t xml:space="preserve"> </w:t>
      </w:r>
      <w:hyperlink r:id="rId38">
        <w:r>
          <w:rPr>
            <w:rStyle w:val="InternetLink"/>
            <w:i/>
            <w:iCs/>
          </w:rPr>
          <w:t xml:space="preserve">h3jsr: Access uber’s H3 library</w:t>
        </w:r>
      </w:hyperlink>
      <w:r>
        <w:t xml:space="preserve">,.</w:t>
      </w:r>
    </w:p>
    <w:bookmarkEnd w:id="39"/>
    <w:bookmarkStart w:id="41" w:name="ref-prevosti2013"/>
    <w:p>
      <w:pPr>
        <w:pStyle w:val="Bibliography"/>
      </w:pPr>
      <w:r>
        <w:t xml:space="preserve">Prevosti, F.J., Forasiepi, A. &amp; Zimicz, N. (2013)</w:t>
      </w:r>
      <w:r>
        <w:t xml:space="preserve"> </w:t>
      </w:r>
      <w:hyperlink r:id="rId40">
        <w:r>
          <w:rPr>
            <w:rStyle w:val="InternetLink"/>
          </w:rPr>
          <w:t xml:space="preserve">The Evolution of the Cenozoic Terrestrial Mammalian Predator Guild in South America: Competition or Replacement?</w:t>
        </w:r>
      </w:hyperlink>
      <w:r>
        <w:t xml:space="preserve"> </w:t>
      </w:r>
      <w:r>
        <w:rPr>
          <w:i/>
          <w:iCs/>
        </w:rPr>
        <w:t xml:space="preserve">Journal of Mammalian Evolution</w:t>
      </w:r>
      <w:r>
        <w:t xml:space="preserve">,</w:t>
      </w:r>
      <w:r>
        <w:t xml:space="preserve"> </w:t>
      </w:r>
      <w:r>
        <w:rPr>
          <w:b/>
          <w:bCs/>
        </w:rPr>
        <w:t xml:space="preserve">20</w:t>
      </w:r>
      <w:r>
        <w:t xml:space="preserve">, 3–21.</w:t>
      </w:r>
    </w:p>
    <w:bookmarkEnd w:id="41"/>
    <w:bookmarkStart w:id="42" w:name="ref-simpson1980"/>
    <w:p>
      <w:pPr>
        <w:pStyle w:val="Bibliography"/>
      </w:pPr>
      <w:r>
        <w:t xml:space="preserve">Simpson, G.G. (1980)</w:t>
      </w:r>
      <w:r>
        <w:t xml:space="preserve"> </w:t>
      </w:r>
      <w:r>
        <w:rPr>
          <w:i/>
          <w:iCs/>
        </w:rPr>
        <w:t xml:space="preserve">Splendid isolation : The curious history of south american mammals</w:t>
      </w:r>
      <w:r>
        <w:t xml:space="preserve">, Yale University Press, New Haven.</w:t>
      </w:r>
    </w:p>
    <w:bookmarkEnd w:id="42"/>
    <w:bookmarkStart w:id="44" w:name="ref-skeels2023"/>
    <w:p>
      <w:pPr>
        <w:pStyle w:val="Bibliography"/>
      </w:pPr>
      <w:r>
        <w:t xml:space="preserve">Skeels, A., Bach, W., Hagen, O., Jetz, W. &amp; Pellissier, L. (2023)</w:t>
      </w:r>
      <w:r>
        <w:t xml:space="preserve"> </w:t>
      </w:r>
      <w:hyperlink r:id="rId43">
        <w:r>
          <w:rPr>
            <w:rStyle w:val="InternetLink"/>
          </w:rPr>
          <w:t xml:space="preserve">Temperature-dependent evolutionary speed shapes the evolution of biodiversity patterns across tetrapod radiations</w:t>
        </w:r>
      </w:hyperlink>
      <w:r>
        <w:t xml:space="preserve">.</w:t>
      </w:r>
      <w:r>
        <w:t xml:space="preserve"> </w:t>
      </w:r>
      <w:r>
        <w:rPr>
          <w:i/>
          <w:iCs/>
        </w:rPr>
        <w:t xml:space="preserve">Systematic Biology</w:t>
      </w:r>
      <w:r>
        <w:t xml:space="preserve">,</w:t>
      </w:r>
      <w:r>
        <w:t xml:space="preserve"> </w:t>
      </w:r>
      <w:r>
        <w:rPr>
          <w:b/>
          <w:bCs/>
        </w:rPr>
        <w:t xml:space="preserve">72</w:t>
      </w:r>
      <w:r>
        <w:t xml:space="preserve">, 341–356.</w:t>
      </w:r>
    </w:p>
    <w:bookmarkEnd w:id="44"/>
    <w:bookmarkStart w:id="46" w:name="ref-tarquini2022"/>
    <w:p>
      <w:pPr>
        <w:pStyle w:val="Bibliography"/>
      </w:pPr>
      <w:r>
        <w:t xml:space="preserve">Tarquini, S.D., Ladevèze, S. &amp; Prevosti, F.J. (2022)</w:t>
      </w:r>
      <w:r>
        <w:t xml:space="preserve"> </w:t>
      </w:r>
      <w:hyperlink r:id="rId45">
        <w:r>
          <w:rPr>
            <w:rStyle w:val="InternetLink"/>
          </w:rPr>
          <w:t xml:space="preserve">The multicausal twilight of South American native mammalian predators (Metatheria, Sparassodonta)</w:t>
        </w:r>
      </w:hyperlink>
      <w:r>
        <w:t xml:space="preserve">.</w:t>
      </w:r>
      <w:r>
        <w:t xml:space="preserve"> </w:t>
      </w:r>
      <w:r>
        <w:rPr>
          <w:i/>
          <w:iCs/>
        </w:rPr>
        <w:t xml:space="preserve">Scientific Reports</w:t>
      </w:r>
      <w:r>
        <w:t xml:space="preserve">,</w:t>
      </w:r>
      <w:r>
        <w:t xml:space="preserve"> </w:t>
      </w:r>
      <w:r>
        <w:rPr>
          <w:b/>
          <w:bCs/>
        </w:rPr>
        <w:t xml:space="preserve">12</w:t>
      </w:r>
      <w:r>
        <w:t xml:space="preserve">, 1224.</w:t>
      </w:r>
    </w:p>
    <w:bookmarkEnd w:id="46"/>
    <w:bookmarkEnd w:id="47"/>
    <w:bookmarkEnd w:id="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TextBody"/>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TextBody"/>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TextBody"/>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TextBody"/>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TextBody"/>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TextBody"/>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TextBody"/>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TextBody"/>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basedOn w:val="CaptionChar"/>
    <w:qFormat/>
    <w:rsid w:val="00e25b66"/>
    <w:rPr>
      <w:rFonts w:ascii="Times New Roman" w:cs="Times New Roman" w:hAnsi="Times New Roman"/>
      <w:sz w:val="24"/>
      <w:szCs w:val="22"/>
      <w:vertAlign w:val="superscript"/>
    </w:rPr>
  </w:style>
  <w:style w:styleId="FootnoteAnchor" w:type="character">
    <w:name w:val="Footnote Anchor"/>
    <w:rPr>
      <w:rFonts w:ascii="Times New Roman" w:cs="Times New Roman" w:hAnsi="Times New Roman"/>
      <w:sz w:val="24"/>
      <w:szCs w:val="22"/>
      <w:vertAlign w:val="superscript"/>
    </w:rPr>
  </w:style>
  <w:style w:styleId="Internet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basedOn w:val="DefaultParagraphFont"/>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LineNumbering" w:type="character">
    <w:name w:val="Line Numbering"/>
    <w:rPr/>
  </w:style>
  <w:style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link w:val="BodyTextChar"/>
    <w:qFormat/>
    <w:rsid w:val="00cf7947"/>
    <w:pPr>
      <w:spacing w:after="180" w:before="180" w:line="360" w:lineRule="auto"/>
      <w:jc w:val="left"/>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next w:val="TextBody"/>
    <w:qFormat/>
    <w:pPr/>
    <w:rPr/>
  </w:style>
  <w:style w:customStyle="1" w:styleId="Compact" w:type="paragraph">
    <w:name w:val="Compact"/>
    <w:basedOn w:val="TextBody"/>
    <w:qFormat/>
    <w:pPr>
      <w:spacing w:after="36" w:before="36"/>
    </w:pPr>
    <w:rPr/>
  </w:style>
  <w:style w:styleId="Title" w:type="paragraph">
    <w:name w:val="Title"/>
    <w:basedOn w:val="Normal"/>
    <w:next w:val="TextBody"/>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TextBody"/>
    <w:qFormat/>
    <w:pPr>
      <w:spacing w:after="120" w:before="240"/>
    </w:pPr>
    <w:rPr>
      <w:sz w:val="30"/>
      <w:szCs w:val="30"/>
    </w:rPr>
  </w:style>
  <w:style w:customStyle="1" w:styleId="Author" w:type="paragraph">
    <w:name w:val="Author"/>
    <w:next w:val="TextBody"/>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TextBody"/>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CaptionedFigure"/>
    <w:link w:val="CaptionChar"/>
    <w:qFormat/>
    <w:rsid w:val="00f94e32"/>
    <w:pPr/>
    <w:rPr/>
  </w:style>
  <w:style w:customStyle="1" w:styleId="TableCaption" w:type="paragraph">
    <w:name w:val="Table Caption"/>
    <w:basedOn w:val="TextBody"/>
    <w:qFormat/>
    <w:rsid w:val="001571ea"/>
    <w:pPr>
      <w:spacing w:line="240" w:lineRule="auto"/>
    </w:pPr>
    <w:rPr/>
  </w:style>
  <w:style w:customStyle="1" w:styleId="ImageCaption" w:type="paragraph">
    <w:name w:val="Image Caption"/>
    <w:basedOn w:val="Caption1"/>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TextBodyIndent" w:type="paragraph">
    <w:name w:val="Body Text Indent"/>
    <w:basedOn w:val="TextBody"/>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CRAN.R-project.org/package=h3jsr" TargetMode="External" /><Relationship Type="http://schemas.openxmlformats.org/officeDocument/2006/relationships/hyperlink" Id="rId40" Target="https://doi.org/10.1007/s10914-011-9175-9" TargetMode="External" /><Relationship Type="http://schemas.openxmlformats.org/officeDocument/2006/relationships/hyperlink" Id="rId28" Target="https://doi.org/10.1038/s41561-018-0236-z" TargetMode="External" /><Relationship Type="http://schemas.openxmlformats.org/officeDocument/2006/relationships/hyperlink" Id="rId45" Target="https://doi.org/10.1038/s41598-022-05266-z" TargetMode="External" /><Relationship Type="http://schemas.openxmlformats.org/officeDocument/2006/relationships/hyperlink" Id="rId43" Target="https://doi.org/10.1093/sysbio/syac048" TargetMode="External" /><Relationship Type="http://schemas.openxmlformats.org/officeDocument/2006/relationships/hyperlink" Id="rId30" Target="https://doi.org/10.1111/geb.13683" TargetMode="External" /><Relationship Type="http://schemas.openxmlformats.org/officeDocument/2006/relationships/hyperlink" Id="rId32" Target="https://doi.org/10.1371/journal.pbio.3001340" TargetMode="External" /><Relationship Type="http://schemas.openxmlformats.org/officeDocument/2006/relationships/hyperlink" Id="rId34" Target="https://doi.org/10.5194/gmd-12-5137-2019" TargetMode="External" /><Relationship Type="http://schemas.openxmlformats.org/officeDocument/2006/relationships/hyperlink" Id="rId36" Target="https://www.jstor.org/stable/27855307" TargetMode="External" /></Relationships>
</file>

<file path=word/_rels/footnotes.xml.rels><?xml version="1.0" encoding="UTF-8"?><Relationships xmlns="http://schemas.openxmlformats.org/package/2006/relationships"><Relationship Type="http://schemas.openxmlformats.org/officeDocument/2006/relationships/hyperlink" Id="rId38" Target="https://CRAN.R-project.org/package=h3jsr" TargetMode="External" /><Relationship Type="http://schemas.openxmlformats.org/officeDocument/2006/relationships/hyperlink" Id="rId40" Target="https://doi.org/10.1007/s10914-011-9175-9" TargetMode="External" /><Relationship Type="http://schemas.openxmlformats.org/officeDocument/2006/relationships/hyperlink" Id="rId28" Target="https://doi.org/10.1038/s41561-018-0236-z" TargetMode="External" /><Relationship Type="http://schemas.openxmlformats.org/officeDocument/2006/relationships/hyperlink" Id="rId45" Target="https://doi.org/10.1038/s41598-022-05266-z" TargetMode="External" /><Relationship Type="http://schemas.openxmlformats.org/officeDocument/2006/relationships/hyperlink" Id="rId43" Target="https://doi.org/10.1093/sysbio/syac048" TargetMode="External" /><Relationship Type="http://schemas.openxmlformats.org/officeDocument/2006/relationships/hyperlink" Id="rId30" Target="https://doi.org/10.1111/geb.13683" TargetMode="External" /><Relationship Type="http://schemas.openxmlformats.org/officeDocument/2006/relationships/hyperlink" Id="rId32" Target="https://doi.org/10.1371/journal.pbio.3001340" TargetMode="External" /><Relationship Type="http://schemas.openxmlformats.org/officeDocument/2006/relationships/hyperlink" Id="rId34" Target="https://doi.org/10.5194/gmd-12-5137-2019" TargetMode="External" /><Relationship Type="http://schemas.openxmlformats.org/officeDocument/2006/relationships/hyperlink" Id="rId36" Target="https://www.jstor.org/stable/278553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Application>LibreOffice/7.3.7.2$Linux_X86_64 LibreOffice_project/30$Build-2</Application>
  <AppVersion>15.0000</AppVersion>
  <Pages>2</Pages>
  <Words>128</Words>
  <Characters>724</Characters>
  <CharactersWithSpaces>833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Palaeoclimate constraints on the Great American Biotic Interchange</dc:title>
  <dc:creator>Lucas Buffan¹, Adrián Castro Insua², Fabien L. Condamine¹, Sara Varela²</dc:creator>
  <cp:keywords/>
  <dcterms:created xsi:type="dcterms:W3CDTF">2025-02-27T15:09:55Z</dcterms:created>
  <dcterms:modified xsi:type="dcterms:W3CDTF">2025-02-27T15:09:55Z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global-ecology-and-biogeography.csl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