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 </w:t>
      </w:r>
      <w:r>
        <w:t xml:space="preserve">Affiliations:</w:t>
      </w:r>
    </w:p>
    <w:p>
      <w:pPr>
        <w:pStyle w:val="BodyText"/>
      </w:pPr>
      <w:r>
        <w:t xml:space="preserve"> </w:t>
      </w:r>
      <w:r>
        <w:t xml:space="preserve">¹ Institut des Sciences de l’Evolution de Montpellier, Université de Montpellier, CNRS, IRD, Place Eugène Bataillon, 34095 Montpellier cedex 5, France.</w:t>
      </w:r>
    </w:p>
    <w:p>
      <w:pPr>
        <w:pStyle w:val="BodyText"/>
      </w:pPr>
      <w:r>
        <w:t xml:space="preserve"> </w:t>
      </w: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s"/>
    <w:p>
      <w:pPr>
        <w:pStyle w:val="Heading2"/>
      </w:pPr>
      <w:r>
        <w:t xml:space="preserve">Primary aims</w:t>
      </w:r>
    </w:p>
    <w:p>
      <w:pPr>
        <w:pStyle w:val="FirstParagraph"/>
      </w:pPr>
      <w:r>
        <w:t xml:space="preserve">Biology Letters or Current Biology</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w:t>
      </w:r>
    </w:p>
    <w:bookmarkEnd w:id="21"/>
    <w:bookmarkEnd w:id="22"/>
    <w:bookmarkStart w:id="23" w:name="abstract"/>
    <w:p>
      <w:pPr>
        <w:pStyle w:val="Heading1"/>
      </w:pPr>
      <w:r>
        <w:t xml:space="preserve">Abstract</w:t>
      </w:r>
    </w:p>
    <w:p>
      <w:pPr>
        <w:pStyle w:val="FirstParagraph"/>
      </w:pPr>
      <w:r>
        <w:t xml:space="preserve">The Great American Biotic Interchange (GABI) refers to the admixture of North and South American faunas promoted by the Mio-Pliocene closure of the isthmus of Panama. Among mammals, this faunal exchange was asymmetric because it witnessed a greater ability of North American lineages to establish southwards, meanwhile many South Americans went extinct. Here, coupling a mechanistic eco-evolutionary simulator with high-resolution palaeoclimatic reconstructions for the last 5 million years, we explore the extent to which palaeoclimate may have shaped such a biogeographic asymmetry. When climatic variables are the only constraints to virtual species’ ecology, our results indicate that successful interchanges are more frequently achieved when simulations start from South America than from North America, contrasting with empirical observations. In addition, our models fail at explaining the higher representation of temperate-adapted mammals in the fossil record of successfully exchanged mammals, particularly of North American origin, but suggest that successful colonisers from North America occupy larger areas in South America than the other way around. This study offers valuable insights into the processes behind one of the most puzzling macroecological enigmas, suggesting that palaeoclimatic history is not sufficient to explain the imbalanced success of North American migrants in South America following the GABI.</w:t>
      </w:r>
    </w:p>
    <w:bookmarkEnd w:id="23"/>
    <w:bookmarkStart w:id="24" w:name="keywords"/>
    <w:p>
      <w:pPr>
        <w:pStyle w:val="Heading1"/>
      </w:pPr>
      <w:r>
        <w:t xml:space="preserve">Keywords</w:t>
      </w:r>
    </w:p>
    <w:p>
      <w:pPr>
        <w:pStyle w:val="FirstParagraph"/>
      </w:pPr>
      <w:r>
        <w:t xml:space="preserve">Eco-evolutionary simulations; Mammals; Macroecology; Palaeoclimate</w:t>
      </w:r>
    </w:p>
    <w:p>
      <w:r>
        <w:br w:type="page"/>
      </w:r>
    </w:p>
    <w:bookmarkEnd w:id="24"/>
    <w:bookmarkStart w:id="25"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t xml:space="preserve"> </w:t>
      </w:r>
      <w:r>
        <w:t xml:space="preserve">[1]</w:t>
      </w:r>
      <w:r>
        <w:t xml:space="preserve">. Though the exact timing of the closure of the isthmus is still debated</w:t>
      </w:r>
      <w:r>
        <w:t xml:space="preserve"> </w:t>
      </w:r>
      <w: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t xml:space="preserve"> </w:t>
      </w:r>
      <w: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t xml:space="preserve"> </w:t>
      </w:r>
      <w: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t xml:space="preserve"> </w:t>
      </w:r>
      <w: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t xml:space="preserve"> </w:t>
      </w:r>
      <w:r>
        <w:t xml:space="preserve">[9,15,16]</w:t>
      </w:r>
      <w:r>
        <w:t xml:space="preserve"> </w:t>
      </w:r>
      <w:r>
        <w:t xml:space="preserve">or predation of predator-naive preys</w:t>
      </w:r>
      <w:r>
        <w:t xml:space="preserve"> </w:t>
      </w:r>
      <w:r>
        <w:t xml:space="preserve">[9,17–19]</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t xml:space="preserve"> </w:t>
      </w:r>
      <w:r>
        <w:t xml:space="preserve">[8,10,</w:t>
      </w:r>
      <w:r>
        <w:rPr>
          <w:i/>
          <w:iCs/>
        </w:rPr>
        <w:t xml:space="preserve">e</w:t>
      </w:r>
      <w:r>
        <w:t xml:space="preserve">.</w:t>
      </w:r>
      <w:r>
        <w:rPr>
          <w:i/>
          <w:iCs/>
        </w:rPr>
        <w:t xml:space="preserve">g</w:t>
      </w:r>
      <w: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t xml:space="preserve"> </w:t>
      </w:r>
      <w: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t xml:space="preserve"> </w:t>
      </w:r>
      <w:r>
        <w:t xml:space="preserve">[26]</w:t>
      </w:r>
      <w:r>
        <w:t xml:space="preserve">. Recently, this family of models has provided unprecedented insights into the underlying forces behind widely-recognised biodiversity patterns, such as the latitudinal biodiversity gradient</w:t>
      </w:r>
      <w:r>
        <w:t xml:space="preserve"> </w:t>
      </w:r>
      <w:r>
        <w:t xml:space="preserve">[27]</w:t>
      </w:r>
      <w:r>
        <w:t xml:space="preserve">, the diversity desequilibrium between tropical rainforests across the globe</w:t>
      </w:r>
      <w:r>
        <w:t xml:space="preserve"> </w:t>
      </w:r>
      <w:r>
        <w:t xml:space="preserve">[28]</w:t>
      </w:r>
      <w:r>
        <w:t xml:space="preserve">, the build-up of the unique biodiversity along the Wallace line</w:t>
      </w:r>
      <w:r>
        <w:t xml:space="preserve"> </w:t>
      </w:r>
      <w:r>
        <w:t xml:space="preserve">[29]</w:t>
      </w:r>
      <w:r>
        <w:t xml:space="preserve"> </w:t>
      </w:r>
      <w:r>
        <w:t xml:space="preserve">and many others</w:t>
      </w:r>
      <w:r>
        <w:t xml:space="preserve"> </w:t>
      </w:r>
      <w:r>
        <w:t xml:space="preserve">[</w:t>
      </w:r>
      <w:r>
        <w:rPr>
          <w:i/>
          <w:iCs/>
        </w:rPr>
        <w:t xml:space="preserve">e</w:t>
      </w:r>
      <w:r>
        <w:t xml:space="preserve">.</w:t>
      </w:r>
      <w:r>
        <w:rPr>
          <w:i/>
          <w:iCs/>
        </w:rPr>
        <w:t xml:space="preserve">g</w:t>
      </w:r>
      <w:r>
        <w:t xml:space="preserve">., 30,31,32]</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bookmarkEnd w:id="25"/>
    <w:bookmarkStart w:id="29" w:name="materials-and-methods"/>
    <w:p>
      <w:pPr>
        <w:pStyle w:val="Heading1"/>
      </w:pPr>
      <w:r>
        <w:t xml:space="preserve">Materials and methods</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 The delimitation between both continents was arbitrarily set in the middle of Panama (coordinates).</w:t>
      </w:r>
    </w:p>
    <w:bookmarkStart w:id="26" w:name="palaeoclimate-data"/>
    <w:p>
      <w:pPr>
        <w:pStyle w:val="Heading2"/>
      </w:pPr>
      <w:r>
        <w:t xml:space="preserve">Palaeoclimate data</w:t>
      </w:r>
    </w:p>
    <w:p>
      <w:pPr>
        <w:pStyle w:val="FirstParagraph"/>
      </w:pPr>
      <w:r>
        <w:rPr>
          <w:b/>
          <w:bCs/>
        </w:rPr>
        <w:t xml:space="preserve">figure 1: plot spatial average of palaeoclimate data used here, indicating marked climatic events across the last 5Myr. Relate to Vrba’s cooling?</w:t>
      </w:r>
    </w:p>
    <w:p>
      <w:pPr>
        <w:pStyle w:val="BodyText"/>
      </w:pPr>
      <w:r>
        <w:t xml:space="preserve">We used the spatio-temporal terrestrial palaeoclimate series from the PALEO-PGEM atmosphere-ocean general circulation model</w:t>
      </w:r>
      <w:r>
        <w:t xml:space="preserve"> </w:t>
      </w:r>
      <w:r>
        <w:t xml:space="preserve">[33]</w:t>
      </w:r>
      <w:r>
        <w:t xml:space="preserve">, covering the last 5 Myrs with a 1</w:t>
      </w:r>
      <w:r>
        <w:t xml:space="preserve"> </w:t>
      </w:r>
      <w:r>
        <w:t xml:space="preserve"> </w:t>
      </w:r>
      <w:r>
        <w:t xml:space="preserve">° spatial resolution</w:t>
      </w:r>
      <w:r>
        <w:t xml:space="preserve"> </w:t>
      </w:r>
      <w:r>
        <w:t xml:space="preserve">[34]</w:t>
      </w:r>
      <w:r>
        <w:t xml:space="preserve">. For the scope of this work, we used two bioclimatic variables: mean annual temperature (MAT, BIO1) and mean annual precipitation (MAP, BIO12).</w:t>
      </w:r>
    </w:p>
    <w:p>
      <w:pPr>
        <w:pStyle w:val="BodyText"/>
      </w:pPr>
      <w:r>
        <w:t xml:space="preserve">We further reclassified these monthly palaeoclimate layers across the last five million years according to Köppen-Geiger broad climate types</w:t>
      </w:r>
      <w:r>
        <w:t xml:space="preserve"> </w:t>
      </w:r>
      <w:r>
        <w:t xml:space="preserve">[35]</w:t>
      </w:r>
      <w:r>
        <w:t xml:space="preserve">. This classification divides the world into five broad climatic regions: Polar, Cold, Temperate, Arid and Tropical.</w:t>
      </w:r>
    </w:p>
    <w:bookmarkEnd w:id="26"/>
    <w:bookmarkStart w:id="27"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t xml:space="preserve"> </w:t>
      </w:r>
      <w:r>
        <w:t xml:space="preserve">[27]</w:t>
      </w:r>
      <w:r>
        <w:t xml:space="preserve">. Simulations, moving forward-in-time with a 10ky time step, tracked the radiation of a clade arising from a single ancestral population, either originating in North or in South America, throughout the last 5 Myr. In gen3sis, virtual species are made up with a set of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Within the gridded landscape, a population inhabiting a cell could disperse to the surrounding cells with an intensity sampled in a Weibull distribution (shape and scale parameters available in SI). If, by chance, populations making up a species happened to be disconnected, they would accumulate divergence across the time steps as long as they get disconnected at a rate ruled by a divergence factor, here set to</w:t>
      </w:r>
      <w:r>
        <w:t xml:space="preserve"> </w:t>
      </w:r>
      <m:oMath>
        <m:r>
          <m:t>0.05</m:t>
        </m:r>
      </m:oMath>
      <w:r>
        <w:t xml:space="preserve">. This value, around an order of magnitude lower than those usually encoutered in gen3sis case studies</w:t>
      </w:r>
      <w:r>
        <w:t xml:space="preserve"> </w:t>
      </w:r>
      <w:r>
        <w:t xml:space="preserve">[</w:t>
      </w:r>
      <w:r>
        <w:rPr>
          <w:i/>
          <w:iCs/>
        </w:rPr>
        <w:t xml:space="preserve">e</w:t>
      </w:r>
      <w:r>
        <w:t xml:space="preserve">.</w:t>
      </w:r>
      <w:r>
        <w:rPr>
          <w:i/>
          <w:iCs/>
        </w:rPr>
        <w:t xml:space="preserve">g</w:t>
      </w:r>
      <w:r>
        <w:t xml:space="preserve">., 27,29,30]</w:t>
      </w:r>
      <w:r>
        <w:t xml:space="preserve"> </w:t>
      </w:r>
      <w:r>
        <w:t xml:space="preserve">was chosen in due to our high number of time steps (</w:t>
      </w:r>
      <m:oMath>
        <m:r>
          <m:t>500</m:t>
        </m:r>
      </m:oMath>
      <w:r>
        <w:t xml:space="preserve">). Once passed a divergence threshold (varying across replicates, see SI), speciation occurrs.</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an optimum and a breadth. A population could maintain in a given cell only if the difference between its optima and local climate (both temperature and precipitation) was below its breadth (or tolerance) parameters.</w:t>
      </w:r>
    </w:p>
    <w:p>
      <w:pPr>
        <w:pStyle w:val="BodyText"/>
      </w:pPr>
      <w:r>
        <w:t xml:space="preserve">Across our simulation scenarios, we modulated the ability of species to cope with climate change, and thus, the generalist vs. specialist nature of the simulated species. In the full-adaptationist model (M1, generalist), climatic optima were able to evolve in the direction of local climate change. It is important to notice that niche parameters were population (and not species) specific. In the zero-adaptationist model (M0, specialist), niche optima couldn’t evolve and were therefore held constant (to the initial value) across all simulations.</w:t>
      </w:r>
    </w:p>
    <w:p>
      <w:pPr>
        <w:pStyle w:val="BodyText"/>
      </w:pPr>
      <w:r>
        <w:t xml:space="preserve">The range of the ancestor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[36]</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Importantly, since the palaeoclimate reconstructions that we used ignored tectonic plate motion − a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Sobol’ sequences for parameter space exploration, as done by skeels &amp; co.</w:t>
      </w:r>
    </w:p>
    <w:p>
      <w:pPr>
        <w:pStyle w:val="BodyText"/>
      </w:pPr>
      <w:r>
        <w:t xml:space="preserve">Divergence threshold vs. divergence factor.</w:t>
      </w:r>
    </w:p>
    <w:p>
      <w:pPr>
        <w:pStyle w:val="BodyText"/>
      </w:pPr>
      <w:r>
        <w:t xml:space="preserve">A total of 500 replicates was made under each scenario, both with North and South America as an ancestral area.</w:t>
      </w:r>
    </w:p>
    <w:bookmarkEnd w:id="27"/>
    <w:bookmarkStart w:id="28" w:name="postprocessing-and-quantifications"/>
    <w:p>
      <w:pPr>
        <w:pStyle w:val="Heading2"/>
      </w:pPr>
      <w:r>
        <w:t xml:space="preserve">Postprocessing and quantifications</w:t>
      </w:r>
    </w:p>
    <w:p>
      <w:pPr>
        <w:pStyle w:val="FirstParagraph"/>
      </w:pPr>
      <w:r>
        <w:t xml:space="preserve">Once a</w:t>
      </w:r>
    </w:p>
    <w:bookmarkEnd w:id="28"/>
    <w:bookmarkEnd w:id="29"/>
    <w:bookmarkStart w:id="36" w:name="results"/>
    <w:p>
      <w:pPr>
        <w:pStyle w:val="Heading1"/>
      </w:pPr>
      <w:r>
        <w:t xml:space="preserve">Results</w:t>
      </w:r>
    </w:p>
    <w:bookmarkStart w:id="33" w:name="X46091cfcf02b26afcadcbdab517ba968c60939b"/>
    <w:p>
      <w:pPr>
        <w:pStyle w:val="Heading2"/>
      </w:pPr>
      <w:r>
        <w:t xml:space="preserve">Climate makes it easier to reach North America from South America than the other way round</w:t>
      </w:r>
    </w:p>
    <w:p>
      <w:pPr>
        <w:pStyle w:val="FirstParagraph"/>
      </w:pPr>
      <w:r>
        <w:t xml:space="preserve">Unexpectedly, our simulation-based framework suggests that the proportion of simulations successfully reaching the other continent is always higher when starting from South America than from North America (Fig X). This imbalance, strikingly going against our expectations, is maintained whether we allowed species climatic niche to evolve following climatic change (44% vs. 87%, model M1) or not (29% vs 59%, model M0, Figure 1). That being said, it has to be noticed that there the proportion of simulations resulting in no living representative (=crash) was on average twice higher for simulations starting in North America.</w:t>
      </w:r>
    </w:p>
    <w:p>
      <w:pPr>
        <w:pStyle w:val="CaptionedFigure"/>
      </w:pPr>
      <w:r>
        <w:drawing>
          <wp:inline>
            <wp:extent cx="5943600" cy="2796378"/>
            <wp:effectExtent b="0" l="0" r="0" t="0"/>
            <wp:docPr descr="Proportion of successful exchange to the other continent, either starting from North (red) or South (blue) America." title="" id="31" name="Picture"/>
            <a:graphic>
              <a:graphicData uri="http://schemas.openxmlformats.org/drawingml/2006/picture">
                <pic:pic>
                  <pic:nvPicPr>
                    <pic:cNvPr descr="../Figures/prop_successful_exch/succ_exch_panel.png" id="32" name="Picture"/>
                    <pic:cNvPicPr>
                      <a:picLocks noChangeArrowheads="1" noChangeAspect="1"/>
                    </pic:cNvPicPr>
                  </pic:nvPicPr>
                  <pic:blipFill>
                    <a:blip r:embed="rId30"/>
                    <a:stretch>
                      <a:fillRect/>
                    </a:stretch>
                  </pic:blipFill>
                  <pic:spPr bwMode="auto">
                    <a:xfrm>
                      <a:off x="0" y="0"/>
                      <a:ext cx="5943600" cy="2796378"/>
                    </a:xfrm>
                    <a:prstGeom prst="rect">
                      <a:avLst/>
                    </a:prstGeom>
                    <a:noFill/>
                    <a:ln w="9525">
                      <a:noFill/>
                      <a:headEnd/>
                      <a:tailEnd/>
                    </a:ln>
                  </pic:spPr>
                </pic:pic>
              </a:graphicData>
            </a:graphic>
          </wp:inline>
        </w:drawing>
      </w:r>
    </w:p>
    <w:p>
      <w:pPr>
        <w:pStyle w:val="ImageCaption"/>
      </w:pPr>
      <w:r>
        <w:t xml:space="preserve">Proportion of successful exchange to the other continent, either starting from North (red) or South (blue) America.</w:t>
      </w:r>
    </w:p>
    <w:p>
      <w:pPr>
        <w:pStyle w:val="BodyText"/>
      </w:pPr>
      <w:r>
        <w:rPr>
          <w:b/>
          <w:bCs/>
        </w:rPr>
        <w:t xml:space="preserve">Biome here?</w:t>
      </w:r>
    </w:p>
    <w:bookmarkEnd w:id="33"/>
    <w:bookmarkStart w:id="34" w:name="success-on-the-foreign-continent"/>
    <w:p>
      <w:pPr>
        <w:pStyle w:val="Heading2"/>
      </w:pPr>
      <w:r>
        <w:t xml:space="preserve">Success on the foreign continent</w:t>
      </w:r>
    </w:p>
    <w:bookmarkEnd w:id="34"/>
    <w:bookmarkStart w:id="35" w:name="X7a927ae912a5869e71832d686916bf60c91de1e"/>
    <w:p>
      <w:pPr>
        <w:pStyle w:val="Heading2"/>
      </w:pPr>
      <w:r>
        <w:t xml:space="preserve">Geographic features of the simulated interchange</w:t>
      </w:r>
    </w:p>
    <w:p>
      <w:r>
        <w:br w:type="page"/>
      </w:r>
    </w:p>
    <w:bookmarkEnd w:id="35"/>
    <w:bookmarkEnd w:id="36"/>
    <w:bookmarkStart w:id="40" w:name="discussion"/>
    <w:p>
      <w:pPr>
        <w:pStyle w:val="Heading1"/>
      </w:pPr>
      <w:r>
        <w:t xml:space="preserve">Discussion</w:t>
      </w:r>
    </w:p>
    <w:p>
      <w:pPr>
        <w:pStyle w:val="FirstParagraph"/>
      </w:pPr>
      <w:r>
        <w:t xml:space="preserve">Smoothing asymmetry =&gt; echo to birds</w:t>
      </w:r>
      <w:r>
        <w:t xml:space="preserve"> </w:t>
      </w:r>
      <w:r>
        <w:t xml:space="preserve">[37]</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[31]</w:t>
      </w:r>
      <w:r>
        <w:t xml:space="preserve">. But here, we expect to find more species in South America, encompassing one of earth’s major and long-standing biodiversity hotspot – Amazonia</w:t>
      </w:r>
      <w:r>
        <w:t xml:space="preserve"> </w:t>
      </w:r>
      <w:r>
        <w:t xml:space="preserve">[38]</w:t>
      </w:r>
      <w:r>
        <w:t xml:space="preserve"> </w:t>
      </w:r>
      <w:r>
        <w:t xml:space="preserve">– than in North America, though see Vrba.</w:t>
      </w:r>
    </w:p>
    <w:bookmarkStart w:id="37" w:name="climate"/>
    <w:p>
      <w:pPr>
        <w:pStyle w:val="Heading2"/>
      </w:pPr>
      <w:r>
        <w:t xml:space="preserve">Climate</w:t>
      </w:r>
    </w:p>
    <w:p>
      <w:pPr>
        <w:pStyle w:val="FirstParagraph"/>
      </w:pPr>
      <w:r>
        <w:t xml:space="preserve">One of the predictions of Vrba’s ressource-use hypotheses formulated in the framework of the habitat theory</w:t>
      </w:r>
      <w:r>
        <w:t xml:space="preserve"> </w:t>
      </w:r>
      <w:r>
        <w:t xml:space="preserve">[20]</w:t>
      </w:r>
      <w:r>
        <w:t xml:space="preserve"> </w:t>
      </w:r>
      <w:r>
        <w:t xml:space="preserve">applied to the GABI is that tropical specialists, in the aftermath of the global cooling occurring in the Plio-Pleistocene boundary, would have naturally been attracted towards the equator, in turn actively promoting some North American mammal’s establishment in South America. On the other hand, fewer mammals – only biome generalists or open-habitat specialists – from South America are expected to roam the other way round. Our virtual experiments partially corroborate with these predictions, in the sense that tropical-adapted taxa of North American origin have a higher prevalence of crossing the isthmus than species belonging to other biomes (Figure X [biomes], model M0).</w:t>
      </w:r>
    </w:p>
    <w:p>
      <w:pPr>
        <w:pStyle w:val="BodyText"/>
      </w:pPr>
      <w:r>
        <w:t xml:space="preserve">Success in South America for temperate-adapted species, posited as the most successful, not recovered, with tropical meeting the gighest success</w:t>
      </w:r>
    </w:p>
    <w:bookmarkEnd w:id="37"/>
    <w:bookmarkStart w:id="3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t xml:space="preserve"> </w:t>
      </w:r>
      <w:r>
        <w:t xml:space="preserve">[39]</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Temporality (red queen vs. court jester, Benton 2001) =&gt; favouring biotic ?</w:t>
      </w:r>
    </w:p>
    <w:p>
      <w:pPr>
        <w:pStyle w:val="BodyText"/>
      </w:pPr>
      <w:r>
        <w:t xml:space="preserve">Fortuitous experiment ?</w:t>
      </w:r>
    </w:p>
    <w:bookmarkEnd w:id="38"/>
    <w:bookmarkStart w:id="39" w:name="limitations-perspectives"/>
    <w:p>
      <w:pPr>
        <w:pStyle w:val="Heading2"/>
      </w:pPr>
      <w:r>
        <w:t xml:space="preserve">Limitations &amp; perspectives</w:t>
      </w:r>
    </w:p>
    <w:p>
      <w:pPr>
        <w:pStyle w:val="FirstParagraph"/>
      </w:pPr>
      <w:r>
        <w:t xml:space="preserve">Maybe one of the most obvious caveats of our study stems from the assumption of fixed palaeogeography, particularly near the isthmus, whereas we know that this region changed across our study.</w:t>
      </w:r>
    </w:p>
    <w:bookmarkEnd w:id="39"/>
    <w:bookmarkEnd w:id="40"/>
    <w:bookmarkStart w:id="41"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[41]</w:t>
      </w:r>
      <w:r>
        <w:t xml:space="preserve">.</w:t>
      </w:r>
    </w:p>
    <w:p>
      <w:pPr>
        <w:pStyle w:val="BodyText"/>
      </w:pPr>
      <w:r>
        <w:t xml:space="preserve">Competition involving clades of similar ecology appeared as a likely first-order explanation to the recent demise of South American endemic mammal clades such as native ungulates</w:t>
      </w:r>
      <w:r>
        <w:t xml:space="preserve"> </w:t>
      </w:r>
      <w:r>
        <w:t xml:space="preserve">[13]</w:t>
      </w:r>
      <w:r>
        <w:t xml:space="preserve"> </w:t>
      </w:r>
      <w:r>
        <w:t xml:space="preserve">or sparassodonts (metatherian predators,</w:t>
      </w:r>
      <w:r>
        <w:t xml:space="preserve"> </w:t>
      </w:r>
      <w:r>
        <w:t xml:space="preserve">[22,42]</w:t>
      </w:r>
      <w:r>
        <w:t xml:space="preserve">) that followed the establishment of northern lineages</w:t>
      </w:r>
      <w:r>
        <w:t xml:space="preserve"> </w:t>
      </w:r>
      <w: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[21,22]</w:t>
      </w:r>
      <w:r>
        <w:t xml:space="preserve">. That being said, using phylogenetic regressions, Faurby et al.</w:t>
      </w:r>
      <w:r>
        <w:t xml:space="preserve"> </w:t>
      </w:r>
      <w: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[16]</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[8,10,17]</w:t>
      </w:r>
      <w:r>
        <w:t xml:space="preserve">. Others drew direct relationships between the higher extinction rates of native South American mammal genera and temperature change</w:t>
      </w:r>
      <w:r>
        <w:t xml:space="preserve"> </w:t>
      </w:r>
      <w:r>
        <w:t xml:space="preserve">[24]</w:t>
      </w:r>
      <w:r>
        <w:t xml:space="preserve">.</w:t>
      </w:r>
    </w:p>
    <w:p>
      <w:pPr>
        <w:pStyle w:val="BodyText"/>
      </w:pPr>
      <w:r>
        <w:t xml:space="preserve">several studies proposed that palaeoclimate change shaped unequal dispersal abilities between northern and southern taxa</w:t>
      </w:r>
      <w:r>
        <w:t xml:space="preserve"> </w:t>
      </w:r>
      <w:r>
        <w:t xml:space="preserve">[8,10,17,24]</w:t>
      </w:r>
      <w:r>
        <w:t xml:space="preserve">, although the hypothesis according to which the asymmetry of the GABI would stem from dispersal rates is still largely debated</w:t>
      </w:r>
      <w:r>
        <w:t xml:space="preserve"> </w:t>
      </w:r>
      <w:r>
        <w:t xml:space="preserve">[</w:t>
      </w:r>
      <w:r>
        <w:rPr>
          <w:i/>
          <w:iCs/>
        </w:rPr>
        <w:t xml:space="preserve">e</w:t>
      </w:r>
      <w:r>
        <w:t xml:space="preserve">.</w:t>
      </w:r>
      <w:r>
        <w:rPr>
          <w:i/>
          <w:iCs/>
        </w:rPr>
        <w:t xml:space="preserve">g</w:t>
      </w:r>
      <w:r>
        <w:t xml:space="preserve">., 12]</w:t>
      </w:r>
      <w:r>
        <w:t xml:space="preserve">.</w:t>
      </w:r>
    </w:p>
    <w:p>
      <w:r>
        <w:br w:type="page"/>
      </w:r>
    </w:p>
    <w:bookmarkEnd w:id="41"/>
    <w:bookmarkStart w:id="125" w:name="references"/>
    <w:p>
      <w:pPr>
        <w:pStyle w:val="Heading1"/>
      </w:pPr>
      <w:r>
        <w:t xml:space="preserve">References</w:t>
      </w:r>
    </w:p>
    <w:bookmarkStart w:id="124" w:name="refs"/>
    <w:bookmarkStart w:id="43" w:name="ref-marshall1982"/>
    <w:p>
      <w:pPr>
        <w:pStyle w:val="Bibliography"/>
      </w:pPr>
      <w:r>
        <w:t xml:space="preserve">1.</w:t>
      </w:r>
      <w:r>
        <w:t xml:space="preserve"> </w:t>
      </w:r>
      <w:r>
        <w:t xml:space="preserve">	</w:t>
      </w:r>
      <w:r>
        <w:t xml:space="preserve">Marshall LG, Webb SD, Sepkoski JJ, Raup DM. 1982</w:t>
      </w:r>
      <w:r>
        <w:t xml:space="preserve"> </w:t>
      </w:r>
      <w:hyperlink r:id="rId42">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43"/>
    <w:bookmarkStart w:id="45" w:name="ref-montes2015"/>
    <w:p>
      <w:pPr>
        <w:pStyle w:val="Bibliography"/>
      </w:pPr>
      <w:r>
        <w:t xml:space="preserve">2.</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44">
        <w:r>
          <w:rPr>
            <w:rStyle w:val="Hyperlink"/>
          </w:rPr>
          <w:t xml:space="preserve">10.1126/science.aaa2815</w:t>
        </w:r>
      </w:hyperlink>
      <w:r>
        <w:t xml:space="preserve">)</w:t>
      </w:r>
    </w:p>
    <w:bookmarkEnd w:id="45"/>
    <w:bookmarkStart w:id="47" w:name="ref-jaramillo2018"/>
    <w:p>
      <w:pPr>
        <w:pStyle w:val="Bibliography"/>
      </w:pPr>
      <w:r>
        <w:t xml:space="preserve">3.</w:t>
      </w:r>
      <w:r>
        <w:t xml:space="preserve"> </w:t>
      </w:r>
      <w:r>
        <w:t xml:space="preserve">	</w:t>
      </w:r>
      <w:r>
        <w:t xml:space="preserve">Jaramillo CA. 2018</w:t>
      </w:r>
      <w:r>
        <w:t xml:space="preserve"> </w:t>
      </w:r>
      <w:hyperlink r:id="rId46">
        <w:r>
          <w:rPr>
            <w:rStyle w:val="Hyperlink"/>
          </w:rPr>
          <w:t xml:space="preserve">Evolution of the isthmus of panama: Biological, paleoceanographic and paleoclimatological implications</w:t>
        </w:r>
      </w:hyperlink>
      <w:r>
        <w:t xml:space="preserve">. John Wiley &amp; Sons.</w:t>
      </w:r>
      <w:r>
        <w:t xml:space="preserve"> </w:t>
      </w:r>
    </w:p>
    <w:bookmarkEnd w:id="47"/>
    <w:bookmarkStart w:id="49" w:name="ref-odea2016"/>
    <w:p>
      <w:pPr>
        <w:pStyle w:val="Bibliography"/>
      </w:pPr>
      <w:r>
        <w:t xml:space="preserve">4.</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48">
        <w:r>
          <w:rPr>
            <w:rStyle w:val="Hyperlink"/>
          </w:rPr>
          <w:t xml:space="preserve">10.1126/sciadv.1600883</w:t>
        </w:r>
      </w:hyperlink>
      <w:r>
        <w:t xml:space="preserve">)</w:t>
      </w:r>
    </w:p>
    <w:bookmarkEnd w:id="49"/>
    <w:bookmarkStart w:id="51" w:name="ref-verzi2008"/>
    <w:p>
      <w:pPr>
        <w:pStyle w:val="Bibliography"/>
      </w:pPr>
      <w:r>
        <w:t xml:space="preserve">5.</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50">
        <w:r>
          <w:rPr>
            <w:rStyle w:val="Hyperlink"/>
          </w:rPr>
          <w:t xml:space="preserve">10.1016/j.geobios.2006.09.005</w:t>
        </w:r>
      </w:hyperlink>
      <w:r>
        <w:t xml:space="preserve">)</w:t>
      </w:r>
    </w:p>
    <w:bookmarkEnd w:id="51"/>
    <w:bookmarkStart w:id="53"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w:t>
      </w:r>
      <w:r>
        <w:t xml:space="preserve"> </w:t>
      </w:r>
      <w:r>
        <w:rPr>
          <w:i/>
          <w:iCs/>
        </w:rPr>
        <w:t xml:space="preserve">Journal of Mammalian Evolution</w:t>
      </w:r>
      <w:r>
        <w:t xml:space="preserve"> </w:t>
      </w:r>
      <w:r>
        <w:rPr>
          <w:b/>
          <w:bCs/>
        </w:rPr>
        <w:t xml:space="preserve">17</w:t>
      </w:r>
      <w:r>
        <w:t xml:space="preserve">, 245–264. (doi:</w:t>
      </w:r>
      <w:hyperlink r:id="rId52">
        <w:r>
          <w:rPr>
            <w:rStyle w:val="Hyperlink"/>
          </w:rPr>
          <w:t xml:space="preserve">10.1007/s10914-010-9144-8</w:t>
        </w:r>
      </w:hyperlink>
      <w:r>
        <w:t xml:space="preserve">)</w:t>
      </w:r>
    </w:p>
    <w:bookmarkEnd w:id="53"/>
    <w:bookmarkStart w:id="55" w:name="ref-bacon2015"/>
    <w:p>
      <w:pPr>
        <w:pStyle w:val="Bibliography"/>
      </w:pPr>
      <w:r>
        <w:t xml:space="preserve">7.</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54">
        <w:r>
          <w:rPr>
            <w:rStyle w:val="Hyperlink"/>
          </w:rPr>
          <w:t xml:space="preserve">10.1073/pnas.1423853112</w:t>
        </w:r>
      </w:hyperlink>
      <w:r>
        <w:t xml:space="preserve">)</w:t>
      </w:r>
    </w:p>
    <w:bookmarkEnd w:id="55"/>
    <w:bookmarkStart w:id="57" w:name="ref-bacon2016"/>
    <w:p>
      <w:pPr>
        <w:pStyle w:val="Bibliography"/>
      </w:pPr>
      <w:r>
        <w:t xml:space="preserve">8.</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56">
        <w:r>
          <w:rPr>
            <w:rStyle w:val="Hyperlink"/>
          </w:rPr>
          <w:t xml:space="preserve">10.1130/G37624.1</w:t>
        </w:r>
      </w:hyperlink>
      <w:r>
        <w:t xml:space="preserve">)</w:t>
      </w:r>
    </w:p>
    <w:bookmarkEnd w:id="57"/>
    <w:bookmarkStart w:id="59" w:name="ref-webb1976"/>
    <w:p>
      <w:pPr>
        <w:pStyle w:val="Bibliography"/>
      </w:pPr>
      <w:r>
        <w:t xml:space="preserve">9.</w:t>
      </w:r>
      <w:r>
        <w:t xml:space="preserve"> </w:t>
      </w:r>
      <w:r>
        <w:t xml:space="preserve">	</w:t>
      </w:r>
      <w:r>
        <w:t xml:space="preserve">Webb SD. 1976</w:t>
      </w:r>
      <w:r>
        <w:t xml:space="preserve"> </w:t>
      </w:r>
      <w:hyperlink r:id="rId58">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59"/>
    <w:bookmarkStart w:id="61" w:name="ref-webb1991"/>
    <w:p>
      <w:pPr>
        <w:pStyle w:val="Bibliography"/>
      </w:pPr>
      <w:r>
        <w:t xml:space="preserve">10.</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60">
        <w:r>
          <w:rPr>
            <w:rStyle w:val="Hyperlink"/>
          </w:rPr>
          <w:t xml:space="preserve">10.1017/S0094837300010605</w:t>
        </w:r>
      </w:hyperlink>
      <w:r>
        <w:t xml:space="preserve">)</w:t>
      </w:r>
    </w:p>
    <w:bookmarkEnd w:id="61"/>
    <w:bookmarkStart w:id="63" w:name="ref-cione2015"/>
    <w:p>
      <w:pPr>
        <w:pStyle w:val="Bibliography"/>
      </w:pPr>
      <w:r>
        <w:t xml:space="preserve">11.</w:t>
      </w:r>
      <w:r>
        <w:t xml:space="preserve"> </w:t>
      </w:r>
      <w:r>
        <w:t xml:space="preserve">	</w:t>
      </w:r>
      <w:r>
        <w:t xml:space="preserve">Cione AL, Gasparini GM, Soibelzon E, Soibelzon LH, Tonni EP. 2015</w:t>
      </w:r>
      <w:r>
        <w:t xml:space="preserve"> </w:t>
      </w:r>
      <w:r>
        <w:rPr>
          <w:i/>
          <w:iCs/>
        </w:rPr>
        <w:t xml:space="preserve">The Great American Biotic Interchange: A South American Perspective</w:t>
      </w:r>
      <w:r>
        <w:t xml:space="preserve">. Dordrecht: Springer Netherlands. See</w:t>
      </w:r>
      <w:r>
        <w:t xml:space="preserve"> </w:t>
      </w:r>
      <w:hyperlink r:id="rId62">
        <w:r>
          <w:rPr>
            <w:rStyle w:val="Hyperlink"/>
          </w:rPr>
          <w:t xml:space="preserve">https://link.springer.com/10.1007/978-94-017-9792-4</w:t>
        </w:r>
      </w:hyperlink>
      <w:r>
        <w:t xml:space="preserve">.</w:t>
      </w:r>
    </w:p>
    <w:bookmarkEnd w:id="63"/>
    <w:bookmarkStart w:id="65" w:name="ref-carrillo2020"/>
    <w:p>
      <w:pPr>
        <w:pStyle w:val="Bibliography"/>
      </w:pPr>
      <w:r>
        <w:t xml:space="preserve">12.</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64">
        <w:r>
          <w:rPr>
            <w:rStyle w:val="Hyperlink"/>
          </w:rPr>
          <w:t xml:space="preserve">10.1073/pnas.2009397117</w:t>
        </w:r>
      </w:hyperlink>
      <w:r>
        <w:t xml:space="preserve">)</w:t>
      </w:r>
    </w:p>
    <w:bookmarkEnd w:id="65"/>
    <w:bookmarkStart w:id="67" w:name="ref-croft2020"/>
    <w:p>
      <w:pPr>
        <w:pStyle w:val="Bibliography"/>
      </w:pPr>
      <w:r>
        <w:t xml:space="preserve">13.</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66">
        <w:r>
          <w:rPr>
            <w:rStyle w:val="Hyperlink"/>
          </w:rPr>
          <w:t xml:space="preserve">10.1146/annurev-earth-072619-060126</w:t>
        </w:r>
      </w:hyperlink>
      <w:r>
        <w:t xml:space="preserve">)</w:t>
      </w:r>
    </w:p>
    <w:bookmarkEnd w:id="67"/>
    <w:bookmarkStart w:id="69" w:name="ref-boscaini2025"/>
    <w:p>
      <w:pPr>
        <w:pStyle w:val="Bibliography"/>
      </w:pPr>
      <w:r>
        <w:t xml:space="preserve">14.</w:t>
      </w:r>
      <w:r>
        <w:t xml:space="preserve"> </w:t>
      </w:r>
      <w:r>
        <w:t xml:space="preserve">	</w:t>
      </w:r>
      <w:r>
        <w:t xml:space="preserve">Boscaini A</w:t>
      </w:r>
      <w:r>
        <w:t xml:space="preserve"> </w:t>
      </w:r>
      <w:r>
        <w:rPr>
          <w:i/>
          <w:iCs/>
        </w:rPr>
        <w:t xml:space="preserve">et al.</w:t>
      </w:r>
      <w:r>
        <w:t xml:space="preserve"> 2025 The emergence and demise of giant sloths.</w:t>
      </w:r>
      <w:r>
        <w:t xml:space="preserve"> </w:t>
      </w:r>
      <w:r>
        <w:rPr>
          <w:i/>
          <w:iCs/>
        </w:rPr>
        <w:t xml:space="preserve">Science</w:t>
      </w:r>
      <w:r>
        <w:t xml:space="preserve"> </w:t>
      </w:r>
      <w:r>
        <w:rPr>
          <w:b/>
          <w:bCs/>
        </w:rPr>
        <w:t xml:space="preserve">388</w:t>
      </w:r>
      <w:r>
        <w:t xml:space="preserve">, 864–868. (doi:</w:t>
      </w:r>
      <w:hyperlink r:id="rId68">
        <w:r>
          <w:rPr>
            <w:rStyle w:val="Hyperlink"/>
          </w:rPr>
          <w:t xml:space="preserve">10.1126/science.adu0704</w:t>
        </w:r>
      </w:hyperlink>
      <w:r>
        <w:t xml:space="preserve">)</w:t>
      </w:r>
    </w:p>
    <w:bookmarkEnd w:id="69"/>
    <w:bookmarkStart w:id="70" w:name="ref-simpson1980"/>
    <w:p>
      <w:pPr>
        <w:pStyle w:val="Bibliography"/>
      </w:pPr>
      <w:r>
        <w:t xml:space="preserve">15.</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70"/>
    <w:bookmarkStart w:id="72" w:name="ref-domingo2020"/>
    <w:p>
      <w:pPr>
        <w:pStyle w:val="Bibliography"/>
      </w:pPr>
      <w:r>
        <w:t xml:space="preserve">16.</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71">
        <w:r>
          <w:rPr>
            <w:rStyle w:val="Hyperlink"/>
          </w:rPr>
          <w:t xml:space="preserve">10.1038/s41598-020-58575-6</w:t>
        </w:r>
      </w:hyperlink>
      <w:r>
        <w:t xml:space="preserve">)</w:t>
      </w:r>
    </w:p>
    <w:bookmarkEnd w:id="72"/>
    <w:bookmarkStart w:id="73" w:name="ref-marshall1990"/>
    <w:p>
      <w:pPr>
        <w:pStyle w:val="Bibliography"/>
      </w:pPr>
      <w:r>
        <w:t xml:space="preserve">17.</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73"/>
    <w:bookmarkStart w:id="75" w:name="ref-faurby2016"/>
    <w:p>
      <w:pPr>
        <w:pStyle w:val="Bibliography"/>
      </w:pPr>
      <w:r>
        <w:t xml:space="preserve">18.</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74">
        <w:r>
          <w:rPr>
            <w:rStyle w:val="Hyperlink"/>
          </w:rPr>
          <w:t xml:space="preserve">10.1111/geb.12504</w:t>
        </w:r>
      </w:hyperlink>
      <w:r>
        <w:t xml:space="preserve">)</w:t>
      </w:r>
    </w:p>
    <w:bookmarkEnd w:id="75"/>
    <w:bookmarkStart w:id="77" w:name="ref-fernández-monescillo2025"/>
    <w:p>
      <w:pPr>
        <w:pStyle w:val="Bibliography"/>
      </w:pPr>
      <w:r>
        <w:t xml:space="preserve">19.</w:t>
      </w:r>
      <w:r>
        <w:t xml:space="preserve"> </w:t>
      </w:r>
      <w:r>
        <w:t xml:space="preserve">	</w:t>
      </w:r>
      <w:r>
        <w:t xml:space="preserve">Fernández-Monescillo M, Romero-Lebrón E, Pesquero MD, Haro A, Rodríguez PE, Krapovickas J, Tauber AA. 2025 Middle Pleistocene revelations: unravelling taphonomic processes in mammals including Mesotherium cristatum (Mesotheriidae, Notoungulata), Corralito Site, Córdoba Province, Argentina.</w:t>
      </w:r>
      <w:r>
        <w:t xml:space="preserve"> </w:t>
      </w:r>
      <w:r>
        <w:rPr>
          <w:i/>
          <w:iCs/>
        </w:rPr>
        <w:t xml:space="preserve">Palaeontology</w:t>
      </w:r>
      <w:r>
        <w:t xml:space="preserve"> </w:t>
      </w:r>
      <w:r>
        <w:rPr>
          <w:b/>
          <w:bCs/>
        </w:rPr>
        <w:t xml:space="preserve">68</w:t>
      </w:r>
      <w:r>
        <w:t xml:space="preserve">, e70012. (doi:</w:t>
      </w:r>
      <w:hyperlink r:id="rId76">
        <w:r>
          <w:rPr>
            <w:rStyle w:val="Hyperlink"/>
          </w:rPr>
          <w:t xml:space="preserve">10.1111/pala.70012</w:t>
        </w:r>
      </w:hyperlink>
      <w:r>
        <w:t xml:space="preserve">)</w:t>
      </w:r>
    </w:p>
    <w:bookmarkEnd w:id="77"/>
    <w:bookmarkStart w:id="79" w:name="ref-vrba1992"/>
    <w:p>
      <w:pPr>
        <w:pStyle w:val="Bibliography"/>
      </w:pPr>
      <w:r>
        <w:t xml:space="preserve">20.</w:t>
      </w:r>
      <w:r>
        <w:t xml:space="preserve"> </w:t>
      </w:r>
      <w:r>
        <w:t xml:space="preserve">	</w:t>
      </w:r>
      <w:r>
        <w:t xml:space="preserve">Vrba ES. 1992 Mammals as a Key to Evolutionary Theory.</w:t>
      </w:r>
      <w:r>
        <w:t xml:space="preserve"> </w:t>
      </w:r>
      <w:r>
        <w:rPr>
          <w:i/>
          <w:iCs/>
        </w:rPr>
        <w:t xml:space="preserve">Journal of Mammalogy</w:t>
      </w:r>
      <w:r>
        <w:t xml:space="preserve"> </w:t>
      </w:r>
      <w:r>
        <w:rPr>
          <w:b/>
          <w:bCs/>
        </w:rPr>
        <w:t xml:space="preserve">73</w:t>
      </w:r>
      <w:r>
        <w:t xml:space="preserve">, 1–28. (doi:</w:t>
      </w:r>
      <w:hyperlink r:id="rId78">
        <w:r>
          <w:rPr>
            <w:rStyle w:val="Hyperlink"/>
          </w:rPr>
          <w:t xml:space="preserve">10.2307/1381862</w:t>
        </w:r>
      </w:hyperlink>
      <w:r>
        <w:t xml:space="preserve">)</w:t>
      </w:r>
    </w:p>
    <w:bookmarkEnd w:id="79"/>
    <w:bookmarkStart w:id="81" w:name="ref-prevosti2013"/>
    <w:p>
      <w:pPr>
        <w:pStyle w:val="Bibliography"/>
      </w:pPr>
      <w:r>
        <w:t xml:space="preserve">21.</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80">
        <w:r>
          <w:rPr>
            <w:rStyle w:val="Hyperlink"/>
          </w:rPr>
          <w:t xml:space="preserve">10.1007/s10914-011-9175-9</w:t>
        </w:r>
      </w:hyperlink>
      <w:r>
        <w:t xml:space="preserve">)</w:t>
      </w:r>
    </w:p>
    <w:bookmarkEnd w:id="81"/>
    <w:bookmarkStart w:id="83" w:name="ref-tarquini2022"/>
    <w:p>
      <w:pPr>
        <w:pStyle w:val="Bibliography"/>
      </w:pPr>
      <w:r>
        <w:t xml:space="preserve">22.</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82">
        <w:r>
          <w:rPr>
            <w:rStyle w:val="Hyperlink"/>
          </w:rPr>
          <w:t xml:space="preserve">10.1038/s41598-022-05266-z</w:t>
        </w:r>
      </w:hyperlink>
      <w:r>
        <w:t xml:space="preserve">)</w:t>
      </w:r>
    </w:p>
    <w:bookmarkEnd w:id="83"/>
    <w:bookmarkStart w:id="85" w:name="ref-marsà2025"/>
    <w:p>
      <w:pPr>
        <w:pStyle w:val="Bibliography"/>
      </w:pPr>
      <w:r>
        <w:t xml:space="preserve">23.</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84">
        <w:r>
          <w:rPr>
            <w:rStyle w:val="Hyperlink"/>
          </w:rPr>
          <w:t xml:space="preserve">10.3390/d17030153</w:t>
        </w:r>
      </w:hyperlink>
      <w:r>
        <w:t xml:space="preserve">)</w:t>
      </w:r>
    </w:p>
    <w:bookmarkEnd w:id="85"/>
    <w:bookmarkStart w:id="87" w:name="ref-freitas-oliveira2024"/>
    <w:p>
      <w:pPr>
        <w:pStyle w:val="Bibliography"/>
      </w:pPr>
      <w:r>
        <w:t xml:space="preserve">24.</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86">
        <w:r>
          <w:rPr>
            <w:rStyle w:val="Hyperlink"/>
          </w:rPr>
          <w:t xml:space="preserve">10.1038/s44185-024-00045-7</w:t>
        </w:r>
      </w:hyperlink>
      <w:r>
        <w:t xml:space="preserve">)</w:t>
      </w:r>
    </w:p>
    <w:bookmarkEnd w:id="87"/>
    <w:bookmarkStart w:id="89" w:name="ref-pilowsky2022"/>
    <w:p>
      <w:pPr>
        <w:pStyle w:val="Bibliography"/>
      </w:pPr>
      <w:r>
        <w:t xml:space="preserve">25.</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88">
        <w:r>
          <w:rPr>
            <w:rStyle w:val="Hyperlink"/>
          </w:rPr>
          <w:t xml:space="preserve">10.1126/sciadv.abj2271</w:t>
        </w:r>
      </w:hyperlink>
      <w:r>
        <w:t xml:space="preserve">)</w:t>
      </w:r>
    </w:p>
    <w:bookmarkEnd w:id="89"/>
    <w:bookmarkStart w:id="91"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w:t>
      </w:r>
      <w:r>
        <w:t xml:space="preserve"> </w:t>
      </w:r>
      <w:r>
        <w:rPr>
          <w:i/>
          <w:iCs/>
        </w:rPr>
        <w:t xml:space="preserve">Ecography</w:t>
      </w:r>
      <w:r>
        <w:t xml:space="preserve"> </w:t>
      </w:r>
      <w:r>
        <w:rPr>
          <w:b/>
          <w:bCs/>
        </w:rPr>
        <w:t xml:space="preserve">2023</w:t>
      </w:r>
      <w:r>
        <w:t xml:space="preserve">, e06132. (doi:</w:t>
      </w:r>
      <w:hyperlink r:id="rId90">
        <w:r>
          <w:rPr>
            <w:rStyle w:val="Hyperlink"/>
          </w:rPr>
          <w:t xml:space="preserve">10.1111/ecog.06132</w:t>
        </w:r>
      </w:hyperlink>
      <w:r>
        <w:t xml:space="preserve">)</w:t>
      </w:r>
    </w:p>
    <w:bookmarkEnd w:id="91"/>
    <w:bookmarkStart w:id="93" w:name="ref-hagen2021"/>
    <w:p>
      <w:pPr>
        <w:pStyle w:val="Bibliography"/>
      </w:pPr>
      <w:r>
        <w:t xml:space="preserve">27.</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92">
        <w:r>
          <w:rPr>
            <w:rStyle w:val="Hyperlink"/>
          </w:rPr>
          <w:t xml:space="preserve">10.1371/journal.pbio.3001340</w:t>
        </w:r>
      </w:hyperlink>
      <w:r>
        <w:t xml:space="preserve">)</w:t>
      </w:r>
    </w:p>
    <w:bookmarkEnd w:id="93"/>
    <w:bookmarkStart w:id="95" w:name="ref-hagen2021b"/>
    <w:p>
      <w:pPr>
        <w:pStyle w:val="Bibliography"/>
      </w:pPr>
      <w:r>
        <w:t xml:space="preserve">28.</w:t>
      </w:r>
      <w:r>
        <w:t xml:space="preserve"> </w:t>
      </w:r>
      <w:r>
        <w:t xml:space="preserve">	</w:t>
      </w:r>
      <w:r>
        <w:t xml:space="preserve">Hagen O, Skeels A, Onstein RE, Jetz W, Pellissier L. 2021 Earth history events shaped the evolution of uneven biodiversity across tropical moist forests.</w:t>
      </w:r>
      <w:r>
        <w:t xml:space="preserve"> </w:t>
      </w:r>
      <w:r>
        <w:rPr>
          <w:i/>
          <w:iCs/>
        </w:rPr>
        <w:t xml:space="preserve">Proceedings of the National Academy of Sciences</w:t>
      </w:r>
      <w:r>
        <w:t xml:space="preserve"> </w:t>
      </w:r>
      <w:r>
        <w:rPr>
          <w:b/>
          <w:bCs/>
        </w:rPr>
        <w:t xml:space="preserve">118</w:t>
      </w:r>
      <w:r>
        <w:t xml:space="preserve">, e2026347118. (doi:</w:t>
      </w:r>
      <w:hyperlink r:id="rId94">
        <w:r>
          <w:rPr>
            <w:rStyle w:val="Hyperlink"/>
          </w:rPr>
          <w:t xml:space="preserve">10.1073/pnas.2026347118</w:t>
        </w:r>
      </w:hyperlink>
      <w:r>
        <w:t xml:space="preserve">)</w:t>
      </w:r>
    </w:p>
    <w:bookmarkEnd w:id="95"/>
    <w:bookmarkStart w:id="97" w:name="ref-skeels2023b"/>
    <w:p>
      <w:pPr>
        <w:pStyle w:val="Bibliography"/>
      </w:pPr>
      <w:r>
        <w:t xml:space="preserve">29.</w:t>
      </w:r>
      <w:r>
        <w:t xml:space="preserve"> </w:t>
      </w:r>
      <w:r>
        <w:t xml:space="preserve">	</w:t>
      </w:r>
      <w:r>
        <w:t xml:space="preserve">Skeels A</w:t>
      </w:r>
      <w:r>
        <w:t xml:space="preserve"> </w:t>
      </w:r>
      <w:r>
        <w:rPr>
          <w:i/>
          <w:iCs/>
        </w:rPr>
        <w:t xml:space="preserve">et al.</w:t>
      </w:r>
      <w:r>
        <w:t xml:space="preserve"> 2023 Paleoenvironments shaped the exchange of terrestrial vertebrates across wallace’s line.</w:t>
      </w:r>
      <w:r>
        <w:t xml:space="preserve"> </w:t>
      </w:r>
      <w:r>
        <w:rPr>
          <w:i/>
          <w:iCs/>
        </w:rPr>
        <w:t xml:space="preserve">Science</w:t>
      </w:r>
      <w:r>
        <w:t xml:space="preserve"> </w:t>
      </w:r>
      <w:r>
        <w:rPr>
          <w:b/>
          <w:bCs/>
        </w:rPr>
        <w:t xml:space="preserve">381</w:t>
      </w:r>
      <w:r>
        <w:t xml:space="preserve">, 86–92. (doi:</w:t>
      </w:r>
      <w:hyperlink r:id="rId96">
        <w:r>
          <w:rPr>
            <w:rStyle w:val="Hyperlink"/>
          </w:rPr>
          <w:t xml:space="preserve">10.1126/science.adf7122</w:t>
        </w:r>
      </w:hyperlink>
      <w:r>
        <w:t xml:space="preserve">)</w:t>
      </w:r>
    </w:p>
    <w:bookmarkEnd w:id="97"/>
    <w:bookmarkStart w:id="99" w:name="ref-boschman2023"/>
    <w:p>
      <w:pPr>
        <w:pStyle w:val="Bibliography"/>
      </w:pPr>
      <w:r>
        <w:t xml:space="preserve">30.</w:t>
      </w:r>
      <w:r>
        <w:t xml:space="preserve"> </w:t>
      </w:r>
      <w:r>
        <w:t xml:space="preserve">	</w:t>
      </w:r>
      <w:r>
        <w:t xml:space="preserve">Boschman LM, Carraro L, Cassemiro FAS, Vries J de, Altermatt F, Hagen O, Hoorn C, Pellissier L. 2023 Freshwater fish diversity in the western Amazon basin shaped by Andean uplift since the Late Cretaceous.</w:t>
      </w:r>
      <w:r>
        <w:t xml:space="preserve"> </w:t>
      </w:r>
      <w:r>
        <w:rPr>
          <w:i/>
          <w:iCs/>
        </w:rPr>
        <w:t xml:space="preserve">Nature Ecology &amp; Evolution</w:t>
      </w:r>
      <w:r>
        <w:t xml:space="preserve"> </w:t>
      </w:r>
      <w:r>
        <w:rPr>
          <w:b/>
          <w:bCs/>
        </w:rPr>
        <w:t xml:space="preserve">7</w:t>
      </w:r>
      <w:r>
        <w:t xml:space="preserve">, 2037–2044. (doi:</w:t>
      </w:r>
      <w:hyperlink r:id="rId98">
        <w:r>
          <w:rPr>
            <w:rStyle w:val="Hyperlink"/>
          </w:rPr>
          <w:t xml:space="preserve">10.1038/s41559-023-02220-8</w:t>
        </w:r>
      </w:hyperlink>
      <w:r>
        <w:t xml:space="preserve">)</w:t>
      </w:r>
    </w:p>
    <w:bookmarkEnd w:id="99"/>
    <w:bookmarkStart w:id="101" w:name="ref-skeels2023"/>
    <w:p>
      <w:pPr>
        <w:pStyle w:val="Bibliography"/>
      </w:pPr>
      <w:r>
        <w:t xml:space="preserve">31.</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100">
        <w:r>
          <w:rPr>
            <w:rStyle w:val="Hyperlink"/>
          </w:rPr>
          <w:t xml:space="preserve">10.1093/sysbio/syac048</w:t>
        </w:r>
      </w:hyperlink>
      <w:r>
        <w:t xml:space="preserve">)</w:t>
      </w:r>
    </w:p>
    <w:bookmarkEnd w:id="101"/>
    <w:bookmarkStart w:id="103" w:name="ref-liu2024"/>
    <w:p>
      <w:pPr>
        <w:pStyle w:val="Bibliography"/>
      </w:pPr>
      <w:r>
        <w:t xml:space="preserve">32.</w:t>
      </w:r>
      <w:r>
        <w:t xml:space="preserve"> </w:t>
      </w:r>
      <w:r>
        <w:t xml:space="preserve">	</w:t>
      </w:r>
      <w:r>
        <w:t xml:space="preserve">Liu Y, Wang Y, Willett SD, Zimmermann NE, Pellissier L. 2024 Escarpment evolution drives the diversification of the madagascar flora.</w:t>
      </w:r>
      <w:r>
        <w:t xml:space="preserve"> </w:t>
      </w:r>
      <w:r>
        <w:rPr>
          <w:i/>
          <w:iCs/>
        </w:rPr>
        <w:t xml:space="preserve">Science</w:t>
      </w:r>
      <w:r>
        <w:t xml:space="preserve"> </w:t>
      </w:r>
      <w:r>
        <w:rPr>
          <w:b/>
          <w:bCs/>
        </w:rPr>
        <w:t xml:space="preserve">383</w:t>
      </w:r>
      <w:r>
        <w:t xml:space="preserve">, 653–658. (doi:</w:t>
      </w:r>
      <w:hyperlink r:id="rId102">
        <w:r>
          <w:rPr>
            <w:rStyle w:val="Hyperlink"/>
          </w:rPr>
          <w:t xml:space="preserve">10.1126/science.adi0833</w:t>
        </w:r>
      </w:hyperlink>
      <w:r>
        <w:t xml:space="preserve">)</w:t>
      </w:r>
    </w:p>
    <w:bookmarkEnd w:id="103"/>
    <w:bookmarkStart w:id="105" w:name="ref-holden2019"/>
    <w:p>
      <w:pPr>
        <w:pStyle w:val="Bibliography"/>
      </w:pPr>
      <w:r>
        <w:t xml:space="preserve">33.</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104">
        <w:r>
          <w:rPr>
            <w:rStyle w:val="Hyperlink"/>
          </w:rPr>
          <w:t xml:space="preserve">https://doi.org/10.5194/gmd-12-5137-2019</w:t>
        </w:r>
      </w:hyperlink>
      <w:r>
        <w:t xml:space="preserve">)</w:t>
      </w:r>
    </w:p>
    <w:bookmarkEnd w:id="105"/>
    <w:bookmarkStart w:id="107" w:name="ref-barreto2023"/>
    <w:p>
      <w:pPr>
        <w:pStyle w:val="Bibliography"/>
      </w:pPr>
      <w:r>
        <w:t xml:space="preserve">34.</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106">
        <w:r>
          <w:rPr>
            <w:rStyle w:val="Hyperlink"/>
          </w:rPr>
          <w:t xml:space="preserve">10.1111/geb.13683</w:t>
        </w:r>
      </w:hyperlink>
      <w:r>
        <w:t xml:space="preserve">)</w:t>
      </w:r>
    </w:p>
    <w:bookmarkEnd w:id="107"/>
    <w:bookmarkStart w:id="109" w:name="ref-galván2023"/>
    <w:p>
      <w:pPr>
        <w:pStyle w:val="Bibliography"/>
      </w:pPr>
      <w:r>
        <w:t xml:space="preserve">35.</w:t>
      </w:r>
      <w:r>
        <w:t xml:space="preserve"> </w:t>
      </w:r>
      <w:r>
        <w:t xml:space="preserve">	</w:t>
      </w:r>
      <w:r>
        <w:t xml:space="preserve">Galván S, Gamboa S, Varela S. 2023</w:t>
      </w:r>
      <w:r>
        <w:t xml:space="preserve"> </w:t>
      </w:r>
      <w:hyperlink r:id="rId108">
        <w:r>
          <w:rPr>
            <w:rStyle w:val="Hyperlink"/>
          </w:rPr>
          <w:t xml:space="preserve">Köppen Geiger climatic classification for R users.</w:t>
        </w:r>
      </w:hyperlink>
      <w:r>
        <w:t xml:space="preserve"> </w:t>
      </w:r>
    </w:p>
    <w:bookmarkEnd w:id="109"/>
    <w:bookmarkStart w:id="111" w:name="ref-obrien2023"/>
    <w:p>
      <w:pPr>
        <w:pStyle w:val="Bibliography"/>
      </w:pPr>
      <w:r>
        <w:t xml:space="preserve">36.</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110">
        <w:r>
          <w:rPr>
            <w:rStyle w:val="Hyperlink"/>
          </w:rPr>
          <w:t xml:space="preserve">https://CRAN.R-project.org/package=h3jsr</w:t>
        </w:r>
      </w:hyperlink>
      <w:r>
        <w:t xml:space="preserve">.</w:t>
      </w:r>
    </w:p>
    <w:bookmarkEnd w:id="111"/>
    <w:bookmarkStart w:id="113" w:name="ref-weir2009"/>
    <w:p>
      <w:pPr>
        <w:pStyle w:val="Bibliography"/>
      </w:pPr>
      <w:r>
        <w:t xml:space="preserve">37.</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112">
        <w:r>
          <w:rPr>
            <w:rStyle w:val="Hyperlink"/>
          </w:rPr>
          <w:t xml:space="preserve">10.1073/pnas.0903811106</w:t>
        </w:r>
      </w:hyperlink>
      <w:r>
        <w:t xml:space="preserve">)</w:t>
      </w:r>
    </w:p>
    <w:bookmarkEnd w:id="113"/>
    <w:bookmarkStart w:id="115" w:name="ref-antonelli2018"/>
    <w:p>
      <w:pPr>
        <w:pStyle w:val="Bibliography"/>
      </w:pPr>
      <w:r>
        <w:t xml:space="preserve">38.</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114">
        <w:r>
          <w:rPr>
            <w:rStyle w:val="Hyperlink"/>
          </w:rPr>
          <w:t xml:space="preserve">10.1038/s41561-018-0236-z</w:t>
        </w:r>
      </w:hyperlink>
      <w:r>
        <w:t xml:space="preserve">)</w:t>
      </w:r>
    </w:p>
    <w:bookmarkEnd w:id="115"/>
    <w:bookmarkStart w:id="117" w:name="ref-motta2025"/>
    <w:p>
      <w:pPr>
        <w:pStyle w:val="Bibliography"/>
      </w:pPr>
      <w:r>
        <w:t xml:space="preserve">39.</w:t>
      </w:r>
      <w:r>
        <w:t xml:space="preserve"> </w:t>
      </w:r>
      <w:r>
        <w:t xml:space="preserve">	</w:t>
      </w:r>
      <w:r>
        <w:t xml:space="preserve">Motta LM, Quental TB. 2025 New aspects of the asymmetry of the great american biotic interchange based on an analysis of the spatial and temporal structure of immigrant taxa at local scale.</w:t>
      </w:r>
      <w:r>
        <w:t xml:space="preserve"> </w:t>
      </w:r>
      <w:r>
        <w:rPr>
          <w:i/>
          <w:iCs/>
        </w:rPr>
        <w:t xml:space="preserve">Palaeogeography, Palaeoclimatology, Palaeoecology</w:t>
      </w:r>
      <w:r>
        <w:t xml:space="preserve"> </w:t>
      </w:r>
      <w:r>
        <w:rPr>
          <w:b/>
          <w:bCs/>
        </w:rPr>
        <w:t xml:space="preserve">668</w:t>
      </w:r>
      <w:r>
        <w:t xml:space="preserve">, 112905. (doi:</w:t>
      </w:r>
      <w:hyperlink r:id="rId116">
        <w:r>
          <w:rPr>
            <w:rStyle w:val="Hyperlink"/>
          </w:rPr>
          <w:t xml:space="preserve">10.1016/j.palaeo.2025.112905</w:t>
        </w:r>
      </w:hyperlink>
      <w:r>
        <w:t xml:space="preserve">)</w:t>
      </w:r>
    </w:p>
    <w:bookmarkEnd w:id="117"/>
    <w:bookmarkStart w:id="119" w:name="ref-couvreur2011"/>
    <w:p>
      <w:pPr>
        <w:pStyle w:val="Bibliography"/>
      </w:pPr>
      <w:r>
        <w:t xml:space="preserve">40.</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118">
        <w:r>
          <w:rPr>
            <w:rStyle w:val="Hyperlink"/>
          </w:rPr>
          <w:t xml:space="preserve">10.1111/j.1365-2699.2010.02434.x</w:t>
        </w:r>
      </w:hyperlink>
      <w:r>
        <w:t xml:space="preserve">)</w:t>
      </w:r>
    </w:p>
    <w:bookmarkEnd w:id="119"/>
    <w:bookmarkStart w:id="121" w:name="ref-upchurch2024"/>
    <w:p>
      <w:pPr>
        <w:pStyle w:val="Bibliography"/>
      </w:pPr>
      <w:r>
        <w:t xml:space="preserve">41.</w:t>
      </w:r>
      <w:r>
        <w:t xml:space="preserve"> </w:t>
      </w:r>
      <w:r>
        <w:t xml:space="preserve">	</w:t>
      </w:r>
      <w:r>
        <w:t xml:space="preserve">Upchurch P, Chiarenza AA. 2024 A brief review of non-avian dinosaur biogeography: State-of-the-art and prospectus.</w:t>
      </w:r>
      <w:r>
        <w:t xml:space="preserve"> </w:t>
      </w:r>
      <w:r>
        <w:rPr>
          <w:i/>
          <w:iCs/>
        </w:rPr>
        <w:t xml:space="preserve">Biology Letters</w:t>
      </w:r>
      <w:r>
        <w:t xml:space="preserve"> </w:t>
      </w:r>
      <w:r>
        <w:rPr>
          <w:b/>
          <w:bCs/>
        </w:rPr>
        <w:t xml:space="preserve">20</w:t>
      </w:r>
      <w:r>
        <w:t xml:space="preserve">, 20240429. (doi:</w:t>
      </w:r>
      <w:hyperlink r:id="rId120">
        <w:r>
          <w:rPr>
            <w:rStyle w:val="Hyperlink"/>
          </w:rPr>
          <w:t xml:space="preserve">10.1098/rsbl.2024.0429</w:t>
        </w:r>
      </w:hyperlink>
      <w:r>
        <w:t xml:space="preserve">)</w:t>
      </w:r>
    </w:p>
    <w:bookmarkEnd w:id="121"/>
    <w:bookmarkStart w:id="123" w:name="ref-pino2022"/>
    <w:p>
      <w:pPr>
        <w:pStyle w:val="Bibliography"/>
      </w:pPr>
      <w:r>
        <w:t xml:space="preserve">42.</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122">
        <w:r>
          <w:rPr>
            <w:rStyle w:val="Hyperlink"/>
          </w:rPr>
          <w:t xml:space="preserve">10.1016/j.gloplacha.2022.103758</w:t>
        </w:r>
      </w:hyperlink>
      <w:r>
        <w:t xml:space="preserve">)</w:t>
      </w:r>
    </w:p>
    <w:bookmarkEnd w:id="123"/>
    <w:bookmarkEnd w:id="124"/>
    <w:bookmarkEnd w:id="125"/>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46" Target="http://repository.si.edu/xmlui/handle/10088/35473" TargetMode="External" /><Relationship Type="http://schemas.openxmlformats.org/officeDocument/2006/relationships/hyperlink" Id="rId110" Target="https://CRAN.R-project.org/package=h3jsr" TargetMode="External" /><Relationship Type="http://schemas.openxmlformats.org/officeDocument/2006/relationships/hyperlink" Id="rId52"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50" Target="https://doi.org/10.1016/j.geobios.2006.09.005" TargetMode="External" /><Relationship Type="http://schemas.openxmlformats.org/officeDocument/2006/relationships/hyperlink" Id="rId122" Target="https://doi.org/10.1016/j.gloplacha.2022.103758" TargetMode="External" /><Relationship Type="http://schemas.openxmlformats.org/officeDocument/2006/relationships/hyperlink" Id="rId116" Target="https://doi.org/10.1016/j.palaeo.2025.112905" TargetMode="External" /><Relationship Type="http://schemas.openxmlformats.org/officeDocument/2006/relationships/hyperlink" Id="rId60" Target="https://doi.org/10.1017/S0094837300010605" TargetMode="External" /><Relationship Type="http://schemas.openxmlformats.org/officeDocument/2006/relationships/hyperlink" Id="rId98" Target="https://doi.org/10.1038/s41559-023-02220-8" TargetMode="External" /><Relationship Type="http://schemas.openxmlformats.org/officeDocument/2006/relationships/hyperlink" Id="rId114" Target="https://doi.org/10.1038/s41561-018-0236-z"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2" Target="https://doi.org/10.1073/pnas.0903811106" TargetMode="External" /><Relationship Type="http://schemas.openxmlformats.org/officeDocument/2006/relationships/hyperlink" Id="rId54"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4" Target="https://doi.org/10.1073/pnas.2026347118" TargetMode="External" /><Relationship Type="http://schemas.openxmlformats.org/officeDocument/2006/relationships/hyperlink" Id="rId100" Target="https://doi.org/10.1093/sysbio/syac048" TargetMode="External" /><Relationship Type="http://schemas.openxmlformats.org/officeDocument/2006/relationships/hyperlink" Id="rId120" Target="https://doi.org/10.1098/rsbl.2024.0429" TargetMode="External" /><Relationship Type="http://schemas.openxmlformats.org/officeDocument/2006/relationships/hyperlink" Id="rId90" Target="https://doi.org/10.1111/ecog.06132" TargetMode="External" /><Relationship Type="http://schemas.openxmlformats.org/officeDocument/2006/relationships/hyperlink" Id="rId74" Target="https://doi.org/10.1111/geb.12504" TargetMode="External" /><Relationship Type="http://schemas.openxmlformats.org/officeDocument/2006/relationships/hyperlink" Id="rId106" Target="https://doi.org/10.1111/geb.13683" TargetMode="External" /><Relationship Type="http://schemas.openxmlformats.org/officeDocument/2006/relationships/hyperlink" Id="rId118" Target="https://doi.org/10.1111/j.1365-2699.2010.02434.x" TargetMode="External" /><Relationship Type="http://schemas.openxmlformats.org/officeDocument/2006/relationships/hyperlink" Id="rId76" Target="https://doi.org/10.1111/pala.70012" TargetMode="External" /><Relationship Type="http://schemas.openxmlformats.org/officeDocument/2006/relationships/hyperlink" Id="rId48" Target="https://doi.org/10.1126/sciadv.1600883" TargetMode="External" /><Relationship Type="http://schemas.openxmlformats.org/officeDocument/2006/relationships/hyperlink" Id="rId88" Target="https://doi.org/10.1126/sciadv.abj2271" TargetMode="External" /><Relationship Type="http://schemas.openxmlformats.org/officeDocument/2006/relationships/hyperlink" Id="rId44" Target="https://doi.org/10.1126/science.aaa2815" TargetMode="External" /><Relationship Type="http://schemas.openxmlformats.org/officeDocument/2006/relationships/hyperlink" Id="rId96" Target="https://doi.org/10.1126/science.adf7122" TargetMode="External" /><Relationship Type="http://schemas.openxmlformats.org/officeDocument/2006/relationships/hyperlink" Id="rId102"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6" Target="https://doi.org/10.1130/G37624.1" TargetMode="External" /><Relationship Type="http://schemas.openxmlformats.org/officeDocument/2006/relationships/hyperlink" Id="rId66" Target="https://doi.org/10.1146/annurev-earth-072619-060126" TargetMode="External" /><Relationship Type="http://schemas.openxmlformats.org/officeDocument/2006/relationships/hyperlink" Id="rId92" Target="https://doi.org/10.1371/journal.pbio.3001340" TargetMode="External" /><Relationship Type="http://schemas.openxmlformats.org/officeDocument/2006/relationships/hyperlink" Id="rId78" Target="https://doi.org/10.2307/1381862" TargetMode="External" /><Relationship Type="http://schemas.openxmlformats.org/officeDocument/2006/relationships/hyperlink" Id="rId84"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08"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42" Target="https://www.jstor.org/stable/1688046" TargetMode="External" /><Relationship Type="http://schemas.openxmlformats.org/officeDocument/2006/relationships/hyperlink" Id="rId58"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6" Target="http://repository.si.edu/xmlui/handle/10088/35473" TargetMode="External" /><Relationship Type="http://schemas.openxmlformats.org/officeDocument/2006/relationships/hyperlink" Id="rId110" Target="https://CRAN.R-project.org/package=h3jsr" TargetMode="External" /><Relationship Type="http://schemas.openxmlformats.org/officeDocument/2006/relationships/hyperlink" Id="rId52"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50" Target="https://doi.org/10.1016/j.geobios.2006.09.005" TargetMode="External" /><Relationship Type="http://schemas.openxmlformats.org/officeDocument/2006/relationships/hyperlink" Id="rId122" Target="https://doi.org/10.1016/j.gloplacha.2022.103758" TargetMode="External" /><Relationship Type="http://schemas.openxmlformats.org/officeDocument/2006/relationships/hyperlink" Id="rId116" Target="https://doi.org/10.1016/j.palaeo.2025.112905" TargetMode="External" /><Relationship Type="http://schemas.openxmlformats.org/officeDocument/2006/relationships/hyperlink" Id="rId60" Target="https://doi.org/10.1017/S0094837300010605" TargetMode="External" /><Relationship Type="http://schemas.openxmlformats.org/officeDocument/2006/relationships/hyperlink" Id="rId98" Target="https://doi.org/10.1038/s41559-023-02220-8" TargetMode="External" /><Relationship Type="http://schemas.openxmlformats.org/officeDocument/2006/relationships/hyperlink" Id="rId114" Target="https://doi.org/10.1038/s41561-018-0236-z"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2" Target="https://doi.org/10.1073/pnas.0903811106" TargetMode="External" /><Relationship Type="http://schemas.openxmlformats.org/officeDocument/2006/relationships/hyperlink" Id="rId54"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4" Target="https://doi.org/10.1073/pnas.2026347118" TargetMode="External" /><Relationship Type="http://schemas.openxmlformats.org/officeDocument/2006/relationships/hyperlink" Id="rId100" Target="https://doi.org/10.1093/sysbio/syac048" TargetMode="External" /><Relationship Type="http://schemas.openxmlformats.org/officeDocument/2006/relationships/hyperlink" Id="rId120" Target="https://doi.org/10.1098/rsbl.2024.0429" TargetMode="External" /><Relationship Type="http://schemas.openxmlformats.org/officeDocument/2006/relationships/hyperlink" Id="rId90" Target="https://doi.org/10.1111/ecog.06132" TargetMode="External" /><Relationship Type="http://schemas.openxmlformats.org/officeDocument/2006/relationships/hyperlink" Id="rId74" Target="https://doi.org/10.1111/geb.12504" TargetMode="External" /><Relationship Type="http://schemas.openxmlformats.org/officeDocument/2006/relationships/hyperlink" Id="rId106" Target="https://doi.org/10.1111/geb.13683" TargetMode="External" /><Relationship Type="http://schemas.openxmlformats.org/officeDocument/2006/relationships/hyperlink" Id="rId118" Target="https://doi.org/10.1111/j.1365-2699.2010.02434.x" TargetMode="External" /><Relationship Type="http://schemas.openxmlformats.org/officeDocument/2006/relationships/hyperlink" Id="rId76" Target="https://doi.org/10.1111/pala.70012" TargetMode="External" /><Relationship Type="http://schemas.openxmlformats.org/officeDocument/2006/relationships/hyperlink" Id="rId48" Target="https://doi.org/10.1126/sciadv.1600883" TargetMode="External" /><Relationship Type="http://schemas.openxmlformats.org/officeDocument/2006/relationships/hyperlink" Id="rId88" Target="https://doi.org/10.1126/sciadv.abj2271" TargetMode="External" /><Relationship Type="http://schemas.openxmlformats.org/officeDocument/2006/relationships/hyperlink" Id="rId44" Target="https://doi.org/10.1126/science.aaa2815" TargetMode="External" /><Relationship Type="http://schemas.openxmlformats.org/officeDocument/2006/relationships/hyperlink" Id="rId96" Target="https://doi.org/10.1126/science.adf7122" TargetMode="External" /><Relationship Type="http://schemas.openxmlformats.org/officeDocument/2006/relationships/hyperlink" Id="rId102"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6" Target="https://doi.org/10.1130/G37624.1" TargetMode="External" /><Relationship Type="http://schemas.openxmlformats.org/officeDocument/2006/relationships/hyperlink" Id="rId66" Target="https://doi.org/10.1146/annurev-earth-072619-060126" TargetMode="External" /><Relationship Type="http://schemas.openxmlformats.org/officeDocument/2006/relationships/hyperlink" Id="rId92" Target="https://doi.org/10.1371/journal.pbio.3001340" TargetMode="External" /><Relationship Type="http://schemas.openxmlformats.org/officeDocument/2006/relationships/hyperlink" Id="rId78" Target="https://doi.org/10.2307/1381862" TargetMode="External" /><Relationship Type="http://schemas.openxmlformats.org/officeDocument/2006/relationships/hyperlink" Id="rId84"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08"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42" Target="https://www.jstor.org/stable/1688046" TargetMode="External" /><Relationship Type="http://schemas.openxmlformats.org/officeDocument/2006/relationships/hyperlink" Id="rId58"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2025-09-15T10:06:22Z</dcterms:created>
  <dcterms:modified xsi:type="dcterms:W3CDTF">2025-09-15T10:06:22Z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biology-letters.csl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