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0.png" ContentType="image/png"/>
  <Override PartName="/word/media/rId178.png" ContentType="image/png"/>
  <Override PartName="/word/media/rId166.png" ContentType="image/png"/>
  <Override PartName="/word/media/rId162.png" ContentType="image/png"/>
  <Override PartName="/word/media/rId1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Palaeoclimate</w:t>
      </w:r>
      <w:r>
        <w:t xml:space="preserve"> </w:t>
      </w:r>
      <w:r>
        <w:t xml:space="preserve">alone</w:t>
      </w:r>
      <w:r>
        <w:t xml:space="preserve"> </w:t>
      </w:r>
      <w:r>
        <w:t xml:space="preserve">fails</w:t>
      </w:r>
      <w:r>
        <w:t xml:space="preserve"> </w:t>
      </w:r>
      <w:r>
        <w:t xml:space="preserve">to</w:t>
      </w:r>
      <w:r>
        <w:t xml:space="preserve"> </w:t>
      </w:r>
      <w:r>
        <w:t xml:space="preserve">explain</w:t>
      </w:r>
      <w:r>
        <w:t xml:space="preserve"> </w:t>
      </w:r>
      <w:r>
        <w:t xml:space="preserve">the</w:t>
      </w:r>
      <w:r>
        <w:t xml:space="preserve"> </w:t>
      </w:r>
      <w:r>
        <w:t xml:space="preserve">asymmetry</w:t>
      </w:r>
      <w:r>
        <w:t xml:space="preserve"> </w:t>
      </w:r>
      <w:r>
        <w:t xml:space="preserve">of</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p>
    <w:p>
      <w:pPr>
        <w:pStyle w:val="Author"/>
      </w:pPr>
      <w:r>
        <w:t xml:space="preserve">Lucas</w:t>
      </w:r>
      <w:r>
        <w:t xml:space="preserve"> </w:t>
      </w:r>
      <w:r>
        <w:t xml:space="preserve">Buffan¹,</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p>
      <w:pPr>
        <w:pStyle w:val="BodyText"/>
      </w:pPr>
      <w:r>
        <w:t xml:space="preserve">* Corresponding author: lucas.l.buffan@gmail.com</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facilitated by the Mio-Pliocene closure of the isthmus of Panama. For some groups, in particular land mammals, this faunal exchange was asymmetric: a greater number of North American lineages successfully established southwards, meanwhile many South Americans went extinct. Despite the unquestionable nature of this macroecological imbalance, the mechanisms underlying such an asymmetry remain debated. Here, coupling a mechanistic eco-evolutionary simulator with palaeoclimatic reconstructions for the last 5 million years, we test fundamental hypotheses relating such a biogeographic asymmetry to palaeoclimate dynamics. When climatic variables are the only constraints to species’ dispersal, contrary to what could be expected based on empirical observations, our simulations indicate that taxa from South America disperse to the North more easily than the other way around, mostly within the tropical biome. In addition, our models fail at explaining the higher representation of temperate-adapted taxa in the fossil record of successfully-exchanged land mammals, particularly of North American origin, but suggest that successful colonisers from North America occupy larger areas in South America than the other way around. Hence, our findings stress that spatio-temporal palaeoclimate dynamics could not have made South America easier to reach than North America, suggesting additional factors were at play to shape the colonising (comprising reaching and successfully establishing within the new area) imbalance that characterised the GABI. This study offers new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Biotic Interchange; Eco-evolutionary simulations;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biotic exchange that occurred between the Americas and intensified after the closure of the isthmus of Panama</w:t>
      </w:r>
      <w:r>
        <w:rPr>
          <w:vertAlign w:val="superscript"/>
        </w:rPr>
        <w:t xml:space="preserve">1–3</w:t>
      </w:r>
      <w:r>
        <w:t xml:space="preserve">. Though the exact timing of the appearance of such a landbridge is not entirely resolved</w:t>
      </w:r>
      <w:r>
        <w:rPr>
          <w:vertAlign w:val="superscript"/>
        </w:rPr>
        <w:t xml:space="preserve">4–7</w:t>
      </w:r>
      <w:r>
        <w:t xml:space="preserve">, palaeontological evidence and molecular phylogenies both agree with a late Miocene onset of (non-volant) biotic exchange between the Americas</w:t>
      </w:r>
      <w:r>
        <w:rPr>
          <w:vertAlign w:val="superscript"/>
        </w:rPr>
        <w:t xml:space="preserve">8–10</w:t>
      </w:r>
      <w:r>
        <w:t xml:space="preserve">, with effective exchange pulses occurring during the Plio-Pleistocene</w:t>
      </w:r>
      <w:r>
        <w:rPr>
          <w:vertAlign w:val="superscript"/>
        </w:rPr>
        <w:t xml:space="preserve">2,11–13</w:t>
      </w:r>
      <w:r>
        <w:t xml:space="preserve">. Among land mammals, a puzzling feature of the GABI is that it impacted both continental faunas very differently. In fact, evidence from the fossil record indicates that the early phases of the GABI were marked by reciprocal land mammal exchanges between the Americas</w:t>
      </w:r>
      <w:r>
        <w:rPr>
          <w:vertAlign w:val="superscript"/>
        </w:rPr>
        <w:t xml:space="preserve">1,2,11</w:t>
      </w:r>
      <w:r>
        <w:t xml:space="preserve">. However, during the Pleistocene, the ability of migrant lineages to maintain and diversify in the newly-colonised continent became greater in South America</w:t>
      </w:r>
      <w:r>
        <w:rPr>
          <w:vertAlign w:val="superscript"/>
        </w:rPr>
        <w:t xml:space="preserve">11</w:t>
      </w:r>
      <w:r>
        <w:t xml:space="preserve">, and many native South American mammal lineages concomitantly declined, some of which even going totally extinct</w:t>
      </w:r>
      <w:r>
        <w:rPr>
          <w:vertAlign w:val="superscript"/>
        </w:rPr>
        <w:t xml:space="preserve">14–18</w:t>
      </w:r>
      <w:r>
        <w:t xml:space="preserve">. Hence, this intercontinental faunal exchange was asymmetric.</w:t>
      </w:r>
    </w:p>
    <w:p>
      <w:pPr>
        <w:pStyle w:val="BodyText"/>
      </w:pPr>
      <w:r>
        <w:t xml:space="preserve">Although this macroecological imbalance is unquestionable, no clear consensus regarding the drivers underlying this asymmetry has been established yet. On the one hand, biotic interactions involving migrant and native species have often been proposed to explain such an asymmetry. These would include competition</w:t>
      </w:r>
      <w:r>
        <w:rPr>
          <w:vertAlign w:val="superscript"/>
        </w:rPr>
        <w:t xml:space="preserve">1,19,20</w:t>
      </w:r>
      <w:r>
        <w:t xml:space="preserve"> </w:t>
      </w:r>
      <w:r>
        <w:t xml:space="preserve">or predation of predator-naive preys</w:t>
      </w:r>
      <w:r>
        <w:rPr>
          <w:vertAlign w:val="superscript"/>
        </w:rPr>
        <w:t xml:space="preserve">1,21–23</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24,25–28</w:t>
      </w:r>
      <w:r>
        <w:t xml:space="preserve">. On the other hand, several studies also proposed the role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13,14,21,24,29,30</w:t>
      </w:r>
      <w:r>
        <w:t xml:space="preserve">. The prevailing views consist of relating pulses of transcontinental mammal exchanges with Pleistocene climatic oscillations, promoting the transition from tropical rainforest to savannah-like environments in Central America as climate cooled down (</w:t>
      </w:r>
      <w:hyperlink w:anchor="fig-hypotheses">
        <w:r>
          <w:rPr>
            <w:rStyle w:val="Hyperlink"/>
          </w:rPr>
          <w:t xml:space="preserve">Figure 1</w:t>
        </w:r>
      </w:hyperlink>
      <w:r>
        <w:t xml:space="preserve">). Motivated by the migrant fossil record across both sides of the isthmus of Panama, Webb</w:t>
      </w:r>
      <w:r>
        <w:rPr>
          <w:vertAlign w:val="superscript"/>
        </w:rPr>
        <w:t xml:space="preserve">14</w:t>
      </w:r>
      <w:r>
        <w:t xml:space="preserve"> </w:t>
      </w:r>
      <w:r>
        <w:t xml:space="preserve">proposed that this climate-driven landscape opening would have facilitated the dispersal of open-adapted taxa. As those were assumed to be more numerous in North than in South America – the former continent offering more high-latitude temperate-to-cold environments than the latter –, a larger number of North American taxa would be predicted to disperse to the South than the other way around (</w:t>
      </w:r>
      <w:hyperlink w:anchor="fig-hypotheses">
        <w:r>
          <w:rPr>
            <w:rStyle w:val="Hyperlink"/>
          </w:rPr>
          <w:t xml:space="preserve">Figure 1</w:t>
        </w:r>
      </w:hyperlink>
      <w:r>
        <w:t xml:space="preserve"> </w:t>
      </w:r>
      <w:r>
        <w:t xml:space="preserve">A). The resulting exchanges would have been periodically interrupted as climate warmed up, promoting the reverse transition to rainforest in the isthmian region, with rainforests acting as a barrier for species dispersal (tropical</w:t>
      </w:r>
      <w:r>
        <w:t xml:space="preserve"> </w:t>
      </w:r>
      <w:r>
        <w:t xml:space="preserve">‘</w:t>
      </w:r>
      <w:r>
        <w:t xml:space="preserve">holding pen</w:t>
      </w:r>
      <w:r>
        <w:t xml:space="preserve">’</w:t>
      </w:r>
      <w:r>
        <w:t xml:space="preserve"> </w:t>
      </w:r>
      <w:r>
        <w:t xml:space="preserve">hypothesis)</w:t>
      </w:r>
      <w:r>
        <w:rPr>
          <w:vertAlign w:val="superscript"/>
        </w:rPr>
        <w:t xml:space="preserve">11</w:t>
      </w:r>
      <w:r>
        <w:t xml:space="preserve">. In addition, Vrba</w:t>
      </w:r>
      <w:r>
        <w:rPr>
          <w:vertAlign w:val="superscript"/>
        </w:rPr>
        <w:t xml:space="preserve">24</w:t>
      </w:r>
      <w:r>
        <w:t xml:space="preserve"> </w:t>
      </w:r>
      <w:r>
        <w:t xml:space="preserve">proposed the contraction of tropical habitats towards the equator promoted by the aforementioned periodical climatic cooling to have mechanically attracted taxa suited to tropical environments southwards (</w:t>
      </w:r>
      <w:hyperlink w:anchor="fig-hypotheses">
        <w:r>
          <w:rPr>
            <w:rStyle w:val="Hyperlink"/>
          </w:rPr>
          <w:t xml:space="preserve">Figure 1</w:t>
        </w:r>
      </w:hyperlink>
      <w:r>
        <w:t xml:space="preserve"> </w:t>
      </w:r>
      <w:r>
        <w:t xml:space="preserve">B). However, studies supporting these views have only been descriptive, tackling the issue from a pattern-oriented perspective driven by fossil data but, to our knowledge, never from a process-oriented perspective.</w:t>
      </w:r>
    </w:p>
    <w:p>
      <w:pPr>
        <w:pStyle w:val="BodyText"/>
      </w:pPr>
      <w:r>
        <w:t xml:space="preserve">Recent improvements in process-explicit modelling have marked a turning point in the study of biodiversity</w:t>
      </w:r>
      <w:r>
        <w:rPr>
          <w:vertAlign w:val="superscript"/>
        </w:rPr>
        <w:t xml:space="preserve">31</w:t>
      </w:r>
      <w:r>
        <w:t xml:space="preserve">. By combining a landscape including palaeoenvironmental variables and a set of eco-evolutionary rules according to which virtual species are simulated, mechanistic eco-evolutionary models offer the unique opportunity to causally explore how biodiversity patterns arise and are maintained through evolutionary times</w:t>
      </w:r>
      <w:r>
        <w:rPr>
          <w:vertAlign w:val="superscript"/>
        </w:rPr>
        <w:t xml:space="preserve">32</w:t>
      </w:r>
      <w:r>
        <w:t xml:space="preserve">. Recently, this class of models has provided unprecedented insights into the underlying forces behind widely-recognised biodiversity patterns, such as the latitudinal biodiversity gradient</w:t>
      </w:r>
      <w:r>
        <w:rPr>
          <w:vertAlign w:val="superscript"/>
        </w:rPr>
        <w:t xml:space="preserve">33,34</w:t>
      </w:r>
      <w:r>
        <w:t xml:space="preserve">, the diversity desequilibrium between tropical rainforests across the globe</w:t>
      </w:r>
      <w:r>
        <w:rPr>
          <w:vertAlign w:val="superscript"/>
        </w:rPr>
        <w:t xml:space="preserve">35</w:t>
      </w:r>
      <w:r>
        <w:t xml:space="preserve">, the build-up of the unique biodiversity along the Wallace line</w:t>
      </w:r>
      <w:r>
        <w:rPr>
          <w:vertAlign w:val="superscript"/>
        </w:rPr>
        <w:t xml:space="preserve">36</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37,38,39</w:t>
      </w:r>
      <w:r>
        <w:t xml:space="preserve">.</w:t>
      </w:r>
    </w:p>
    <w:p>
      <w:pPr>
        <w:pStyle w:val="BodyText"/>
      </w:pPr>
      <w:r>
        <w:t xml:space="preserve">Here, we test Webb and Vrba’s hypotheses on the role of palaeoclimate dynamics in the asymmetry of the GABI using a spatially-explicit mechanistic biodiversity simulator coupled with palaeoclimate reconstructions across the last 5 million years. Our simulations tracked the diversification of a clade originating either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newly-colonised continent, and (iii) successful interchange would be more frequently achieved among biome generalists, extratropical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33</w:t>
      </w:r>
      <w:r>
        <w:t xml:space="preserve">, a mechanistic eco-evolutionary simulator, incorporating palaeoclimatic layers (annual temperature and precipitation) covering the last 5 million years generated by the PALEO-PGEM emulator</w:t>
      </w:r>
      <w:r>
        <w:rPr>
          <w:vertAlign w:val="superscript"/>
        </w:rPr>
        <w:t xml:space="preserve">40,41</w:t>
      </w:r>
      <w:r>
        <w:t xml:space="preserve"> </w:t>
      </w:r>
      <w:r>
        <w:t xml:space="preserve">(</w:t>
      </w:r>
      <w:hyperlink w:anchor="fig-framework">
        <w:r>
          <w:rPr>
            <w:rStyle w:val="Hyperlink"/>
          </w:rPr>
          <w:t xml:space="preserve">Figure 2</w:t>
        </w:r>
      </w:hyperlink>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that the proportion of simulations successfully reaching the other continent is always higher – by approximately a factor of two – when starting from South America than from North America (</w:t>
      </w:r>
      <w:hyperlink w:anchor="fig-propsuccess">
        <w:r>
          <w:rPr>
            <w:rStyle w:val="Hyperlink"/>
          </w:rPr>
          <w:t xml:space="preserve">Figure 3</w:t>
        </w:r>
      </w:hyperlink>
      <w:r>
        <w:t xml:space="preserve">). This imbalance holds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although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This imbalance was also maintained when standardising initial distances to the isthmus of Panama for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of Panama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spatial standardisation procedure.</w:t>
      </w:r>
    </w:p>
    <w:bookmarkEnd w:id="23"/>
    <w:bookmarkStart w:id="24" w:name="X3f8917345488c3542ef7817a04a0a44ace1cdf0"/>
    <w:p>
      <w:pPr>
        <w:pStyle w:val="Heading2"/>
      </w:pPr>
      <w:r>
        <w:t xml:space="preserve">Successful establishment on the newly-colonised continent</w:t>
      </w:r>
    </w:p>
    <w:p>
      <w:pPr>
        <w:pStyle w:val="FirstParagraph"/>
      </w:pPr>
      <w:r>
        <w:t xml:space="preserve">Irrespective of the initial continent, our findings highlight that successful simulations generated under models allowing species climatic niches to evolve (</w:t>
      </w:r>
      <m:oMath>
        <m:r>
          <m:t>M</m:t>
        </m:r>
        <m:r>
          <m:t>1</m:t>
        </m:r>
        <m:r>
          <m:rPr>
            <m:sty m:val="p"/>
          </m:rPr>
          <m:t>−</m:t>
        </m:r>
        <m:r>
          <m:t>M</m:t>
        </m:r>
        <m:r>
          <m:t>3</m:t>
        </m:r>
      </m:oMath>
      <w:r>
        <w:t xml:space="preserve">) colonised a larger area on the newly-colonised continent – quantified as the ratio between the number of pixels recording a presence in the landmass to colonise and the total number of pixels in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4</w:t>
        </w:r>
      </w:hyperlink>
      <w:r>
        <w:t xml:space="preserve"> </w:t>
      </w:r>
      <w:r>
        <w:t xml:space="preserve">A). Furthermore, species of North American origin that successfully made it to South America generally colonised a greater area than those of South American origin reaching North America (</w:t>
      </w:r>
      <w:hyperlink w:anchor="fig-metrics">
        <w:r>
          <w:rPr>
            <w:rStyle w:val="Hyperlink"/>
          </w:rPr>
          <w:t xml:space="preserve">Figure 4</w:t>
        </w:r>
      </w:hyperlink>
      <w:r>
        <w:t xml:space="preserve"> </w:t>
      </w:r>
      <w:r>
        <w:t xml:space="preserve">A). This pattern is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and holds for all but the</w:t>
      </w:r>
      <w:r>
        <w:t xml:space="preserve"> </w:t>
      </w:r>
      <m:oMath>
        <m:r>
          <m:t>M</m:t>
        </m:r>
        <m:r>
          <m:t>3</m:t>
        </m:r>
      </m:oMath>
      <w:r>
        <w:t xml:space="preserve"> </w:t>
      </w:r>
      <w:r>
        <w:t xml:space="preserve">model – relaxing the precipitation constraint on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 However, due to the difference in size (</w:t>
      </w:r>
      <w:r>
        <w:rPr>
          <w:i/>
          <w:iCs/>
        </w:rPr>
        <w:t xml:space="preserve">i</w:t>
      </w:r>
      <w:r>
        <w:t xml:space="preserve">.</w:t>
      </w:r>
      <w:r>
        <w:rPr>
          <w:i/>
          <w:iCs/>
        </w:rPr>
        <w:t xml:space="preserve">e</w:t>
      </w:r>
      <w:r>
        <w:t xml:space="preserve">., number of pixels) between the two continents (</w:t>
      </w:r>
      <w:hyperlink w:anchor="fig-framework">
        <w:r>
          <w:rPr>
            <w:rStyle w:val="Hyperlink"/>
          </w:rPr>
          <w:t xml:space="preserve">Figure 2</w:t>
        </w:r>
      </w:hyperlink>
      <w:r>
        <w:t xml:space="preserve">), the actual colonised area (quantified as the number of colonised cells in our simulations) was greater when simulations generated under the</w:t>
      </w:r>
      <w:r>
        <w:t xml:space="preserve"> </w:t>
      </w:r>
      <m:oMath>
        <m:r>
          <m:t>M</m:t>
        </m:r>
        <m:r>
          <m:t>1</m:t>
        </m:r>
        <m:r>
          <m:rPr>
            <m:sty m:val="p"/>
          </m:rPr>
          <m:t>−</m:t>
        </m:r>
        <m:r>
          <m:t>3</m:t>
        </m:r>
      </m:oMath>
      <w:r>
        <w:t xml:space="preserve"> </w:t>
      </w:r>
      <w:r>
        <w:t xml:space="preserve">models started from South than North America, but remained larger when simulations were generated under</w:t>
      </w:r>
      <w:r>
        <w:t xml:space="preserve"> </w:t>
      </w:r>
      <m:oMath>
        <m:r>
          <m:t>M</m:t>
        </m:r>
        <m:r>
          <m:t>0</m:t>
        </m:r>
      </m:oMath>
      <w:r>
        <w:t xml:space="preserve"> </w:t>
      </w:r>
      <w:r>
        <w:t xml:space="preserve">started from North America (Figure S13).</w:t>
      </w:r>
    </w:p>
    <w:p>
      <w:pPr>
        <w:pStyle w:val="BodyText"/>
      </w:pPr>
      <w:r>
        <w:t xml:space="preserve">Besides, contrary to the proportion of colonised area for a given ancestral continent, colonised diversity (</w:t>
      </w:r>
      <w:r>
        <w:rPr>
          <w:i/>
          <w:iCs/>
        </w:rPr>
        <w:t xml:space="preserve">i</w:t>
      </w:r>
      <w:r>
        <w:t xml:space="preserve">.</w:t>
      </w:r>
      <w:r>
        <w:rPr>
          <w:i/>
          <w:iCs/>
        </w:rPr>
        <w:t xml:space="preserve">e</w:t>
      </w:r>
      <w:r>
        <w:t xml:space="preserve">., the number of taxa within the colonised continent) does not vary significantly across our four models. However, a significant decrease is evident in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4</w:t>
        </w:r>
      </w:hyperlink>
      <w:r>
        <w:t xml:space="preserve"> </w:t>
      </w:r>
      <w:r>
        <w:t xml:space="preserve">B). Moreover, ancestral continent does not seem to affect mean colonised 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newly-colonised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of Panama than those starting from South America (</w:t>
      </w:r>
      <w:hyperlink w:anchor="fig-metrics">
        <w:r>
          <w:rPr>
            <w:rStyle w:val="Hyperlink"/>
          </w:rPr>
          <w:t xml:space="preserve">Figure 4</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42</w:t>
      </w:r>
      <w:r>
        <w:t xml:space="preserve"> </w:t>
      </w:r>
      <w:r>
        <w:t xml:space="preserve">and Galván et al.</w:t>
      </w:r>
      <w:r>
        <w:rPr>
          <w:vertAlign w:val="superscript"/>
        </w:rPr>
        <w:t xml:space="preserve">43</w:t>
      </w:r>
      <w:r>
        <w:t xml:space="preserve">: Tropical, Arid, Temperate, Cold and Polar (</w:t>
      </w:r>
      <w:hyperlink w:anchor="fig-biome">
        <w:r>
          <w:rPr>
            <w:rStyle w:val="Hyperlink"/>
          </w:rPr>
          <w:t xml:space="preserve">Figure 5</w:t>
        </w:r>
      </w:hyperlink>
      <w:r>
        <w:t xml:space="preserve"> </w:t>
      </w:r>
      <w:r>
        <w:t xml:space="preserve">A). For each simulation, the ancestral species was therefore assigned an initial biome based on the location of the site where it originated, randomly drawn within an equal-area grid overlaying our landscape (see</w:t>
      </w:r>
      <w:r>
        <w:t xml:space="preserve"> </w:t>
      </w:r>
      <w:r>
        <w:rPr>
          <w:i/>
          <w:iCs/>
        </w:rPr>
        <w:t xml:space="preserve">STAR Methods</w:t>
      </w:r>
      <w:r>
        <w:t xml:space="preserve">). Simulations generated under the</w:t>
      </w:r>
      <w:r>
        <w:t xml:space="preserve"> </w:t>
      </w:r>
      <m:oMath>
        <m:r>
          <m:t>M</m:t>
        </m:r>
        <m:r>
          <m:t>0</m:t>
        </m:r>
      </m:oMath>
      <w:r>
        <w:t xml:space="preserve"> </w:t>
      </w:r>
      <w:r>
        <w:t xml:space="preserve">model – where climatic niche does not evolve –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5</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Panama for simulations originating in North America increased the proportion of simulations originating under low latitudes, to the detriment of those originating in high latitude, less represented in South America (</w:t>
      </w:r>
      <w:hyperlink w:anchor="fig-biome">
        <w:r>
          <w:rPr>
            <w:rStyle w:val="Hyperlink"/>
          </w:rPr>
          <w:t xml:space="preserve">Figure 5</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biomes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5</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of Panama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5</w:t>
        </w:r>
      </w:hyperlink>
      <w:r>
        <w:t xml:space="preserve"> </w:t>
      </w:r>
      <w:r>
        <w:t xml:space="preserve">C</w:t>
      </w:r>
      <w:r>
        <w:t xml:space="preserve"> </w:t>
      </w:r>
      <m:oMath>
        <m:r>
          <m:t>M</m:t>
        </m:r>
        <m:r>
          <m:t>1</m:t>
        </m:r>
        <m:r>
          <m:rPr>
            <m:sty m:val="p"/>
          </m:rPr>
          <m:t>−</m:t>
        </m:r>
        <m:r>
          <m:t>2</m:t>
        </m:r>
      </m:oMath>
      <w:r>
        <w:t xml:space="preserve">). Note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5</w:t>
        </w:r>
      </w:hyperlink>
      <w:r>
        <w:t xml:space="preserve"> </w:t>
      </w:r>
      <w:r>
        <w:t xml:space="preserve">C</w:t>
      </w:r>
      <w:r>
        <w:t xml:space="preserve"> </w:t>
      </w:r>
      <m:oMath>
        <m:r>
          <m:t>M</m:t>
        </m:r>
        <m:r>
          <m:t>3</m:t>
        </m:r>
      </m:oMath>
      <w:r>
        <w:t xml:space="preserve">). All this still holds when standardising initial distances to the isthmus of Panama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regardless of the biome where they originate (</w:t>
      </w:r>
      <w:hyperlink w:anchor="fig-biome">
        <w:r>
          <w:rPr>
            <w:rStyle w:val="Hyperlink"/>
          </w:rPr>
          <w:t xml:space="preserve">Figure 5</w:t>
        </w:r>
      </w:hyperlink>
      <w:r>
        <w:t xml:space="preserve"> </w:t>
      </w:r>
      <w:r>
        <w:t xml:space="preserve">C</w:t>
      </w:r>
      <w:r>
        <w:t xml:space="preserve"> </w:t>
      </w:r>
      <m:oMath>
        <m:r>
          <m:t>M</m:t>
        </m:r>
        <m:r>
          <m:t>1</m:t>
        </m:r>
        <m:r>
          <m:rPr>
            <m:sty m:val="p"/>
          </m:rPr>
          <m:t>−</m:t>
        </m:r>
        <m:r>
          <m:t>3</m:t>
        </m:r>
      </m:oMath>
      <w:r>
        <w:t xml:space="preserve">).</w:t>
      </w:r>
    </w:p>
    <w:bookmarkEnd w:id="25"/>
    <w:bookmarkEnd w:id="26"/>
    <w:bookmarkStart w:id="30" w:name="discussion"/>
    <w:p>
      <w:pPr>
        <w:pStyle w:val="Heading1"/>
      </w:pPr>
      <w:r>
        <w:t xml:space="preserve">Discussion</w:t>
      </w:r>
    </w:p>
    <w:bookmarkStart w:id="27" w:name="X7884168e0fb04c99a5fee66a3bc25e307eaddf5"/>
    <w:p>
      <w:pPr>
        <w:pStyle w:val="Heading2"/>
      </w:pPr>
      <w:r>
        <w:t xml:space="preserve">An inverse asymmetry of exchange driven by climate</w:t>
      </w:r>
    </w:p>
    <w:p>
      <w:pPr>
        <w:pStyle w:val="FirstParagraph"/>
      </w:pPr>
      <w:r>
        <w:t xml:space="preserve">Throughout this work, we investigated the role of palaeoclimate in the asymmetry of the GABI through the use of eco-evolutionary simulations. Based on empirical evidence, we hypothesised our virtual experiments to result in (i) a higher likelihood of southwards dispersal events (</w:t>
      </w:r>
      <w:r>
        <w:rPr>
          <w:i/>
          <w:iCs/>
        </w:rPr>
        <w:t xml:space="preserve">i</w:t>
      </w:r>
      <w:r>
        <w:t xml:space="preserve">.</w:t>
      </w:r>
      <w:r>
        <w:rPr>
          <w:i/>
          <w:iCs/>
        </w:rPr>
        <w:t xml:space="preserve">e</w:t>
      </w:r>
      <w:r>
        <w:t xml:space="preserve">., from North to South America) compared to northwards ones; (ii) more diverse and spatially spread radiations in the newly-colonised continent following successful southwards exchanges compared to northwards ones; and (iii) successful exchanges to be more frequently achieved among simulated biome generalists, temperate and arid specialists than tropical specialists.</w:t>
      </w:r>
    </w:p>
    <w:p>
      <w:pPr>
        <w:pStyle w:val="BodyText"/>
      </w:pPr>
      <w:r>
        <w:t xml:space="preserve">Probably one of our most striking findings is that, under climatic constraints alone, simulated South American lineages dispersed to the North with a significantly greater probability than the other way around (</w:t>
      </w:r>
      <w:hyperlink w:anchor="fig-propsuccess">
        <w:r>
          <w:rPr>
            <w:rStyle w:val="Hyperlink"/>
          </w:rPr>
          <w:t xml:space="preserve">Figure 3</w:t>
        </w:r>
      </w:hyperlink>
      <w:r>
        <w:t xml:space="preserve">). This therefore clearly contrasts with the long-recognised imbalanced success of North American mammal taxa compared to South Americans in the aftermath of the GABI</w:t>
      </w:r>
      <w:r>
        <w:rPr>
          <w:vertAlign w:val="superscript"/>
        </w:rPr>
        <w:t xml:space="preserve">19</w:t>
      </w:r>
      <w:r>
        <w:t xml:space="preserve">. It may suggest that the asymmetric land mammal exchange that resulted from the GABI must have been shaped by additional factors than climate alone. This result might have broader implications in biogeography, a discipline where climate has been used as the main factor explaining the distribution limits and the range dynamic of species.</w:t>
      </w:r>
    </w:p>
    <w:p>
      <w:pPr>
        <w:pStyle w:val="BodyText"/>
      </w:pPr>
      <w:r>
        <w:t xml:space="preserve">Seminal works primarily interpreted the empirically-derived asymmetry of the GABI through the lens of a continent-wide extension of the MacArthur &amp; Wilson’s equilibrium theory</w:t>
      </w:r>
      <w:r>
        <w:rPr>
          <w:vertAlign w:val="superscript"/>
        </w:rPr>
        <w:t xml:space="preserve">44</w:t>
      </w:r>
      <w:r>
        <w:t xml:space="preserve">. The latter theory establishes that, on evolutionary timescales, diversity within a given area should tend towards an equilibrium value proportional to the size of this area. Therefore, its continent-wide extension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km²). Following this framework, Marshall et al.</w:t>
      </w:r>
      <w:r>
        <w:rPr>
          <w:vertAlign w:val="superscript"/>
        </w:rPr>
        <w:t xml:space="preserve">2</w:t>
      </w:r>
      <w:r>
        <w:t xml:space="preserve"> </w:t>
      </w:r>
      <w:r>
        <w:t xml:space="preserve">argued that the continent offering the largest pool of taxa – which, according to this prediction, would be North America – would in turn have resulted in the larger number of species exchanged in the end. It might be noticed that species pool imbalance between two source areas has been identified as a key driver in the faunal exchange asymmetry that contributed to the build-up of the unique biodiversity along the Wallace line</w:t>
      </w:r>
      <w:r>
        <w:rPr>
          <w:vertAlign w:val="superscript"/>
        </w:rPr>
        <w:t xml:space="preserve">36</w:t>
      </w:r>
      <w:r>
        <w:t xml:space="preserve">.</w:t>
      </w:r>
    </w:p>
    <w:p>
      <w:pPr>
        <w:pStyle w:val="BodyText"/>
      </w:pPr>
      <w:r>
        <w:t xml:space="preserve">Nonetheless, following such a reasoning, the probability for a given taxon to cross the Panamanian landbridge is assumed to be independent from the side of the isthmus where it came from, which, interestingly, is not supported by our findings (</w:t>
      </w:r>
      <w:hyperlink w:anchor="fig-propsuccess">
        <w:r>
          <w:rPr>
            <w:rStyle w:val="Hyperlink"/>
          </w:rPr>
          <w:t xml:space="preserve">Figure 3</w:t>
        </w:r>
      </w:hyperlink>
      <w:r>
        <w:t xml:space="preserve">). In addition, this theory fails at explaining the actual imbalance in extant mammal species-level diversity between the Americas, being way larger in South than in North America</w:t>
      </w:r>
      <w:r>
        <w:rPr>
          <w:vertAlign w:val="superscript"/>
        </w:rPr>
        <w:t xml:space="preserve">45,46</w:t>
      </w:r>
      <w:r>
        <w:t xml:space="preserve">.</w:t>
      </w:r>
    </w:p>
    <w:p>
      <w:pPr>
        <w:pStyle w:val="BodyText"/>
      </w:pPr>
      <w:r>
        <w:t xml:space="preserve">Although the inverse asymmetry in climate-driven exchange across both sides of the Isthmus goes in contradiction with the mammal fossil record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w:t>
      </w:r>
      <w:r>
        <w:t xml:space="preserve">, it actually echoes inter-American exchange patterns suggested by other groups of vertebrates. For instance, the extant South American amphibian fauna is almost entirely endemic</w:t>
      </w:r>
      <w:r>
        <w:rPr>
          <w:vertAlign w:val="superscript"/>
        </w:rPr>
        <w:t xml:space="preserve">47</w:t>
      </w:r>
      <w:r>
        <w:t xml:space="preserve">. By contrast, the North American frog fauna is composed of four families of southern origin, and only three of northern origin</w:t>
      </w:r>
      <w:r>
        <w:rPr>
          <w:vertAlign w:val="superscript"/>
        </w:rPr>
        <w:t xml:space="preserve">47</w:t>
      </w:r>
      <w:r>
        <w:t xml:space="preserve">. Just like herpetofauna, tropical North American ichtyofauna has long been recognised as mainly composed of groups that originated in South America and further dispersed to the North, although most likely multiple dispersal events occurred, some of which pre-dating the closure of the isthmus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47,48,49</w:t>
      </w:r>
      <w:r>
        <w:t xml:space="preserve">. It should however be noted that, due to the requirement for connected freshwater networks, the magnitude of the faunal admixture among freshwater fishes has been greatly limited compared to land groups. Next, despite the higher dispersal abilities of birds (suggested by their mode of locomotion), phylogenetic evidence has shown a significant influence of the closure of the Panamanian Seaway in the rates of exchange between both continent’s avifaunas</w:t>
      </w:r>
      <w:r>
        <w:rPr>
          <w:vertAlign w:val="superscript"/>
        </w:rPr>
        <w:t xml:space="preserve">50,51</w:t>
      </w:r>
      <w:r>
        <w:t xml:space="preserve">. In particular, these studies suggested that transcontinental exchanges occurred symmetrically among clades inhabiting tropical regions, but interestingly, just like land mammals, diversification of extra-tropical groups to tropical regions and further dispersal to the other landmass was strongly asymmetrical in favour of North American groups</w:t>
      </w:r>
      <w:r>
        <w:rPr>
          <w:vertAlign w:val="superscript"/>
        </w:rPr>
        <w:t xml:space="preserve">49,51</w:t>
      </w:r>
      <w:r>
        <w:t xml:space="preserve">. That being said, notable exceptions of South American bird groups that successfully diversified in North America (including within temperate regions) exist, such as hummingbirds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52</w:t>
      </w:r>
      <w:r>
        <w:t xml:space="preserve">. However, the lack of fossil record for all the aforementioned groups greatly hampers the understanding of the processes behind their biogeographic history. Last, the Central American flora has been characterised as a mixture of lineages of North and South American origins, but phylogenetic evidence have suggested that the arrival of taxa from South America largely predated the established timeline of the GABI</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53</w:t>
      </w:r>
      <w:r>
        <w:t xml:space="preserve">. Nevertheless, the orchid flora of the Chocó region, bridging the north-western coast of South America and southern Panama, was found to be primarily made up with Andean − thus, South American − lineages that radiated locally not earlier than 5 million years ago</w:t>
      </w:r>
      <w:r>
        <w:rPr>
          <w:vertAlign w:val="superscript"/>
        </w:rPr>
        <w:t xml:space="preserve">54</w:t>
      </w:r>
      <w:r>
        <w:t xml:space="preserve">.</w:t>
      </w:r>
    </w:p>
    <w:bookmarkEnd w:id="27"/>
    <w:bookmarkStart w:id="28" w:name="X7b3b63bb3145a2ec4443db944233242b9757c90"/>
    <w:p>
      <w:pPr>
        <w:pStyle w:val="Heading2"/>
      </w:pPr>
      <w:r>
        <w:t xml:space="preserve">Revisiting climatic paradigms of the Great American Biotic Interchange</w:t>
      </w:r>
    </w:p>
    <w:p>
      <w:pPr>
        <w:pStyle w:val="FirstParagraph"/>
      </w:pPr>
      <w:r>
        <w:t xml:space="preserve">One of the predictions of Vrba’s resource-use hypotheses, formulated within the framework of habitat theory and applied to the GABI, is that tropical specialists would have been naturally attracted towards the equator following the contraction of the tropical belt in the aftermath of the global cooling occurring at the Plio-Pleistocene boundary (</w:t>
      </w:r>
      <w:hyperlink w:anchor="fig-hypotheses">
        <w:r>
          <w:rPr>
            <w:rStyle w:val="Hyperlink"/>
          </w:rPr>
          <w:t xml:space="preserve">Figure 1</w:t>
        </w:r>
      </w:hyperlink>
      <w:r>
        <w:t xml:space="preserve"> </w:t>
      </w:r>
      <w:r>
        <w:t xml:space="preserve">B;</w:t>
      </w:r>
      <w:r>
        <w:t xml:space="preserve"> </w:t>
      </w:r>
      <w:hyperlink w:anchor="fig-framework">
        <w:r>
          <w:rPr>
            <w:rStyle w:val="Hyperlink"/>
          </w:rPr>
          <w:t xml:space="preserve">Figure 2</w:t>
        </w:r>
      </w:hyperlink>
      <w:r>
        <w:t xml:space="preserve">, from</w:t>
      </w:r>
      <w:r>
        <w:t xml:space="preserve"> </w:t>
      </w:r>
      <w:r>
        <w:rPr>
          <w:i/>
          <w:iCs/>
        </w:rPr>
        <w:t xml:space="preserve">ca</w:t>
      </w:r>
      <w:r>
        <w:t xml:space="preserve">. 3 Ma). This would have actively promoted the establishment of North American tropical specialists in South America</w:t>
      </w:r>
      <w:r>
        <w:rPr>
          <w:vertAlign w:val="superscript"/>
        </w:rPr>
        <w:t xml:space="preserve">24</w:t>
      </w:r>
      <w:r>
        <w:t xml:space="preserve">. This prediction meets the</w:t>
      </w:r>
      <w:r>
        <w:t xml:space="preserve"> </w:t>
      </w:r>
      <w:r>
        <w:t xml:space="preserve">‘</w:t>
      </w:r>
      <w:r>
        <w:t xml:space="preserve">tropical refugia</w:t>
      </w:r>
      <w:r>
        <w:t xml:space="preserve">’</w:t>
      </w:r>
      <w:r>
        <w:t xml:space="preserve"> </w:t>
      </w:r>
      <w:r>
        <w:t xml:space="preserve">hypothesis formulated a few decades earlier</w:t>
      </w:r>
      <w:r>
        <w:rPr>
          <w:vertAlign w:val="superscript"/>
        </w:rPr>
        <w:t xml:space="preserve">55</w:t>
      </w:r>
      <w:r>
        <w:t xml:space="preserve">. The latter hypothesis views the high diversity in the (Neo)tropics as a result of past climatic fragmentation of the tropical climatic region, generating discontinuities within populations of tropical taxa. In case of climatic disruption, tropical taxa would therefore follow the contraction-expansion of their habitat, in turn driving speciation by vicariance on evolutionary timescales</w:t>
      </w:r>
      <w:r>
        <w:rPr>
          <w:vertAlign w:val="superscript"/>
        </w:rPr>
        <w:t xml:space="preserve">55</w:t>
      </w:r>
      <w:r>
        <w:t xml:space="preserve">. Here, our virtual experiments partially corroborate these historical predictions. Indeed, simulated tropical generalists of North American origin – coming from simulations starting in the North American tropical biome and of which climatic niche could not evolve, model</w:t>
      </w:r>
      <w:r>
        <w:t xml:space="preserve"> </w:t>
      </w:r>
      <m:oMath>
        <m:r>
          <m:t>M</m:t>
        </m:r>
        <m:r>
          <m:t>0</m:t>
        </m:r>
      </m:oMath>
      <w:r>
        <w:t xml:space="preserve"> </w:t>
      </w:r>
      <w:r>
        <w:t xml:space="preserve">– were found to have a high prevalence of crossing the isthmus (</w:t>
      </w:r>
      <w:hyperlink w:anchor="fig-biome">
        <w:r>
          <w:rPr>
            <w:rStyle w:val="Hyperlink"/>
          </w:rPr>
          <w:t xml:space="preserve">Figure 5</w:t>
        </w:r>
      </w:hyperlink>
      <w:r>
        <w:t xml:space="preserve"> </w:t>
      </w:r>
      <w:r>
        <w:t xml:space="preserve">C, model</w:t>
      </w:r>
      <w:r>
        <w:t xml:space="preserve"> </w:t>
      </w:r>
      <m:oMath>
        <m:r>
          <m:t>M</m:t>
        </m:r>
        <m:r>
          <m:t>0</m:t>
        </m:r>
      </m:oMath>
      <w:r>
        <w:t xml:space="preserve">). However, the prevalence of tropical specialists from South America to disperse to the North was found to be almost equally-high, largely exceeding that of other biome specialists (</w:t>
      </w:r>
      <w:hyperlink w:anchor="fig-biome">
        <w:r>
          <w:rPr>
            <w:rStyle w:val="Hyperlink"/>
          </w:rPr>
          <w:t xml:space="preserve">Figure 5</w:t>
        </w:r>
      </w:hyperlink>
      <w:r>
        <w:t xml:space="preserve"> </w:t>
      </w:r>
      <w:r>
        <w:t xml:space="preserve">C, model</w:t>
      </w:r>
      <w:r>
        <w:t xml:space="preserve"> </w:t>
      </w:r>
      <m:oMath>
        <m:r>
          <m:t>M</m:t>
        </m:r>
        <m:r>
          <m:t>0</m:t>
        </m:r>
      </m:oMath>
      <w:r>
        <w:t xml:space="preserve">). This goes against Vrba’s seminal hypothesis, instead predicting that fewer mammals – only biome generalists or open-habitat specialists – from South America would be expected to roam the other way around in case of tropical contraction towards the equator. This finding could reflect an attenuated magnitude of the climatic fragmentation of the Panamanian region when compared to historical biome reconstructions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14</w:t>
      </w:r>
      <w:r>
        <w:t xml:space="preserve">, with the persistence of a tropical corridor in turn promoting the exchange of tropical specialists between both landmasses.</w:t>
      </w:r>
    </w:p>
    <w:p>
      <w:pPr>
        <w:pStyle w:val="BodyText"/>
      </w:pPr>
      <w:r>
        <w:t xml:space="preserve">On average, one simulated radiation of open biome –</w:t>
      </w:r>
      <w:r>
        <w:t xml:space="preserve"> </w:t>
      </w:r>
      <w:r>
        <w:rPr>
          <w:i/>
          <w:iCs/>
        </w:rPr>
        <w:t xml:space="preserve">i</w:t>
      </w:r>
      <w:r>
        <w:t xml:space="preserve">.</w:t>
      </w:r>
      <w:r>
        <w:rPr>
          <w:i/>
          <w:iCs/>
        </w:rPr>
        <w:t xml:space="preserve">e</w:t>
      </w:r>
      <w:r>
        <w:t xml:space="preserve">., arid or temperate – specialists out of four resulted in a successful exchange, irrespective of its ancestral continent (</w:t>
      </w:r>
      <w:hyperlink w:anchor="fig-biome">
        <w:r>
          <w:rPr>
            <w:rStyle w:val="Hyperlink"/>
          </w:rPr>
          <w:t xml:space="preserve">Figure 5</w:t>
        </w:r>
      </w:hyperlink>
      <w:r>
        <w:t xml:space="preserve"> </w:t>
      </w:r>
      <w:r>
        <w:t xml:space="preserve">C, model</w:t>
      </w:r>
      <w:r>
        <w:t xml:space="preserve"> </w:t>
      </w:r>
      <m:oMath>
        <m:r>
          <m:t>M</m:t>
        </m:r>
        <m:r>
          <m:t>0</m:t>
        </m:r>
      </m:oMath>
      <w:r>
        <w:t xml:space="preserve">). This proportion is significantly lower than that obtained for tropical specialists. Yet, it has long been acknowledged that the migrant fossil record across both sides of the isthmus was essentially composed of taxa showing affinity with open biomes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w:t>
      </w:r>
      <w:r>
        <w:t xml:space="preserve">. Among the most emblematic, we find for instance equids, proboscids or camelids on the South American side, and ground sloths, toxodontids or glyptodontids on the North American side. The co-occurrence of distinct taxa in temporally well-delimited fossil assemblages led palaeontologists to postulate that the GABI was in fact a succession of exchange pulses punctuated by phases of interruption, further related to the climate-driven oscillations between savannah and rainforest in Central America during the Pleistocene</w:t>
      </w:r>
      <w:r>
        <w:rPr>
          <w:vertAlign w:val="superscript"/>
        </w:rPr>
        <w:t xml:space="preserve">14</w:t>
      </w:r>
      <w:r>
        <w:t xml:space="preserve">. Under such an assumption, the majority of exchanged taxa would therefore have ecologies suited to open habitats, and would have preferentially dispersed during Pleistocene glaciations</w:t>
      </w:r>
      <w:r>
        <w:rPr>
          <w:vertAlign w:val="superscript"/>
        </w:rPr>
        <w:t xml:space="preserve">11,13</w:t>
      </w:r>
      <w:r>
        <w:t xml:space="preserve"> </w:t>
      </w:r>
      <w:r>
        <w:t xml:space="preserve">(</w:t>
      </w:r>
      <w:hyperlink w:anchor="fig-hypotheses">
        <w:r>
          <w:rPr>
            <w:rStyle w:val="Hyperlink"/>
          </w:rPr>
          <w:t xml:space="preserve">Figure 1</w:t>
        </w:r>
      </w:hyperlink>
      <w:r>
        <w:t xml:space="preserve"> </w:t>
      </w:r>
      <w:r>
        <w:t xml:space="preserve">A). As mentioned by Weir</w:t>
      </w:r>
      <w:r>
        <w:rPr>
          <w:vertAlign w:val="superscript"/>
        </w:rPr>
        <w:t xml:space="preserve">50</w:t>
      </w:r>
      <w:r>
        <w:t xml:space="preserve">, the American mammal fossil record is highly biased, with few occurrences coming from low-latitude tropical regions, which is particularly striking in South America</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56,57</w:t>
      </w:r>
      <w:r>
        <w:t xml:space="preserve">. Furthermore, evidence from extant mammal taxa suggest a strong tropical niche conservatism, that is, the trend according to which newly-originated tropical taxa would remain inhabiting under tropical climates</w:t>
      </w:r>
      <w:r>
        <w:rPr>
          <w:vertAlign w:val="superscript"/>
        </w:rPr>
        <w:t xml:space="preserve">49,58</w:t>
      </w:r>
      <w:r>
        <w:t xml:space="preserve">. Thus, the fossil-derived number of mammal exchanges must have been greatly underestimated, with little fossil evidence of interchange constrained to the tropical biome, as stressed by Carrillo</w:t>
      </w:r>
      <w:r>
        <w:rPr>
          <w:vertAlign w:val="superscript"/>
        </w:rPr>
        <w:t xml:space="preserve">16</w:t>
      </w:r>
      <w:r>
        <w:t xml:space="preserve">. Thus, one can wonder: could the empirically-derived migration imbalance in favour of North American taxa dispersing southwards be altered by the tropical niche conservatism of south-to-north migrants, thereby obscuring the actual number of intercontinental exchanges?</w:t>
      </w:r>
    </w:p>
    <w:p>
      <w:pPr>
        <w:pStyle w:val="BodyText"/>
      </w:pPr>
      <w:r>
        <w:t xml:space="preserve">Our findings revealed that radiations following a colonisation of South America were more spatially spread than those arising from a northwards dispersal, except for simulations generated under the</w:t>
      </w:r>
      <w:r>
        <w:t xml:space="preserve"> </w:t>
      </w:r>
      <m:oMath>
        <m:r>
          <m:t>M</m:t>
        </m:r>
        <m:r>
          <m:t>3</m:t>
        </m:r>
      </m:oMath>
      <w:r>
        <w:t xml:space="preserve"> </w:t>
      </w:r>
      <w:r>
        <w:t xml:space="preserve">model (</w:t>
      </w:r>
      <w:hyperlink w:anchor="fig-metrics">
        <w:r>
          <w:rPr>
            <w:rStyle w:val="Hyperlink"/>
          </w:rPr>
          <w:t xml:space="preserve">Figure 4</w:t>
        </w:r>
      </w:hyperlink>
      <w:r>
        <w:t xml:space="preserve"> </w:t>
      </w:r>
      <w:r>
        <w:t xml:space="preserve">A). The spatial spread of a migrant radiation was measured by the proportion of cells occupied within the newly-colonised continent relative to the size of the latter. When focusing on the absolute number of cells colonised – therefore without controlling for the area, in terms of number of cells, of the newly-colonised continent – such a finding only holds for successful simulations generated under</w:t>
      </w:r>
      <w:r>
        <w:t xml:space="preserve"> </w:t>
      </w:r>
      <m:oMath>
        <m:r>
          <m:t>M</m:t>
        </m:r>
        <m:r>
          <m:t>0</m:t>
        </m:r>
      </m:oMath>
      <w:r>
        <w:t xml:space="preserve"> </w:t>
      </w:r>
      <w:r>
        <w:t xml:space="preserve">(Figure S13). This mirrors the fact that simulated tropical specialists from South America were more intensively exchanged than other simulated biome specialists (</w:t>
      </w:r>
      <w:hyperlink w:anchor="fig-biome">
        <w:r>
          <w:rPr>
            <w:rStyle w:val="Hyperlink"/>
          </w:rPr>
          <w:t xml:space="preserve">Figure 5</w:t>
        </w:r>
      </w:hyperlink>
      <w:r>
        <w:t xml:space="preserve"> </w:t>
      </w:r>
      <w:r>
        <w:t xml:space="preserve">C). The imposed tropical niche conservatism therefore constrained them to remain in tropical regions of North America, that are less represented in tropical North America than in South America (</w:t>
      </w:r>
      <w:hyperlink w:anchor="fig-biome">
        <w:r>
          <w:rPr>
            <w:rStyle w:val="Hyperlink"/>
          </w:rPr>
          <w:t xml:space="preserve">Figure 5</w:t>
        </w:r>
      </w:hyperlink>
      <w:r>
        <w:t xml:space="preserve"> </w:t>
      </w:r>
      <w:r>
        <w:t xml:space="preserve">A). This adds some evidence supporting the fact that climate would have permitted South-to-North tropical exchanges to take place, but might have been obscured by a subsequent taphonomic bias in the fossil record, as suggested by studies relying on dated phylogenies</w:t>
      </w:r>
      <w:r>
        <w:rPr>
          <w:vertAlign w:val="superscript"/>
        </w:rPr>
        <w:t xml:space="preserve">12,16</w:t>
      </w:r>
      <w:r>
        <w:t xml:space="preserve">. Hence, our study calls for thinking about the distinction between the ability to disperse towards, and ability to maintain within the foreign area. Those two distinct processes may have been ruled by different factors.</w:t>
      </w:r>
    </w:p>
    <w:p>
      <w:pPr>
        <w:pStyle w:val="BodyText"/>
      </w:pPr>
      <w:r>
        <w:t xml:space="preserve">We tested tropical niche conservatism (Figure S12 and S14)</w:t>
      </w:r>
    </w:p>
    <w:p>
      <w:pPr>
        <w:pStyle w:val="BodyText"/>
      </w:pPr>
      <w:r>
        <w:t xml:space="preserve">Our simulations cast doubt on the interplay between the aforementioned exchange pulses and temperature fluctuations, as exemplified by the combined times of occurrence of all successful exchanges (either southwards or northwards, depending on whether the simulation started from North or South America) occurring in all the simulations generated under a given landmass-scenario combination (Figure S11). In the case of northwards dispersal events, a gradual increase in exchange frequency from the Plio-Pleistocene boundary onwards is to be reported (Figure S11,</w:t>
      </w:r>
      <w:r>
        <w:t xml:space="preserve"> </w:t>
      </w:r>
      <w:r>
        <w:rPr>
          <w:i/>
          <w:iCs/>
        </w:rPr>
        <w:t xml:space="preserve">right</w:t>
      </w:r>
      <w:r>
        <w:t xml:space="preserve">). This might reflect the average waiting time that virtual radiations take to reach the isthmian zone, directly proportional to their initial distance to the isthmus (Figure S4−5). Note that this explanation does not invoke any implication of climate. Regarding southwards exchanges, the same pattern seems to arise for simulations generated under the</w:t>
      </w:r>
      <w:r>
        <w:t xml:space="preserve"> </w:t>
      </w:r>
      <m:oMath>
        <m:r>
          <m:t>M</m:t>
        </m:r>
        <m:r>
          <m:t>1</m:t>
        </m:r>
      </m:oMath>
      <w:r>
        <w:t xml:space="preserve"> </w:t>
      </w:r>
      <w:r>
        <w:t xml:space="preserve">model, but not under</w:t>
      </w:r>
      <w:r>
        <w:t xml:space="preserve"> </w:t>
      </w:r>
      <m:oMath>
        <m:r>
          <m:t>M</m:t>
        </m:r>
        <m:r>
          <m:t>0</m:t>
        </m:r>
      </m:oMath>
      <w:r>
        <w:t xml:space="preserve"> </w:t>
      </w:r>
      <w:r>
        <w:t xml:space="preserve">(Figure S11). The distribution of the exchange times in the latter case rather exhibits sporadic pulses</w:t>
      </w:r>
      <w:r>
        <w:t xml:space="preserve"> </w:t>
      </w:r>
      <w:r>
        <w:rPr>
          <w:i/>
          <w:iCs/>
        </w:rPr>
        <w:t xml:space="preserve">ca.</w:t>
      </w:r>
      <w:r>
        <w:t xml:space="preserve"> </w:t>
      </w:r>
      <w:r>
        <w:t xml:space="preserve">0.2, 0.5, 0.8, 1.2, 1.9, 2.5 Ma, which could match with some temperature minima, but accurately testing such an observation would require additional data. Rather, the sporadic character of exchange pulses in that case could simply come from the relatively low amount of successful simulations as compared to other modelling scenarios (Table S3). Overall, our simulations suggest that the relationship between temperature minima and pulses of faunal exchange between the Americas seems to be more complex than previously stated</w:t>
      </w:r>
      <w:r>
        <w:t xml:space="preserve"> </w:t>
      </w:r>
      <m:oMath>
        <m:sSup>
          <m:e>
            <m:r>
              <m:t>​</m:t>
            </m:r>
          </m:e>
          <m:sup>
            <m:r>
              <m:t>e</m:t>
            </m:r>
            <m:r>
              <m:rPr>
                <m:sty m:val="p"/>
              </m:rPr>
              <m:t>.</m:t>
            </m:r>
            <m:r>
              <m:t>g</m:t>
            </m:r>
            <m:r>
              <m:rPr>
                <m:sty m:val="p"/>
              </m:rPr>
              <m:t>.</m:t>
            </m:r>
            <m:r>
              <m:rPr>
                <m:sty m:val="p"/>
              </m:rPr>
              <m:t>,</m:t>
            </m:r>
          </m:sup>
        </m:sSup>
      </m:oMath>
      <w:r>
        <w:rPr>
          <w:vertAlign w:val="superscript"/>
        </w:rPr>
        <w:t xml:space="preserve">11,14,24,29,30</w:t>
      </w:r>
      <w:r>
        <w:t xml:space="preserve">.</w:t>
      </w:r>
    </w:p>
    <w:p>
      <w:pPr>
        <w:pStyle w:val="BodyText"/>
      </w:pPr>
      <w:r>
        <w:t xml:space="preserve">Our findings nevertheless leave some space for possible random effects purely related to geography. Indeed, irrespective of the initial landmass, successful simulations originated on average closer to the isthmus of Panama than unsuccessful ones (Figures S6–7). This may suggest that some simulations were unsuccessful not only because of climatic filters, but also because they simply started too far from the landbridge and did not have the chance to reach it throughout the duration of the simulation. The relationship between the success of a taxon to make it to the other continent and the distance between its geographic range and the isthmus of Panama has long been postulated in the literature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19</w:t>
      </w:r>
      <w:r>
        <w:t xml:space="preserve">. Webb</w:t>
      </w:r>
      <w:r>
        <w:rPr>
          <w:vertAlign w:val="superscript"/>
        </w:rPr>
        <w:t xml:space="preserve">14</w:t>
      </w:r>
      <w:r>
        <w:t xml:space="preserve"> </w:t>
      </w:r>
      <w:r>
        <w:t xml:space="preserve">greatly illustrated this view with the example of antilocaprids, that</w:t>
      </w:r>
      <w:r>
        <w:t xml:space="preserve"> </w:t>
      </w:r>
      <w:r>
        <w:t xml:space="preserve">“</w:t>
      </w:r>
      <w:r>
        <w:t xml:space="preserve">were probably capable of living somewhere in the Andes, [but] were simply too far from the isthmian link to make the exodus</w:t>
      </w:r>
      <w:r>
        <w:t xml:space="preserve">”</w:t>
      </w:r>
      <w:r>
        <w:t xml:space="preserve">. Pursuing such a reasoning, a recent study characterised a negative correlation between the proportion of migrant taxa within fossil assemblages of either North or South America and the distance of the fossil assemblage to the Panamanian landbridge</w:t>
      </w:r>
      <w:r>
        <w:rPr>
          <w:vertAlign w:val="superscript"/>
        </w:rPr>
        <w:t xml:space="preserve">59</w:t>
      </w:r>
      <w:r>
        <w:t xml:space="preserve">. Therefore, geographic contingency must have also had a significant role to play in the asymmetry of the GABI.</w:t>
      </w:r>
    </w:p>
    <w:bookmarkEnd w:id="28"/>
    <w:bookmarkStart w:id="29" w:name="limitations-and-perspectives"/>
    <w:p>
      <w:pPr>
        <w:pStyle w:val="Heading2"/>
      </w:pPr>
      <w:r>
        <w:t xml:space="preserve">Limitations and perspectives</w:t>
      </w:r>
    </w:p>
    <w:p>
      <w:pPr>
        <w:pStyle w:val="FirstParagraph"/>
      </w:pPr>
      <w:r>
        <w:t xml:space="preserve">Differences in the pace at which migrant and native lineages diversified have long been proposed to play a significant role in the asymmetry of the GABI. By reconstructing raw macroevolutionary dynamics from the fossil record, Marshall et al.</w:t>
      </w:r>
      <w:r>
        <w:rPr>
          <w:vertAlign w:val="superscript"/>
        </w:rPr>
        <w:t xml:space="preserve">2</w:t>
      </w:r>
      <w:r>
        <w:t xml:space="preserve"> </w:t>
      </w:r>
      <w:r>
        <w:t xml:space="preserve">highlighted that northern immigrant genera experienced notoriously higher origination and lower extinction rates than native lineages in South America. More recently, using a Bayesian framework accounting for preservation heterogeneities to infer fossil-based macroevolutionary trends, Carrillo et al.</w:t>
      </w:r>
      <w:r>
        <w:rPr>
          <w:vertAlign w:val="superscript"/>
        </w:rPr>
        <w:t xml:space="preserve">16</w:t>
      </w:r>
      <w:r>
        <w:t xml:space="preserve"> </w:t>
      </w:r>
      <w:r>
        <w:t xml:space="preserve">showed that the asymmetry of the GABI was not due to differences in origination or dispersal rates, but rather in extinction rates: native South American lineages experienced more extinctions in their home range than migrant lineages. In our simulations, for a species to go extinct, it needs to disappear from each cell across the landscape. As environmental filtering – in our case, the only force driving diversification – acts at the scale of a pixel, species extinction is therefore very rare. As a result, our framework did not allow us to relate the simulated environment-dependent inter-American faunal exchange with any diversification process. Realistic modelling of macroevolutionary processes is therefore an avenue towards improvements among mechanistic eco-evolutionary simulators, particularly in the framework of the GABI.</w:t>
      </w:r>
    </w:p>
    <w:p>
      <w:pPr>
        <w:pStyle w:val="BodyText"/>
      </w:pPr>
      <w:r>
        <w:t xml:space="preserve">Also, we evidenced a nuance between the proportion of colonised area and the absolute colonised area (</w:t>
      </w:r>
      <w:hyperlink w:anchor="fig-metrics">
        <w:r>
          <w:rPr>
            <w:rStyle w:val="Hyperlink"/>
          </w:rPr>
          <w:t xml:space="preserve">Figure 4</w:t>
        </w:r>
      </w:hyperlink>
      <w:r>
        <w:t xml:space="preserve"> </w:t>
      </w:r>
      <w:r>
        <w:t xml:space="preserve">and S13) simply comes from the imbalanced number of pixels between the two landmasses, being around two times larger for North America than for South America (</w:t>
      </w:r>
      <w:hyperlink w:anchor="fig-framework">
        <w:r>
          <w:rPr>
            <w:rStyle w:val="Hyperlink"/>
          </w:rPr>
          <w:t xml:space="preserve">Figure 2</w:t>
        </w:r>
      </w:hyperlink>
      <w:r>
        <w:t xml:space="preserve">). A possible avenue to avoid such confusions when carrying eco-evolutionary simulations at such a broad spatial scale (here from</w:t>
      </w:r>
      <w:r>
        <w:t xml:space="preserve"> </w:t>
      </w:r>
      <w:r>
        <w:rPr>
          <w:i/>
          <w:iCs/>
        </w:rPr>
        <w:t xml:space="preserve">ca</w:t>
      </w:r>
      <w:r>
        <w:t xml:space="preserve">. 80° N to</w:t>
      </w:r>
      <w:r>
        <w:t xml:space="preserve"> </w:t>
      </w:r>
      <w:r>
        <w:rPr>
          <w:i/>
          <w:iCs/>
        </w:rPr>
        <w:t xml:space="preserve">ca</w:t>
      </w:r>
      <w:r>
        <w:t xml:space="preserve">. 40° S lat) would be to use equal-area landscapes. In our case, this would require conversions in the palaeoclimate simulations that we use, as well as adapting dispersal probabilities based on actual distances rather than equal-degree pixels.</w:t>
      </w:r>
    </w:p>
    <w:p>
      <w:pPr>
        <w:pStyle w:val="BodyText"/>
      </w:pPr>
      <w:r>
        <w:t xml:space="preserve">In addition, the main message of our study is that climate alone is not sufficient to explain the asymmetry of the GABI. This suggests that other factors, unaccounted here, might have been at work to shape the uneven faunal exchange that occurred across the Americas.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17</w:t>
      </w:r>
      <w:r>
        <w:t xml:space="preserve"> </w:t>
      </w:r>
      <w:r>
        <w:t xml:space="preserve">or sparassodonts – metatherian predators</w:t>
      </w:r>
      <w:r>
        <w:rPr>
          <w:vertAlign w:val="superscript"/>
        </w:rPr>
        <w:t xml:space="preserve">60</w:t>
      </w:r>
      <w:r>
        <w:t xml:space="preserve"> </w:t>
      </w:r>
      <w:r>
        <w:t xml:space="preserve">– that followed the establishment of northern lineages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19</w:t>
      </w:r>
      <w:r>
        <w:t xml:space="preserve">. Convinced that the overwhelming success of North American mammals in South America could</w:t>
      </w:r>
      <w:r>
        <w:t xml:space="preserve"> </w:t>
      </w:r>
      <w:r>
        <w:t xml:space="preserve">“</w:t>
      </w:r>
      <w:r>
        <w:rPr>
          <w:i/>
          <w:iCs/>
        </w:rPr>
        <w:t xml:space="preserve">not be pure coincidence</w:t>
      </w:r>
      <w:r>
        <w:t xml:space="preserve">”</w:t>
      </w:r>
      <w:r>
        <w:t xml:space="preserve">, Simpson</w:t>
      </w:r>
      <w:r>
        <w:rPr>
          <w:vertAlign w:val="superscript"/>
        </w:rPr>
        <w:t xml:space="preserve">61</w:t>
      </w:r>
      <w:r>
        <w:t xml:space="preserve"> </w:t>
      </w:r>
      <w:r>
        <w:t xml:space="preserve">proposed this imbalance to come from the different levels of connectivity with other landmasses between North and South America throughout the Cenozoic. Whereas South America mostly evolved as an isolated continent, North America has been repeatedly connected to other landmasses, promoting faunal exchanges. Lineages that maintained in the aftermath of such connection therefore had to cope with eventual competition with other groups, which was not the case of South American fauna. However, several process-based analyses of the fossil record provided no evidence for biotic interactions involving native South American mammals and their northern counterparts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25,26</w:t>
      </w:r>
      <w:r>
        <w:t xml:space="preserve">. Hence, incorporating biotic compounds in mechanistic frameworks such as the one we have implemented here would be a worthy avenue for future studies tackling the asymmetry behind the GABI.</w:t>
      </w:r>
    </w:p>
    <w:p>
      <w:pPr>
        <w:pStyle w:val="BodyText"/>
      </w:pPr>
      <w:r>
        <w:t xml:space="preserve">Last, the landscape designed for the purpose of this study (</w:t>
      </w:r>
      <w:hyperlink w:anchor="fig-framework">
        <w:r>
          <w:rPr>
            <w:rStyle w:val="Hyperlink"/>
          </w:rPr>
          <w:t xml:space="preserve">Figure 2</w:t>
        </w:r>
      </w:hyperlink>
      <w:r>
        <w:t xml:space="preserve">) only permitted transcontinental faunal exchange via the isthmus of Panama, the closure of which being assumed to be the main trigger of the GABI</w:t>
      </w:r>
      <w:r>
        <w:rPr>
          <w:vertAlign w:val="superscript"/>
        </w:rPr>
        <w:t xml:space="preserve">2</w:t>
      </w:r>
      <w:r>
        <w:t xml:space="preserve">. Yet, the fossil record of the Caribbean Islands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62,63</w:t>
      </w:r>
      <w:r>
        <w:t xml:space="preserve">. Although over-water dispersal has long been regarded as the prevailing mechanism</w:t>
      </w:r>
      <w:r>
        <w:rPr>
          <w:vertAlign w:val="superscript"/>
        </w:rPr>
        <w:t xml:space="preserve">62</w:t>
      </w:r>
      <w:r>
        <w:t xml:space="preserve">, recent geological advances have provided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64</w:t>
      </w:r>
      <w:r>
        <w:t xml:space="preserve">. Hence, it would make sense to consider the Caribbean Islands as an alternative dispersal pathway between the Americas, as shown to be the case in earlier time frames, for instance, near the Eocene–Oligocene boundary (</w:t>
      </w:r>
      <w:r>
        <w:rPr>
          <w:i/>
          <w:iCs/>
        </w:rPr>
        <w:t xml:space="preserve">i</w:t>
      </w:r>
      <w:r>
        <w:t xml:space="preserve">.</w:t>
      </w:r>
      <w:r>
        <w:rPr>
          <w:i/>
          <w:iCs/>
        </w:rPr>
        <w:t xml:space="preserve">e</w:t>
      </w:r>
      <w:r>
        <w:t xml:space="preserve">., GAARlandia hypothesis)</w:t>
      </w:r>
      <w:r>
        <w:rPr>
          <w:vertAlign w:val="superscript"/>
        </w:rPr>
        <w:t xml:space="preserve">64,65</w:t>
      </w:r>
      <w:r>
        <w:t xml:space="preserve">.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66</w:t>
      </w:r>
      <w:r>
        <w:t xml:space="preserve"> </w:t>
      </w:r>
      <w:r>
        <w:t xml:space="preserve">as well as the poor mention of the Caribbean Islands as a stepping-stone in the literature of the GABI, we believe that considering this alternative route in our framework would rather deserve to be the topic of another study.</w:t>
      </w:r>
    </w:p>
    <w:p>
      <w:pPr>
        <w:pStyle w:val="BodyText"/>
      </w:pPr>
      <w:r>
        <w:t xml:space="preserve">In summary, our findings do not support hypotheses exclusively relating the asymmetry of the GABI to palaeoclimate dynamics. Rather, our virtual experiments suggest that palaeoclimate would not have acted against exchange between tropical faunas of both continents, in turn stressing that the tropics did not act as a barrier, as previously stated. As they largely rely on the mammal fossil record, hypotheses relating the asymmetry of the GABI to palaeoclimate dynamics must have been affected by taphonomic bias, given the scarcity of fossil material in the tropical areas of the Americas. All this ultimately suggests that, despite being virtually able to make it to the other landmass, other factors unconsidered here must have been at play to prevent the establishment of endemic land mammals from South America in the other continent, in turn shaping the imbalance of the GABI.</w:t>
      </w:r>
    </w:p>
    <w:p>
      <w:r>
        <w:br w:type="page"/>
      </w:r>
    </w:p>
    <w:bookmarkEnd w:id="29"/>
    <w:bookmarkEnd w:id="30"/>
    <w:bookmarkStart w:id="31" w:name="acknowledgements"/>
    <w:p>
      <w:pPr>
        <w:pStyle w:val="Heading1"/>
      </w:pPr>
      <w:r>
        <w:t xml:space="preserve">Acknowledgements</w:t>
      </w:r>
    </w:p>
    <w:p>
      <w:pPr>
        <w:pStyle w:val="FirstParagraph"/>
      </w:pPr>
      <w:r>
        <w:t xml:space="preserve">We thank Adrián Castro Insua for his useful guidelines and recommendations at the onset of the project. We thank Céline Devaux for her useful feedback on the present work. L.B. was funded by a grant offered by the École Normale Supérieure de Lyon.</w:t>
      </w:r>
    </w:p>
    <w:bookmarkEnd w:id="31"/>
    <w:bookmarkStart w:id="32" w:name="author-contribution"/>
    <w:p>
      <w:pPr>
        <w:pStyle w:val="Heading1"/>
      </w:pPr>
      <w:r>
        <w:t xml:space="preserve">Author Contribution</w:t>
      </w:r>
    </w:p>
    <w:p>
      <w:pPr>
        <w:pStyle w:val="FirstParagraph"/>
      </w:pPr>
      <w:r>
        <w:t xml:space="preserve">S.V. and L.B. designed the project. L.B. ran the simulations, performed the analyses, produced the figures and wrote the manuscript with inputs from all co-authors.</w:t>
      </w:r>
    </w:p>
    <w:bookmarkEnd w:id="32"/>
    <w:bookmarkStart w:id="33" w:name="declaration-of-interests"/>
    <w:p>
      <w:pPr>
        <w:pStyle w:val="Heading1"/>
      </w:pPr>
      <w:r>
        <w:t xml:space="preserve">Declaration of Interests</w:t>
      </w:r>
    </w:p>
    <w:p>
      <w:pPr>
        <w:pStyle w:val="FirstParagraph"/>
      </w:pPr>
      <w:r>
        <w:t xml:space="preserve">The authors declare having no competing interests.</w:t>
      </w:r>
    </w:p>
    <w:p>
      <w:r>
        <w:br w:type="page"/>
      </w:r>
    </w:p>
    <w:bookmarkEnd w:id="33"/>
    <w:bookmarkStart w:id="161" w:name="references"/>
    <w:p>
      <w:pPr>
        <w:pStyle w:val="Heading1"/>
      </w:pPr>
      <w:r>
        <w:t xml:space="preserve">References</w:t>
      </w:r>
    </w:p>
    <w:bookmarkStart w:id="160" w:name="refs"/>
    <w:bookmarkStart w:id="35" w:name="ref-webb1976"/>
    <w:p>
      <w:pPr>
        <w:pStyle w:val="Bibliography"/>
      </w:pPr>
      <w:r>
        <w:t xml:space="preserve">1.</w:t>
      </w:r>
      <w:r>
        <w:t xml:space="preserve"> </w:t>
      </w:r>
      <w:r>
        <w:t xml:space="preserve">	</w:t>
      </w:r>
      <w:r>
        <w:t xml:space="preserve">Webb, S.D. (1976).</w:t>
      </w:r>
      <w:r>
        <w:t xml:space="preserve"> </w:t>
      </w:r>
      <w:hyperlink r:id="rId34">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35"/>
    <w:bookmarkStart w:id="37" w:name="ref-marshall1982"/>
    <w:p>
      <w:pPr>
        <w:pStyle w:val="Bibliography"/>
      </w:pPr>
      <w:r>
        <w:t xml:space="preserve">2.</w:t>
      </w:r>
      <w:r>
        <w:t xml:space="preserve"> </w:t>
      </w:r>
      <w:r>
        <w:t xml:space="preserve">	</w:t>
      </w:r>
      <w:r>
        <w:t xml:space="preserve">Marshall, L.G., Webb, S.D., Sepkoski, J.J., and Raup, D.M. (1982).</w:t>
      </w:r>
      <w:r>
        <w:t xml:space="preserve"> </w:t>
      </w:r>
      <w:hyperlink r:id="rId36">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7"/>
    <w:bookmarkStart w:id="39" w:name="ref-stehli_great_1985"/>
    <w:p>
      <w:pPr>
        <w:pStyle w:val="Bibliography"/>
      </w:pPr>
      <w:r>
        <w:t xml:space="preserve">3.</w:t>
      </w:r>
      <w:r>
        <w:t xml:space="preserve"> </w:t>
      </w:r>
      <w:r>
        <w:t xml:space="preserve">	</w:t>
      </w:r>
      <w:r>
        <w:t xml:space="preserve">Stehli, F.G., and Webb, S.D. eds. (1985). The great american biotic interchange Plenum Press. (Springer</w:t>
      </w:r>
      <w:r>
        <w:t xml:space="preserve"> </w:t>
      </w:r>
      <w:r>
        <w:t xml:space="preserve">US</w:t>
      </w:r>
      <w:r>
        <w:t xml:space="preserve">)</w:t>
      </w:r>
      <w:r>
        <w:t xml:space="preserve"> </w:t>
      </w:r>
      <w:hyperlink r:id="rId38">
        <w:r>
          <w:rPr>
            <w:rStyle w:val="Hyperlink"/>
          </w:rPr>
          <w:t xml:space="preserve">https://doi.org/10.1007/978-1-4684-9181-4</w:t>
        </w:r>
      </w:hyperlink>
      <w:r>
        <w:t xml:space="preserve">.</w:t>
      </w:r>
    </w:p>
    <w:bookmarkEnd w:id="39"/>
    <w:bookmarkStart w:id="41" w:name="ref-montes2015"/>
    <w:p>
      <w:pPr>
        <w:pStyle w:val="Bibliography"/>
      </w:pPr>
      <w:r>
        <w:t xml:space="preserve">4.</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40">
        <w:r>
          <w:rPr>
            <w:rStyle w:val="Hyperlink"/>
          </w:rPr>
          <w:t xml:space="preserve">https://doi.org/10.1126/science.aaa2815</w:t>
        </w:r>
      </w:hyperlink>
      <w:r>
        <w:t xml:space="preserve">.</w:t>
      </w:r>
    </w:p>
    <w:bookmarkEnd w:id="41"/>
    <w:bookmarkStart w:id="43" w:name="ref-jaramillo2018"/>
    <w:p>
      <w:pPr>
        <w:pStyle w:val="Bibliography"/>
      </w:pPr>
      <w:r>
        <w:t xml:space="preserve">5.</w:t>
      </w:r>
      <w:r>
        <w:t xml:space="preserve"> </w:t>
      </w:r>
      <w:r>
        <w:t xml:space="preserve">	</w:t>
      </w:r>
      <w:r>
        <w:t xml:space="preserve">Jaramillo, C.A. (2018).</w:t>
      </w:r>
      <w:r>
        <w:t xml:space="preserve"> </w:t>
      </w:r>
      <w:hyperlink r:id="rId42">
        <w:r>
          <w:rPr>
            <w:rStyle w:val="Hyperlink"/>
          </w:rPr>
          <w:t xml:space="preserve">Evolution of the isthmus of panama: Biological, paleoceanographic and paleoclimatological implications</w:t>
        </w:r>
      </w:hyperlink>
      <w:r>
        <w:t xml:space="preserve">. In (John Wiley &amp; Sons).</w:t>
      </w:r>
    </w:p>
    <w:bookmarkEnd w:id="43"/>
    <w:bookmarkStart w:id="45" w:name="ref-odea2016"/>
    <w:p>
      <w:pPr>
        <w:pStyle w:val="Bibliography"/>
      </w:pPr>
      <w:r>
        <w:t xml:space="preserve">6.</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4">
        <w:r>
          <w:rPr>
            <w:rStyle w:val="Hyperlink"/>
          </w:rPr>
          <w:t xml:space="preserve">https://doi.org/10.1126/sciadv.1600883</w:t>
        </w:r>
      </w:hyperlink>
      <w:r>
        <w:t xml:space="preserve">.</w:t>
      </w:r>
    </w:p>
    <w:bookmarkEnd w:id="45"/>
    <w:bookmarkStart w:id="47" w:name="ref-bourke2025"/>
    <w:p>
      <w:pPr>
        <w:pStyle w:val="Bibliography"/>
      </w:pPr>
      <w:r>
        <w:t xml:space="preserve">7.</w:t>
      </w:r>
      <w:r>
        <w:t xml:space="preserve"> </w:t>
      </w:r>
      <w:r>
        <w:t xml:space="preserve">	</w:t>
      </w:r>
      <w:r>
        <w:t xml:space="preserve">Bourke, J.R., Link, F., Long, M.D., and Wright, J. (2025). Evidence for Caribbean Plate Subduction Beneath the Isthmus of Panama and Implications for Subduction Initiation and the Closure of the Central American Isthmus During the Miocene. Geochemistry, Geophysics, Geosystems</w:t>
      </w:r>
      <w:r>
        <w:t xml:space="preserve"> </w:t>
      </w:r>
      <w:r>
        <w:rPr>
          <w:i/>
          <w:iCs/>
        </w:rPr>
        <w:t xml:space="preserve">26</w:t>
      </w:r>
      <w:r>
        <w:t xml:space="preserve">, e2025GC012288.</w:t>
      </w:r>
      <w:r>
        <w:t xml:space="preserve"> </w:t>
      </w:r>
      <w:hyperlink r:id="rId46">
        <w:r>
          <w:rPr>
            <w:rStyle w:val="Hyperlink"/>
          </w:rPr>
          <w:t xml:space="preserve">https://doi.org/10.1029/2025GC012288</w:t>
        </w:r>
      </w:hyperlink>
      <w:r>
        <w:t xml:space="preserve">.</w:t>
      </w:r>
    </w:p>
    <w:bookmarkEnd w:id="47"/>
    <w:bookmarkStart w:id="49" w:name="ref-verzi2008"/>
    <w:p>
      <w:pPr>
        <w:pStyle w:val="Bibliography"/>
      </w:pPr>
      <w:r>
        <w:t xml:space="preserve">8.</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8">
        <w:r>
          <w:rPr>
            <w:rStyle w:val="Hyperlink"/>
          </w:rPr>
          <w:t xml:space="preserve">https://doi.org/10.1016/j.geobios.2006.09.005</w:t>
        </w:r>
      </w:hyperlink>
      <w:r>
        <w:t xml:space="preserve">.</w:t>
      </w:r>
    </w:p>
    <w:bookmarkEnd w:id="49"/>
    <w:bookmarkStart w:id="51" w:name="ref-tedford2004"/>
    <w:p>
      <w:pPr>
        <w:pStyle w:val="Bibliography"/>
      </w:pPr>
      <w:r>
        <w:t xml:space="preserve">9.</w:t>
      </w:r>
      <w:r>
        <w:t xml:space="preserve"> </w:t>
      </w:r>
      <w:r>
        <w:t xml:space="preserve">	</w:t>
      </w:r>
      <w:r>
        <w:t xml:space="preserve">Tedford, R.H., Albright, L.B., Barnosky, A.D., Ferrusquia-Villafranca, I., Hunt, R.M., Storer, J.E., Swisher, C.C., Voorhies, M.R., Webb, S.D., and Whistler, D.P. (2004).</w:t>
      </w:r>
      <w:r>
        <w:t xml:space="preserve"> </w:t>
      </w:r>
      <w:hyperlink r:id="rId50">
        <w:r>
          <w:rPr>
            <w:rStyle w:val="Hyperlink"/>
          </w:rPr>
          <w:t xml:space="preserve">6. Mammalian Biochronology of the Arikareean Through Hemphillian Interval (Late Oligocene Through Early Pliocene Epochs)</w:t>
        </w:r>
      </w:hyperlink>
      <w:r>
        <w:t xml:space="preserve">. In, M. O. Woodburne, ed. (Columbia University Press), pp. 169–231.</w:t>
      </w:r>
    </w:p>
    <w:bookmarkEnd w:id="51"/>
    <w:bookmarkStart w:id="53" w:name="ref-carrillo2015"/>
    <w:p>
      <w:pPr>
        <w:pStyle w:val="Bibliography"/>
      </w:pPr>
      <w:r>
        <w:t xml:space="preserve">10.</w:t>
      </w:r>
      <w:r>
        <w:t xml:space="preserve"> </w:t>
      </w:r>
      <w:r>
        <w:t xml:space="preserve">	</w:t>
      </w:r>
      <w:r>
        <w:t xml:space="preserve">Carrillo, J.D., Forasiepi, A., Jaramillo, C., and Sánchez-Villagra, M.R. (2015). Neotropical mammal diversity and the great american biotic interchange: Spatial and temporal variation in south america’s fossil record. Frontiers in Genetics</w:t>
      </w:r>
      <w:r>
        <w:t xml:space="preserve"> </w:t>
      </w:r>
      <w:r>
        <w:rPr>
          <w:i/>
          <w:iCs/>
        </w:rPr>
        <w:t xml:space="preserve">5</w:t>
      </w:r>
      <w:r>
        <w:t xml:space="preserve">.</w:t>
      </w:r>
      <w:r>
        <w:t xml:space="preserve"> </w:t>
      </w:r>
      <w:hyperlink r:id="rId52">
        <w:r>
          <w:rPr>
            <w:rStyle w:val="Hyperlink"/>
          </w:rPr>
          <w:t xml:space="preserve">https://doi.org/10.3389/fgene.2014.00451</w:t>
        </w:r>
      </w:hyperlink>
      <w:r>
        <w:t xml:space="preserve">.</w:t>
      </w:r>
    </w:p>
    <w:bookmarkEnd w:id="53"/>
    <w:bookmarkStart w:id="55" w:name="ref-woodburne2010"/>
    <w:p>
      <w:pPr>
        <w:pStyle w:val="Bibliography"/>
      </w:pPr>
      <w:r>
        <w:t xml:space="preserve">11.</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4">
        <w:r>
          <w:rPr>
            <w:rStyle w:val="Hyperlink"/>
          </w:rPr>
          <w:t xml:space="preserve">https://doi.org/10.1007/s10914-010-9144-8</w:t>
        </w:r>
      </w:hyperlink>
      <w:r>
        <w:t xml:space="preserve">.</w:t>
      </w:r>
    </w:p>
    <w:bookmarkEnd w:id="55"/>
    <w:bookmarkStart w:id="57" w:name="ref-bacon2015"/>
    <w:p>
      <w:pPr>
        <w:pStyle w:val="Bibliography"/>
      </w:pPr>
      <w:r>
        <w:t xml:space="preserve">12.</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6">
        <w:r>
          <w:rPr>
            <w:rStyle w:val="Hyperlink"/>
          </w:rPr>
          <w:t xml:space="preserve">https://doi.org/10.1073/pnas.1423853112</w:t>
        </w:r>
      </w:hyperlink>
      <w:r>
        <w:t xml:space="preserve">.</w:t>
      </w:r>
    </w:p>
    <w:bookmarkEnd w:id="57"/>
    <w:bookmarkStart w:id="59" w:name="ref-bacon2016"/>
    <w:p>
      <w:pPr>
        <w:pStyle w:val="Bibliography"/>
      </w:pPr>
      <w:r>
        <w:t xml:space="preserve">13.</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8">
        <w:r>
          <w:rPr>
            <w:rStyle w:val="Hyperlink"/>
          </w:rPr>
          <w:t xml:space="preserve">https://doi.org/10.1130/G37624.1</w:t>
        </w:r>
      </w:hyperlink>
      <w:r>
        <w:t xml:space="preserve">.</w:t>
      </w:r>
    </w:p>
    <w:bookmarkEnd w:id="59"/>
    <w:bookmarkStart w:id="61" w:name="ref-webb1991"/>
    <w:p>
      <w:pPr>
        <w:pStyle w:val="Bibliography"/>
      </w:pPr>
      <w:r>
        <w:t xml:space="preserve">14.</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60">
        <w:r>
          <w:rPr>
            <w:rStyle w:val="Hyperlink"/>
          </w:rPr>
          <w:t xml:space="preserve">https://doi.org/10.1017/S0094837300010605</w:t>
        </w:r>
      </w:hyperlink>
      <w:r>
        <w:t xml:space="preserve">.</w:t>
      </w:r>
    </w:p>
    <w:bookmarkEnd w:id="61"/>
    <w:bookmarkStart w:id="63" w:name="ref-cione2015"/>
    <w:p>
      <w:pPr>
        <w:pStyle w:val="Bibliography"/>
      </w:pPr>
      <w:r>
        <w:t xml:space="preserve">15.</w:t>
      </w:r>
      <w:r>
        <w:t xml:space="preserve"> </w:t>
      </w:r>
      <w:r>
        <w:t xml:space="preserve">	</w:t>
      </w:r>
      <w:r>
        <w:t xml:space="preserve">Cione, A.L., Gasparini, G.M., Soibelzon, E., Soibelzon, L.H., and Tonni, E.P. (2015).</w:t>
      </w:r>
      <w:r>
        <w:t xml:space="preserve"> </w:t>
      </w:r>
      <w:hyperlink r:id="rId62">
        <w:r>
          <w:rPr>
            <w:rStyle w:val="Hyperlink"/>
          </w:rPr>
          <w:t xml:space="preserve">The Great American Biotic Interchange: A South American Perspective</w:t>
        </w:r>
      </w:hyperlink>
      <w:r>
        <w:t xml:space="preserve"> </w:t>
      </w:r>
      <w:r>
        <w:t xml:space="preserve">(Springer Netherlands).</w:t>
      </w:r>
    </w:p>
    <w:bookmarkEnd w:id="63"/>
    <w:bookmarkStart w:id="65" w:name="ref-carrillo2020"/>
    <w:p>
      <w:pPr>
        <w:pStyle w:val="Bibliography"/>
      </w:pPr>
      <w:r>
        <w:t xml:space="preserve">16.</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4">
        <w:r>
          <w:rPr>
            <w:rStyle w:val="Hyperlink"/>
          </w:rPr>
          <w:t xml:space="preserve">https://doi.org/10.1073/pnas.2009397117</w:t>
        </w:r>
      </w:hyperlink>
      <w:r>
        <w:t xml:space="preserve">.</w:t>
      </w:r>
    </w:p>
    <w:bookmarkEnd w:id="65"/>
    <w:bookmarkStart w:id="67" w:name="ref-croft2020"/>
    <w:p>
      <w:pPr>
        <w:pStyle w:val="Bibliography"/>
      </w:pPr>
      <w:r>
        <w:t xml:space="preserve">17.</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6">
        <w:r>
          <w:rPr>
            <w:rStyle w:val="Hyperlink"/>
          </w:rPr>
          <w:t xml:space="preserve">https://doi.org/10.1146/annurev-earth-072619-060126</w:t>
        </w:r>
      </w:hyperlink>
      <w:r>
        <w:t xml:space="preserve">.</w:t>
      </w:r>
    </w:p>
    <w:bookmarkEnd w:id="67"/>
    <w:bookmarkStart w:id="69" w:name="ref-boscaini2025"/>
    <w:p>
      <w:pPr>
        <w:pStyle w:val="Bibliography"/>
      </w:pPr>
      <w:r>
        <w:t xml:space="preserve">18.</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8">
        <w:r>
          <w:rPr>
            <w:rStyle w:val="Hyperlink"/>
          </w:rPr>
          <w:t xml:space="preserve">https://doi.org/10.1126/science.adu0704</w:t>
        </w:r>
      </w:hyperlink>
      <w:r>
        <w:t xml:space="preserve">.</w:t>
      </w:r>
    </w:p>
    <w:bookmarkEnd w:id="69"/>
    <w:bookmarkStart w:id="70" w:name="ref-simpson1980"/>
    <w:p>
      <w:pPr>
        <w:pStyle w:val="Bibliography"/>
      </w:pPr>
      <w:r>
        <w:t xml:space="preserve">19.</w:t>
      </w:r>
      <w:r>
        <w:t xml:space="preserve"> </w:t>
      </w:r>
      <w:r>
        <w:t xml:space="preserve">	</w:t>
      </w:r>
      <w:r>
        <w:t xml:space="preserve">Simpson, G.G. (1980). Splendid isolation : The curious history of south american mammals Yale University Press, New Haven.</w:t>
      </w:r>
    </w:p>
    <w:bookmarkEnd w:id="70"/>
    <w:bookmarkStart w:id="72" w:name="ref-domingo2020"/>
    <w:p>
      <w:pPr>
        <w:pStyle w:val="Bibliography"/>
      </w:pPr>
      <w:r>
        <w:t xml:space="preserve">20.</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1">
        <w:r>
          <w:rPr>
            <w:rStyle w:val="Hyperlink"/>
          </w:rPr>
          <w:t xml:space="preserve">https://doi.org/10.1038/s41598-020-58575-6</w:t>
        </w:r>
      </w:hyperlink>
      <w:r>
        <w:t xml:space="preserve">.</w:t>
      </w:r>
    </w:p>
    <w:bookmarkEnd w:id="72"/>
    <w:bookmarkStart w:id="73" w:name="ref-marshall1990"/>
    <w:p>
      <w:pPr>
        <w:pStyle w:val="Bibliography"/>
      </w:pPr>
      <w:r>
        <w:t xml:space="preserve">21.</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3"/>
    <w:bookmarkStart w:id="75" w:name="ref-faurby2016"/>
    <w:p>
      <w:pPr>
        <w:pStyle w:val="Bibliography"/>
      </w:pPr>
      <w:r>
        <w:t xml:space="preserve">22.</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4">
        <w:r>
          <w:rPr>
            <w:rStyle w:val="Hyperlink"/>
          </w:rPr>
          <w:t xml:space="preserve">https://doi.org/10.1111/geb.12504</w:t>
        </w:r>
      </w:hyperlink>
      <w:r>
        <w:t xml:space="preserve">.</w:t>
      </w:r>
    </w:p>
    <w:bookmarkEnd w:id="75"/>
    <w:bookmarkStart w:id="77" w:name="ref-fernández-monescillo2025"/>
    <w:p>
      <w:pPr>
        <w:pStyle w:val="Bibliography"/>
      </w:pPr>
      <w:r>
        <w:t xml:space="preserve">23.</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6">
        <w:r>
          <w:rPr>
            <w:rStyle w:val="Hyperlink"/>
          </w:rPr>
          <w:t xml:space="preserve">https://doi.org/10.1111/pala.70012</w:t>
        </w:r>
      </w:hyperlink>
      <w:r>
        <w:t xml:space="preserve">.</w:t>
      </w:r>
    </w:p>
    <w:bookmarkEnd w:id="77"/>
    <w:bookmarkStart w:id="79" w:name="ref-vrba1992"/>
    <w:p>
      <w:pPr>
        <w:pStyle w:val="Bibliography"/>
      </w:pPr>
      <w:r>
        <w:t xml:space="preserve">24.</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8">
        <w:r>
          <w:rPr>
            <w:rStyle w:val="Hyperlink"/>
          </w:rPr>
          <w:t xml:space="preserve">https://doi.org/10.2307/1381862</w:t>
        </w:r>
      </w:hyperlink>
      <w:r>
        <w:t xml:space="preserve">.</w:t>
      </w:r>
    </w:p>
    <w:bookmarkEnd w:id="79"/>
    <w:bookmarkStart w:id="81" w:name="ref-prevosti2013"/>
    <w:p>
      <w:pPr>
        <w:pStyle w:val="Bibliography"/>
      </w:pPr>
      <w:r>
        <w:t xml:space="preserve">25.</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80">
        <w:r>
          <w:rPr>
            <w:rStyle w:val="Hyperlink"/>
          </w:rPr>
          <w:t xml:space="preserve">https://doi.org/10.1007/s10914-011-9175-9</w:t>
        </w:r>
      </w:hyperlink>
      <w:r>
        <w:t xml:space="preserve">.</w:t>
      </w:r>
    </w:p>
    <w:bookmarkEnd w:id="81"/>
    <w:bookmarkStart w:id="83" w:name="ref-tarquini2022"/>
    <w:p>
      <w:pPr>
        <w:pStyle w:val="Bibliography"/>
      </w:pPr>
      <w:r>
        <w:t xml:space="preserve">26.</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2">
        <w:r>
          <w:rPr>
            <w:rStyle w:val="Hyperlink"/>
          </w:rPr>
          <w:t xml:space="preserve">https://doi.org/10.1038/s41598-022-05266-z</w:t>
        </w:r>
      </w:hyperlink>
      <w:r>
        <w:t xml:space="preserve">.</w:t>
      </w:r>
    </w:p>
    <w:bookmarkEnd w:id="83"/>
    <w:bookmarkStart w:id="85" w:name="ref-marsà2025"/>
    <w:p>
      <w:pPr>
        <w:pStyle w:val="Bibliography"/>
      </w:pPr>
      <w:r>
        <w:t xml:space="preserve">27.</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4">
        <w:r>
          <w:rPr>
            <w:rStyle w:val="Hyperlink"/>
          </w:rPr>
          <w:t xml:space="preserve">https://doi.org/10.3390/d17030153</w:t>
        </w:r>
      </w:hyperlink>
      <w:r>
        <w:t xml:space="preserve">.</w:t>
      </w:r>
    </w:p>
    <w:bookmarkEnd w:id="85"/>
    <w:bookmarkStart w:id="87" w:name="ref-freitas-oliveira_no_2024"/>
    <w:p>
      <w:pPr>
        <w:pStyle w:val="Bibliography"/>
      </w:pPr>
      <w:r>
        <w:t xml:space="preserve">28.</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6">
        <w:r>
          <w:rPr>
            <w:rStyle w:val="Hyperlink"/>
          </w:rPr>
          <w:t xml:space="preserve">https://doi.org/10.1038/s44185-024-00045-7</w:t>
        </w:r>
      </w:hyperlink>
      <w:r>
        <w:t xml:space="preserve">.</w:t>
      </w:r>
    </w:p>
    <w:bookmarkEnd w:id="87"/>
    <w:bookmarkStart w:id="88" w:name="ref-freitas-oliveira2024"/>
    <w:p>
      <w:pPr>
        <w:pStyle w:val="Bibliography"/>
      </w:pPr>
      <w:r>
        <w:t xml:space="preserve">29.</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6">
        <w:r>
          <w:rPr>
            <w:rStyle w:val="Hyperlink"/>
          </w:rPr>
          <w:t xml:space="preserve">https://doi.org/10.1038/s44185-024-00045-7</w:t>
        </w:r>
      </w:hyperlink>
      <w:r>
        <w:t xml:space="preserve">.</w:t>
      </w:r>
    </w:p>
    <w:bookmarkEnd w:id="88"/>
    <w:bookmarkStart w:id="90" w:name="ref-freitas-oliveira2025"/>
    <w:p>
      <w:pPr>
        <w:pStyle w:val="Bibliography"/>
      </w:pPr>
      <w:r>
        <w:t xml:space="preserve">30.</w:t>
      </w:r>
      <w:r>
        <w:t xml:space="preserve"> </w:t>
      </w:r>
      <w:r>
        <w:t xml:space="preserve">	</w:t>
      </w:r>
      <w:r>
        <w:t xml:space="preserve">Freitas-Oliveira, R., Lima-Ribeiro, M.S., Mendoza-Rodriguez, V.H., and Terribile, L.C. (2025). Reviewing the great american biotic interchange: Climate change as a trigger for biodiversity dispersal. Proceedings of the Royal Society B: Biological Sciences</w:t>
      </w:r>
      <w:r>
        <w:t xml:space="preserve"> </w:t>
      </w:r>
      <w:r>
        <w:rPr>
          <w:i/>
          <w:iCs/>
        </w:rPr>
        <w:t xml:space="preserve">292</w:t>
      </w:r>
      <w:r>
        <w:t xml:space="preserve">, 20251745.</w:t>
      </w:r>
      <w:r>
        <w:t xml:space="preserve"> </w:t>
      </w:r>
      <w:hyperlink r:id="rId89">
        <w:r>
          <w:rPr>
            <w:rStyle w:val="Hyperlink"/>
          </w:rPr>
          <w:t xml:space="preserve">https://doi.org/10.1098/rspb.2025.1745</w:t>
        </w:r>
      </w:hyperlink>
      <w:r>
        <w:t xml:space="preserve">.</w:t>
      </w:r>
    </w:p>
    <w:bookmarkEnd w:id="90"/>
    <w:bookmarkStart w:id="92" w:name="ref-pilowsky2022"/>
    <w:p>
      <w:pPr>
        <w:pStyle w:val="Bibliography"/>
      </w:pPr>
      <w:r>
        <w:t xml:space="preserve">31.</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1">
        <w:r>
          <w:rPr>
            <w:rStyle w:val="Hyperlink"/>
          </w:rPr>
          <w:t xml:space="preserve">https://doi.org/10.1126/sciadv.abj2271</w:t>
        </w:r>
      </w:hyperlink>
      <w:r>
        <w:t xml:space="preserve">.</w:t>
      </w:r>
    </w:p>
    <w:bookmarkEnd w:id="92"/>
    <w:bookmarkStart w:id="94" w:name="ref-hagen2023"/>
    <w:p>
      <w:pPr>
        <w:pStyle w:val="Bibliography"/>
      </w:pPr>
      <w:r>
        <w:t xml:space="preserve">32.</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3">
        <w:r>
          <w:rPr>
            <w:rStyle w:val="Hyperlink"/>
          </w:rPr>
          <w:t xml:space="preserve">https://doi.org/10.1111/ecog.06132</w:t>
        </w:r>
      </w:hyperlink>
      <w:r>
        <w:t xml:space="preserve">.</w:t>
      </w:r>
    </w:p>
    <w:bookmarkEnd w:id="94"/>
    <w:bookmarkStart w:id="96" w:name="ref-hagen2021"/>
    <w:p>
      <w:pPr>
        <w:pStyle w:val="Bibliography"/>
      </w:pPr>
      <w:r>
        <w:t xml:space="preserve">33.</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5">
        <w:r>
          <w:rPr>
            <w:rStyle w:val="Hyperlink"/>
          </w:rPr>
          <w:t xml:space="preserve">https://doi.org/10.1371/journal.pbio.3001340</w:t>
        </w:r>
      </w:hyperlink>
      <w:r>
        <w:t xml:space="preserve">.</w:t>
      </w:r>
    </w:p>
    <w:bookmarkEnd w:id="96"/>
    <w:bookmarkStart w:id="98" w:name="ref-lorcery2025"/>
    <w:p>
      <w:pPr>
        <w:pStyle w:val="Bibliography"/>
      </w:pPr>
      <w:r>
        <w:t xml:space="preserve">34.</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97">
        <w:r>
          <w:rPr>
            <w:rStyle w:val="Hyperlink"/>
          </w:rPr>
          <w:t xml:space="preserve">https://doi.org/10.1371/journal.pone.0332766</w:t>
        </w:r>
      </w:hyperlink>
      <w:r>
        <w:t xml:space="preserve">.</w:t>
      </w:r>
    </w:p>
    <w:bookmarkEnd w:id="98"/>
    <w:bookmarkStart w:id="100" w:name="ref-hagen2021b"/>
    <w:p>
      <w:pPr>
        <w:pStyle w:val="Bibliography"/>
      </w:pPr>
      <w:r>
        <w:t xml:space="preserve">35.</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9">
        <w:r>
          <w:rPr>
            <w:rStyle w:val="Hyperlink"/>
          </w:rPr>
          <w:t xml:space="preserve">https://doi.org/10.1073/pnas.2026347118</w:t>
        </w:r>
      </w:hyperlink>
      <w:r>
        <w:t xml:space="preserve">.</w:t>
      </w:r>
    </w:p>
    <w:bookmarkEnd w:id="100"/>
    <w:bookmarkStart w:id="102" w:name="ref-skeels2023b"/>
    <w:p>
      <w:pPr>
        <w:pStyle w:val="Bibliography"/>
      </w:pPr>
      <w:r>
        <w:t xml:space="preserve">36.</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101">
        <w:r>
          <w:rPr>
            <w:rStyle w:val="Hyperlink"/>
          </w:rPr>
          <w:t xml:space="preserve">https://doi.org/10.1126/science.adf7122</w:t>
        </w:r>
      </w:hyperlink>
      <w:r>
        <w:t xml:space="preserve">.</w:t>
      </w:r>
    </w:p>
    <w:bookmarkEnd w:id="102"/>
    <w:bookmarkStart w:id="104" w:name="ref-boschman2023"/>
    <w:p>
      <w:pPr>
        <w:pStyle w:val="Bibliography"/>
      </w:pPr>
      <w:r>
        <w:t xml:space="preserve">37.</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3">
        <w:r>
          <w:rPr>
            <w:rStyle w:val="Hyperlink"/>
          </w:rPr>
          <w:t xml:space="preserve">https://doi.org/10.1038/s41559-023-02220-8</w:t>
        </w:r>
      </w:hyperlink>
      <w:r>
        <w:t xml:space="preserve">.</w:t>
      </w:r>
    </w:p>
    <w:bookmarkEnd w:id="104"/>
    <w:bookmarkStart w:id="106" w:name="ref-skeels2023"/>
    <w:p>
      <w:pPr>
        <w:pStyle w:val="Bibliography"/>
      </w:pPr>
      <w:r>
        <w:t xml:space="preserve">38.</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5">
        <w:r>
          <w:rPr>
            <w:rStyle w:val="Hyperlink"/>
          </w:rPr>
          <w:t xml:space="preserve">https://doi.org/10.1093/sysbio/syac048</w:t>
        </w:r>
      </w:hyperlink>
      <w:r>
        <w:t xml:space="preserve">.</w:t>
      </w:r>
    </w:p>
    <w:bookmarkEnd w:id="106"/>
    <w:bookmarkStart w:id="108" w:name="ref-liu2024"/>
    <w:p>
      <w:pPr>
        <w:pStyle w:val="Bibliography"/>
      </w:pPr>
      <w:r>
        <w:t xml:space="preserve">39.</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7">
        <w:r>
          <w:rPr>
            <w:rStyle w:val="Hyperlink"/>
          </w:rPr>
          <w:t xml:space="preserve">https://doi.org/10.1126/science.adi0833</w:t>
        </w:r>
      </w:hyperlink>
      <w:r>
        <w:t xml:space="preserve">.</w:t>
      </w:r>
    </w:p>
    <w:bookmarkEnd w:id="108"/>
    <w:bookmarkStart w:id="110" w:name="ref-holden2019"/>
    <w:p>
      <w:pPr>
        <w:pStyle w:val="Bibliography"/>
      </w:pPr>
      <w:r>
        <w:t xml:space="preserve">40.</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09">
        <w:r>
          <w:rPr>
            <w:rStyle w:val="Hyperlink"/>
          </w:rPr>
          <w:t xml:space="preserve">https://doi.org/10.5194/gmd-12-5137-2019</w:t>
        </w:r>
      </w:hyperlink>
      <w:r>
        <w:t xml:space="preserve">.</w:t>
      </w:r>
    </w:p>
    <w:bookmarkEnd w:id="110"/>
    <w:bookmarkStart w:id="112" w:name="ref-barreto2023"/>
    <w:p>
      <w:pPr>
        <w:pStyle w:val="Bibliography"/>
      </w:pPr>
      <w:r>
        <w:t xml:space="preserve">41.</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11">
        <w:r>
          <w:rPr>
            <w:rStyle w:val="Hyperlink"/>
          </w:rPr>
          <w:t xml:space="preserve">https://doi.org/10.1111/geb.13683</w:t>
        </w:r>
      </w:hyperlink>
      <w:r>
        <w:t xml:space="preserve">.</w:t>
      </w:r>
    </w:p>
    <w:bookmarkEnd w:id="112"/>
    <w:bookmarkStart w:id="114" w:name="ref-beck2018"/>
    <w:p>
      <w:pPr>
        <w:pStyle w:val="Bibliography"/>
      </w:pPr>
      <w:r>
        <w:t xml:space="preserve">42.</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13">
        <w:r>
          <w:rPr>
            <w:rStyle w:val="Hyperlink"/>
          </w:rPr>
          <w:t xml:space="preserve">https://doi.org/10.1038/sdata.2018.214</w:t>
        </w:r>
      </w:hyperlink>
      <w:r>
        <w:t xml:space="preserve">.</w:t>
      </w:r>
    </w:p>
    <w:bookmarkEnd w:id="114"/>
    <w:bookmarkStart w:id="116" w:name="ref-galván2023"/>
    <w:p>
      <w:pPr>
        <w:pStyle w:val="Bibliography"/>
      </w:pPr>
      <w:r>
        <w:t xml:space="preserve">43.</w:t>
      </w:r>
      <w:r>
        <w:t xml:space="preserve"> </w:t>
      </w:r>
      <w:r>
        <w:t xml:space="preserve">	</w:t>
      </w:r>
      <w:r>
        <w:t xml:space="preserve">Galván, S., Gamboa, S., and Varela, S. (2023).</w:t>
      </w:r>
      <w:r>
        <w:t xml:space="preserve"> </w:t>
      </w:r>
      <w:hyperlink r:id="rId115">
        <w:r>
          <w:rPr>
            <w:rStyle w:val="Hyperlink"/>
          </w:rPr>
          <w:t xml:space="preserve">Köppen Geiger climatic classification for R users.</w:t>
        </w:r>
      </w:hyperlink>
    </w:p>
    <w:bookmarkEnd w:id="116"/>
    <w:bookmarkStart w:id="117" w:name="ref-macarthur1967"/>
    <w:p>
      <w:pPr>
        <w:pStyle w:val="Bibliography"/>
      </w:pPr>
      <w:r>
        <w:t xml:space="preserve">44.</w:t>
      </w:r>
      <w:r>
        <w:t xml:space="preserve"> </w:t>
      </w:r>
      <w:r>
        <w:t xml:space="preserve">	</w:t>
      </w:r>
      <w:r>
        <w:t xml:space="preserve">MacArthur, R.H., and Wilson, E.O. (1967). The theory of island biogeography Princeton University Press.</w:t>
      </w:r>
    </w:p>
    <w:bookmarkEnd w:id="117"/>
    <w:bookmarkStart w:id="119" w:name="ref-willig2003"/>
    <w:p>
      <w:pPr>
        <w:pStyle w:val="Bibliography"/>
      </w:pPr>
      <w:r>
        <w:t xml:space="preserve">45.</w:t>
      </w:r>
      <w:r>
        <w:t xml:space="preserve"> </w:t>
      </w:r>
      <w:r>
        <w:t xml:space="preserve">	</w:t>
      </w:r>
      <w:r>
        <w:t xml:space="preserve">Willig, M.R., Kaufman, D.M., and Stevens, R.D. (2003). Latitudinal gradients of biodiversity: Pattern, process, scale, and synthesis. Annual Review of Ecology, Evolution, and Systematics</w:t>
      </w:r>
      <w:r>
        <w:t xml:space="preserve"> </w:t>
      </w:r>
      <w:r>
        <w:rPr>
          <w:i/>
          <w:iCs/>
        </w:rPr>
        <w:t xml:space="preserve">34</w:t>
      </w:r>
      <w:r>
        <w:t xml:space="preserve">, 273–309.</w:t>
      </w:r>
      <w:r>
        <w:t xml:space="preserve"> </w:t>
      </w:r>
      <w:hyperlink r:id="rId118">
        <w:r>
          <w:rPr>
            <w:rStyle w:val="Hyperlink"/>
          </w:rPr>
          <w:t xml:space="preserve">https://doi.org/10.1146/annurev.ecolsys.34.012103.144032</w:t>
        </w:r>
      </w:hyperlink>
      <w:r>
        <w:t xml:space="preserve">.</w:t>
      </w:r>
    </w:p>
    <w:bookmarkEnd w:id="119"/>
    <w:bookmarkStart w:id="121" w:name="ref-raven2020"/>
    <w:p>
      <w:pPr>
        <w:pStyle w:val="Bibliography"/>
      </w:pPr>
      <w:r>
        <w:t xml:space="preserve">46.</w:t>
      </w:r>
      <w:r>
        <w:t xml:space="preserve"> </w:t>
      </w:r>
      <w:r>
        <w:t xml:space="preserve">	</w:t>
      </w:r>
      <w:r>
        <w:t xml:space="preserve">Raven, P.H., Gereau, R.E., Phillipson, P.B., Chatelain, C., Jenkins, C.N., and Ulloa Ulloa, C. (2020). The distribution of biodiversity richness in the tropics. Science Advances</w:t>
      </w:r>
      <w:r>
        <w:t xml:space="preserve"> </w:t>
      </w:r>
      <w:r>
        <w:rPr>
          <w:i/>
          <w:iCs/>
        </w:rPr>
        <w:t xml:space="preserve">6</w:t>
      </w:r>
      <w:r>
        <w:t xml:space="preserve">, eabc6228.</w:t>
      </w:r>
      <w:r>
        <w:t xml:space="preserve"> </w:t>
      </w:r>
      <w:hyperlink r:id="rId120">
        <w:r>
          <w:rPr>
            <w:rStyle w:val="Hyperlink"/>
          </w:rPr>
          <w:t xml:space="preserve">https://doi.org/10.1126/sciadv.abc6228</w:t>
        </w:r>
      </w:hyperlink>
      <w:r>
        <w:t xml:space="preserve">.</w:t>
      </w:r>
    </w:p>
    <w:bookmarkEnd w:id="121"/>
    <w:bookmarkStart w:id="122" w:name="ref-lomolino2006"/>
    <w:p>
      <w:pPr>
        <w:pStyle w:val="Bibliography"/>
      </w:pPr>
      <w:r>
        <w:t xml:space="preserve">47.</w:t>
      </w:r>
      <w:r>
        <w:t xml:space="preserve"> </w:t>
      </w:r>
      <w:r>
        <w:t xml:space="preserve">	</w:t>
      </w:r>
      <w:r>
        <w:t xml:space="preserve">Lomolino, M.V., Riddle, B.R., and Brown, J.H. (2006). The geography of divesification</w:t>
      </w:r>
      <w:r>
        <w:t xml:space="preserve"> </w:t>
      </w:r>
      <w:r>
        <w:t xml:space="preserve">-</w:t>
      </w:r>
      <w:r>
        <w:t xml:space="preserve"> </w:t>
      </w:r>
      <w:r>
        <w:t xml:space="preserve">the great american biotic interchange. In (Sinauer Associates Inc.), pp. 406–413.</w:t>
      </w:r>
    </w:p>
    <w:bookmarkEnd w:id="122"/>
    <w:bookmarkStart w:id="124" w:name="ref-chakrabarty2011"/>
    <w:p>
      <w:pPr>
        <w:pStyle w:val="Bibliography"/>
      </w:pPr>
      <w:r>
        <w:t xml:space="preserve">48.</w:t>
      </w:r>
      <w:r>
        <w:t xml:space="preserve"> </w:t>
      </w:r>
      <w:r>
        <w:t xml:space="preserve">	</w:t>
      </w:r>
      <w:r>
        <w:t xml:space="preserve">Chakrabarty, P., and Albert, J.S. (2011). Not so fast: A new take on the great american biotic interchange. In, J. Albert, ed. (University of California Press), p. 0.</w:t>
      </w:r>
      <w:r>
        <w:t xml:space="preserve"> </w:t>
      </w:r>
      <w:hyperlink r:id="rId123">
        <w:r>
          <w:rPr>
            <w:rStyle w:val="Hyperlink"/>
          </w:rPr>
          <w:t xml:space="preserve">https://doi.org/10.1525/california/9780520268685.003.0018</w:t>
        </w:r>
      </w:hyperlink>
      <w:r>
        <w:t xml:space="preserve">.</w:t>
      </w:r>
    </w:p>
    <w:bookmarkEnd w:id="124"/>
    <w:bookmarkStart w:id="126" w:name="ref-smith2012"/>
    <w:p>
      <w:pPr>
        <w:pStyle w:val="Bibliography"/>
      </w:pPr>
      <w:r>
        <w:t xml:space="preserve">49.</w:t>
      </w:r>
      <w:r>
        <w:t xml:space="preserve"> </w:t>
      </w:r>
      <w:r>
        <w:t xml:space="preserve">	</w:t>
      </w:r>
      <w:r>
        <w:t xml:space="preserve">Smith, B.T., Bryson Jr., R.W., Houston, D.D., and Klicka, J. (2012). An asymmetry in niche conservatism contributes to the latitudinal species diversity gradient in New World vertebrates. Ecology Letters</w:t>
      </w:r>
      <w:r>
        <w:t xml:space="preserve"> </w:t>
      </w:r>
      <w:r>
        <w:rPr>
          <w:i/>
          <w:iCs/>
        </w:rPr>
        <w:t xml:space="preserve">15</w:t>
      </w:r>
      <w:r>
        <w:t xml:space="preserve">, 1318–1325.</w:t>
      </w:r>
      <w:r>
        <w:t xml:space="preserve"> </w:t>
      </w:r>
      <w:hyperlink r:id="rId125">
        <w:r>
          <w:rPr>
            <w:rStyle w:val="Hyperlink"/>
          </w:rPr>
          <w:t xml:space="preserve">https://doi.org/10.1111/j.1461-0248.2012.01855.x</w:t>
        </w:r>
      </w:hyperlink>
      <w:r>
        <w:t xml:space="preserve">.</w:t>
      </w:r>
    </w:p>
    <w:bookmarkEnd w:id="126"/>
    <w:bookmarkStart w:id="128" w:name="ref-weir2009"/>
    <w:p>
      <w:pPr>
        <w:pStyle w:val="Bibliography"/>
      </w:pPr>
      <w:r>
        <w:t xml:space="preserve">50.</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27">
        <w:r>
          <w:rPr>
            <w:rStyle w:val="Hyperlink"/>
          </w:rPr>
          <w:t xml:space="preserve">https://doi.org/10.1073/pnas.0903811106</w:t>
        </w:r>
      </w:hyperlink>
      <w:r>
        <w:t xml:space="preserve">.</w:t>
      </w:r>
    </w:p>
    <w:bookmarkEnd w:id="128"/>
    <w:bookmarkStart w:id="130" w:name="ref-smith2010"/>
    <w:p>
      <w:pPr>
        <w:pStyle w:val="Bibliography"/>
      </w:pPr>
      <w:r>
        <w:t xml:space="preserve">51.</w:t>
      </w:r>
      <w:r>
        <w:t xml:space="preserve"> </w:t>
      </w:r>
      <w:r>
        <w:t xml:space="preserve">	</w:t>
      </w:r>
      <w:r>
        <w:t xml:space="preserve">Smith, B.T., and Klicka, J. (2010). The profound influence of the Late Pliocene Panamanian uplift on the exchange, diversification, and distribution of New World birds. Ecography</w:t>
      </w:r>
      <w:r>
        <w:t xml:space="preserve"> </w:t>
      </w:r>
      <w:r>
        <w:rPr>
          <w:i/>
          <w:iCs/>
        </w:rPr>
        <w:t xml:space="preserve">33</w:t>
      </w:r>
      <w:r>
        <w:t xml:space="preserve">, 333–342.</w:t>
      </w:r>
      <w:r>
        <w:t xml:space="preserve"> </w:t>
      </w:r>
      <w:hyperlink r:id="rId129">
        <w:r>
          <w:rPr>
            <w:rStyle w:val="Hyperlink"/>
          </w:rPr>
          <w:t xml:space="preserve">https://doi.org/10.1111/j.1600-0587.2009.06335.x</w:t>
        </w:r>
      </w:hyperlink>
      <w:r>
        <w:t xml:space="preserve">.</w:t>
      </w:r>
    </w:p>
    <w:bookmarkEnd w:id="130"/>
    <w:bookmarkStart w:id="131" w:name="ref-wallace1878"/>
    <w:p>
      <w:pPr>
        <w:pStyle w:val="Bibliography"/>
      </w:pPr>
      <w:r>
        <w:t xml:space="preserve">52.</w:t>
      </w:r>
      <w:r>
        <w:t xml:space="preserve"> </w:t>
      </w:r>
      <w:r>
        <w:t xml:space="preserve">	</w:t>
      </w:r>
      <w:r>
        <w:t xml:space="preserve">Wallace, A.R. (1878). Tropical Nature, and Other Essays (Macmillan; Company).</w:t>
      </w:r>
    </w:p>
    <w:bookmarkEnd w:id="131"/>
    <w:bookmarkStart w:id="133" w:name="ref-cody2010"/>
    <w:p>
      <w:pPr>
        <w:pStyle w:val="Bibliography"/>
      </w:pPr>
      <w:r>
        <w:t xml:space="preserve">53.</w:t>
      </w:r>
      <w:r>
        <w:t xml:space="preserve"> </w:t>
      </w:r>
      <w:r>
        <w:t xml:space="preserve">	</w:t>
      </w:r>
      <w:r>
        <w:t xml:space="preserve">Cody, S., Richardson, J.E., Rull, V., Ellis, C., and Pennington, R.T. (2010). The Great American Biotic Interchange revisited. Ecography</w:t>
      </w:r>
      <w:r>
        <w:t xml:space="preserve"> </w:t>
      </w:r>
      <w:r>
        <w:rPr>
          <w:i/>
          <w:iCs/>
        </w:rPr>
        <w:t xml:space="preserve">33</w:t>
      </w:r>
      <w:r>
        <w:t xml:space="preserve">, 326–332.</w:t>
      </w:r>
      <w:r>
        <w:t xml:space="preserve"> </w:t>
      </w:r>
      <w:hyperlink r:id="rId132">
        <w:r>
          <w:rPr>
            <w:rStyle w:val="Hyperlink"/>
          </w:rPr>
          <w:t xml:space="preserve">https://doi.org/10.1111/j.1600-0587.2010.06327.x</w:t>
        </w:r>
      </w:hyperlink>
      <w:r>
        <w:t xml:space="preserve">.</w:t>
      </w:r>
    </w:p>
    <w:bookmarkEnd w:id="133"/>
    <w:bookmarkStart w:id="135" w:name="ref-pérez-escobar2019"/>
    <w:p>
      <w:pPr>
        <w:pStyle w:val="Bibliography"/>
      </w:pPr>
      <w:r>
        <w:t xml:space="preserve">54.</w:t>
      </w:r>
      <w:r>
        <w:t xml:space="preserve"> </w:t>
      </w:r>
      <w:r>
        <w:t xml:space="preserve">	</w:t>
      </w:r>
      <w:r>
        <w:t xml:space="preserve">Pérez-Escobar, O.A., Lucas, E., Jaramillo, C., Monro, A., Morris, S.K., Bogarín, D., Greer, D., Dodsworth, S., Aguilar-Cano, J., Sanchez Meseguer, A., et al. (2019). The origin and diversification of the hyperdiverse flora in the chocó biogeographic region. Frontiers in Plant Science</w:t>
      </w:r>
      <w:r>
        <w:t xml:space="preserve"> </w:t>
      </w:r>
      <w:r>
        <w:rPr>
          <w:i/>
          <w:iCs/>
        </w:rPr>
        <w:t xml:space="preserve">10</w:t>
      </w:r>
      <w:r>
        <w:t xml:space="preserve">.</w:t>
      </w:r>
      <w:r>
        <w:t xml:space="preserve"> </w:t>
      </w:r>
      <w:hyperlink r:id="rId134">
        <w:r>
          <w:rPr>
            <w:rStyle w:val="Hyperlink"/>
          </w:rPr>
          <w:t xml:space="preserve">https://doi.org/10.3389/fpls.2019.01328</w:t>
        </w:r>
      </w:hyperlink>
      <w:r>
        <w:t xml:space="preserve">.</w:t>
      </w:r>
    </w:p>
    <w:bookmarkEnd w:id="135"/>
    <w:bookmarkStart w:id="137" w:name="ref-haffer1969"/>
    <w:p>
      <w:pPr>
        <w:pStyle w:val="Bibliography"/>
      </w:pPr>
      <w:r>
        <w:t xml:space="preserve">55.</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36">
        <w:r>
          <w:rPr>
            <w:rStyle w:val="Hyperlink"/>
          </w:rPr>
          <w:t xml:space="preserve">https://doi.org/10.1126/science.165.3889.131</w:t>
        </w:r>
      </w:hyperlink>
      <w:r>
        <w:t xml:space="preserve">.</w:t>
      </w:r>
    </w:p>
    <w:bookmarkEnd w:id="137"/>
    <w:bookmarkStart w:id="139" w:name="ref-ugarte2025"/>
    <w:p>
      <w:pPr>
        <w:pStyle w:val="Bibliography"/>
      </w:pPr>
      <w:r>
        <w:t xml:space="preserve">56.</w:t>
      </w:r>
      <w:r>
        <w:t xml:space="preserve"> </w:t>
      </w:r>
      <w:r>
        <w:t xml:space="preserve">	</w:t>
      </w:r>
      <w:r>
        <w:t xml:space="preserve">Ugarte, P.D. de S., Nascimento, J.C.S., and Pires, M.M. (2025). Spatiotemporal variability in the south american mammalian fossil record and its impact on macroevolutionary inference. Frontiers in Mammal Science</w:t>
      </w:r>
      <w:r>
        <w:t xml:space="preserve"> </w:t>
      </w:r>
      <w:r>
        <w:rPr>
          <w:i/>
          <w:iCs/>
        </w:rPr>
        <w:t xml:space="preserve">3</w:t>
      </w:r>
      <w:r>
        <w:t xml:space="preserve">.</w:t>
      </w:r>
      <w:r>
        <w:t xml:space="preserve"> </w:t>
      </w:r>
      <w:hyperlink r:id="rId138">
        <w:r>
          <w:rPr>
            <w:rStyle w:val="Hyperlink"/>
          </w:rPr>
          <w:t xml:space="preserve">https://doi.org/10.3389/fmamm.2024.1518039</w:t>
        </w:r>
      </w:hyperlink>
      <w:r>
        <w:t xml:space="preserve">.</w:t>
      </w:r>
    </w:p>
    <w:bookmarkEnd w:id="139"/>
    <w:bookmarkStart w:id="141" w:name="ref-buffan2025"/>
    <w:p>
      <w:pPr>
        <w:pStyle w:val="Bibliography"/>
      </w:pPr>
      <w:r>
        <w:t xml:space="preserve">57.</w:t>
      </w:r>
      <w:r>
        <w:t xml:space="preserve"> </w:t>
      </w:r>
      <w:r>
        <w:t xml:space="preserve">	</w:t>
      </w:r>
      <w:r>
        <w:t xml:space="preserve">Buffan, L., Condamine, F.L., Stutz, N.S., Pujos, F., Antoine, P.-O., and Marivaux, L. (2025). The fate of south america</w:t>
      </w:r>
      <w:r>
        <w:t xml:space="preserve">’</w:t>
      </w:r>
      <w:r>
        <w:t xml:space="preserve">s endemic mammalian fauna in response to the most dramatic cenozoic climate disruption. Proceedings of the National Academy of Sciences</w:t>
      </w:r>
      <w:r>
        <w:t xml:space="preserve"> </w:t>
      </w:r>
      <w:r>
        <w:rPr>
          <w:i/>
          <w:iCs/>
        </w:rPr>
        <w:t xml:space="preserve">122</w:t>
      </w:r>
      <w:r>
        <w:t xml:space="preserve">, e2419520122.</w:t>
      </w:r>
      <w:r>
        <w:t xml:space="preserve"> </w:t>
      </w:r>
      <w:hyperlink r:id="rId140">
        <w:r>
          <w:rPr>
            <w:rStyle w:val="Hyperlink"/>
          </w:rPr>
          <w:t xml:space="preserve">https://doi.org/10.1073/pnas.2419520122</w:t>
        </w:r>
      </w:hyperlink>
      <w:r>
        <w:t xml:space="preserve">.</w:t>
      </w:r>
    </w:p>
    <w:bookmarkEnd w:id="141"/>
    <w:bookmarkStart w:id="143" w:name="ref-wiens2004"/>
    <w:p>
      <w:pPr>
        <w:pStyle w:val="Bibliography"/>
      </w:pPr>
      <w:r>
        <w:t xml:space="preserve">58.</w:t>
      </w:r>
      <w:r>
        <w:t xml:space="preserve"> </w:t>
      </w:r>
      <w:r>
        <w:t xml:space="preserve">	</w:t>
      </w:r>
      <w:r>
        <w:t xml:space="preserve">Wiens, J.J., and Donoghue, M.J. (2004). Historical biogeography, ecology and species richness. Trends in Ecology &amp; Evolution</w:t>
      </w:r>
      <w:r>
        <w:t xml:space="preserve"> </w:t>
      </w:r>
      <w:r>
        <w:rPr>
          <w:i/>
          <w:iCs/>
        </w:rPr>
        <w:t xml:space="preserve">19</w:t>
      </w:r>
      <w:r>
        <w:t xml:space="preserve">, 639–644.</w:t>
      </w:r>
      <w:r>
        <w:t xml:space="preserve"> </w:t>
      </w:r>
      <w:hyperlink r:id="rId142">
        <w:r>
          <w:rPr>
            <w:rStyle w:val="Hyperlink"/>
          </w:rPr>
          <w:t xml:space="preserve">https://doi.org/10.1016/j.tree.2004.09.011</w:t>
        </w:r>
      </w:hyperlink>
      <w:r>
        <w:t xml:space="preserve">.</w:t>
      </w:r>
    </w:p>
    <w:bookmarkEnd w:id="143"/>
    <w:bookmarkStart w:id="145" w:name="ref-motta2025"/>
    <w:p>
      <w:pPr>
        <w:pStyle w:val="Bibliography"/>
      </w:pPr>
      <w:r>
        <w:t xml:space="preserve">59.</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44">
        <w:r>
          <w:rPr>
            <w:rStyle w:val="Hyperlink"/>
          </w:rPr>
          <w:t xml:space="preserve">https://doi.org/10.1016/j.palaeo.2025.112905</w:t>
        </w:r>
      </w:hyperlink>
      <w:r>
        <w:t xml:space="preserve">.</w:t>
      </w:r>
    </w:p>
    <w:bookmarkEnd w:id="145"/>
    <w:bookmarkStart w:id="147" w:name="ref-pino2022"/>
    <w:p>
      <w:pPr>
        <w:pStyle w:val="Bibliography"/>
      </w:pPr>
      <w:r>
        <w:t xml:space="preserve">60.</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46">
        <w:r>
          <w:rPr>
            <w:rStyle w:val="Hyperlink"/>
          </w:rPr>
          <w:t xml:space="preserve">https://doi.org/10.1016/j.gloplacha.2022.103758</w:t>
        </w:r>
      </w:hyperlink>
      <w:r>
        <w:t xml:space="preserve">.</w:t>
      </w:r>
    </w:p>
    <w:bookmarkEnd w:id="147"/>
    <w:bookmarkStart w:id="149" w:name="ref-simpson1950"/>
    <w:p>
      <w:pPr>
        <w:pStyle w:val="Bibliography"/>
      </w:pPr>
      <w:r>
        <w:t xml:space="preserve">61.</w:t>
      </w:r>
      <w:r>
        <w:t xml:space="preserve"> </w:t>
      </w:r>
      <w:r>
        <w:t xml:space="preserve">	</w:t>
      </w:r>
      <w:r>
        <w:t xml:space="preserve">Simpson, G.G. (1950).</w:t>
      </w:r>
      <w:r>
        <w:t xml:space="preserve"> </w:t>
      </w:r>
      <w:hyperlink r:id="rId148">
        <w:r>
          <w:rPr>
            <w:rStyle w:val="Hyperlink"/>
          </w:rPr>
          <w:t xml:space="preserve">History of the fauna of latin america</w:t>
        </w:r>
      </w:hyperlink>
      <w:r>
        <w:t xml:space="preserve">. American Scientist</w:t>
      </w:r>
      <w:r>
        <w:t xml:space="preserve"> </w:t>
      </w:r>
      <w:r>
        <w:rPr>
          <w:i/>
          <w:iCs/>
        </w:rPr>
        <w:t xml:space="preserve">38</w:t>
      </w:r>
      <w:r>
        <w:t xml:space="preserve">, 361–389.</w:t>
      </w:r>
    </w:p>
    <w:bookmarkEnd w:id="149"/>
    <w:bookmarkStart w:id="151" w:name="ref-morgan1993"/>
    <w:p>
      <w:pPr>
        <w:pStyle w:val="Bibliography"/>
      </w:pPr>
      <w:r>
        <w:t xml:space="preserve">62.</w:t>
      </w:r>
      <w:r>
        <w:t xml:space="preserve"> </w:t>
      </w:r>
      <w:r>
        <w:t xml:space="preserve">	</w:t>
      </w:r>
      <w:r>
        <w:t xml:space="preserve">Morgan, G.S. (1993). Quaternary land vertebrates of jamaica. In, R. M. Wright and E. Robinson, eds. (Geological Society of America), p. 0.</w:t>
      </w:r>
      <w:r>
        <w:t xml:space="preserve"> </w:t>
      </w:r>
      <w:hyperlink r:id="rId150">
        <w:r>
          <w:rPr>
            <w:rStyle w:val="Hyperlink"/>
          </w:rPr>
          <w:t xml:space="preserve">https://doi.org/10.1130/MEM182-p417</w:t>
        </w:r>
      </w:hyperlink>
      <w:r>
        <w:t xml:space="preserve">.</w:t>
      </w:r>
    </w:p>
    <w:bookmarkEnd w:id="151"/>
    <w:bookmarkStart w:id="153" w:name="ref-macphee2011"/>
    <w:p>
      <w:pPr>
        <w:pStyle w:val="Bibliography"/>
      </w:pPr>
      <w:r>
        <w:t xml:space="preserve">63.</w:t>
      </w:r>
      <w:r>
        <w:t xml:space="preserve"> </w:t>
      </w:r>
      <w:r>
        <w:t xml:space="preserve">	</w:t>
      </w:r>
      <w:r>
        <w:t xml:space="preserve">MacPhee, R.D.E. (2011). Basicranial morphology and relationships of antillean heptaxodontidae (rodentia, ctenohystrica, caviomorpha). Bulletin of the American Museum of Natural History</w:t>
      </w:r>
      <w:r>
        <w:t xml:space="preserve"> </w:t>
      </w:r>
      <w:r>
        <w:rPr>
          <w:i/>
          <w:iCs/>
        </w:rPr>
        <w:t xml:space="preserve">2011</w:t>
      </w:r>
      <w:r>
        <w:t xml:space="preserve">, 1–70.</w:t>
      </w:r>
      <w:r>
        <w:t xml:space="preserve"> </w:t>
      </w:r>
      <w:hyperlink r:id="rId152">
        <w:r>
          <w:rPr>
            <w:rStyle w:val="Hyperlink"/>
          </w:rPr>
          <w:t xml:space="preserve">https://doi.org/10.1206/0003-0090-363.1.1</w:t>
        </w:r>
      </w:hyperlink>
      <w:r>
        <w:t xml:space="preserve">.</w:t>
      </w:r>
    </w:p>
    <w:bookmarkEnd w:id="153"/>
    <w:bookmarkStart w:id="155" w:name="ref-cornée2021"/>
    <w:p>
      <w:pPr>
        <w:pStyle w:val="Bibliography"/>
      </w:pPr>
      <w:r>
        <w:t xml:space="preserve">64.</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54">
        <w:r>
          <w:rPr>
            <w:rStyle w:val="Hyperlink"/>
          </w:rPr>
          <w:t xml:space="preserve">https://doi.org/10.1016/j.earscirev.2021.103617</w:t>
        </w:r>
      </w:hyperlink>
      <w:r>
        <w:t xml:space="preserve">.</w:t>
      </w:r>
    </w:p>
    <w:bookmarkEnd w:id="155"/>
    <w:bookmarkStart w:id="157" w:name="ref-marivaux2020b"/>
    <w:p>
      <w:pPr>
        <w:pStyle w:val="Bibliography"/>
      </w:pPr>
      <w:r>
        <w:t xml:space="preserve">65.</w:t>
      </w:r>
      <w:r>
        <w:t xml:space="preserve"> </w:t>
      </w:r>
      <w:r>
        <w:t xml:space="preserve">	</w:t>
      </w:r>
      <w:r>
        <w:t xml:space="preserve">Marivaux, L., Vélez-Juarbe, J., Merzeraud, G., Pujos, F., Viñola López, L.W., Boivin, M., Santos-Mercado, H., Cruz, E.J., Grajales, A., Padilla, J., et al. (2020). Early oligocene chinchilloid caviomorphs from puerto rico and the initial rodent colonization of the west indies. Proceedings of the Royal Society B: Biological Sciences</w:t>
      </w:r>
      <w:r>
        <w:t xml:space="preserve"> </w:t>
      </w:r>
      <w:r>
        <w:rPr>
          <w:i/>
          <w:iCs/>
        </w:rPr>
        <w:t xml:space="preserve">287</w:t>
      </w:r>
      <w:r>
        <w:t xml:space="preserve">, 20192806.</w:t>
      </w:r>
      <w:r>
        <w:t xml:space="preserve"> </w:t>
      </w:r>
      <w:hyperlink r:id="rId156">
        <w:r>
          <w:rPr>
            <w:rStyle w:val="Hyperlink"/>
          </w:rPr>
          <w:t xml:space="preserve">https://doi.org/10.1098/rspb.2019.2806</w:t>
        </w:r>
      </w:hyperlink>
      <w:r>
        <w:t xml:space="preserve">.</w:t>
      </w:r>
    </w:p>
    <w:bookmarkEnd w:id="157"/>
    <w:bookmarkStart w:id="159" w:name="ref-warren2015"/>
    <w:p>
      <w:pPr>
        <w:pStyle w:val="Bibliography"/>
      </w:pPr>
      <w:r>
        <w:t xml:space="preserve">66.</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58">
        <w:r>
          <w:rPr>
            <w:rStyle w:val="Hyperlink"/>
          </w:rPr>
          <w:t xml:space="preserve">https://doi.org/10.1111/ele.12398</w:t>
        </w:r>
      </w:hyperlink>
      <w:r>
        <w:t xml:space="preserve">.</w:t>
      </w:r>
    </w:p>
    <w:bookmarkEnd w:id="159"/>
    <w:bookmarkEnd w:id="160"/>
    <w:bookmarkEnd w:id="161"/>
    <w:bookmarkStart w:id="182"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65" w:name="fig-hypotheses"/>
          <w:p>
            <w:pPr>
              <w:pStyle w:val="Compact"/>
              <w:jc w:val="center"/>
            </w:pPr>
            <w:r>
              <w:drawing>
                <wp:inline>
                  <wp:extent cx="4499999" cy="5399999"/>
                  <wp:effectExtent b="0" l="0" r="0" t="0"/>
                  <wp:docPr descr="" title="" id="163" name="Picture"/>
                  <a:graphic>
                    <a:graphicData uri="http://schemas.openxmlformats.org/drawingml/2006/picture">
                      <pic:pic>
                        <pic:nvPicPr>
                          <pic:cNvPr descr="../Figures/MS/Main/Figure_intro/Figure_hypotheses.png" id="164" name="Picture"/>
                          <pic:cNvPicPr>
                            <a:picLocks noChangeArrowheads="1" noChangeAspect="1"/>
                          </pic:cNvPicPr>
                        </pic:nvPicPr>
                        <pic:blipFill>
                          <a:blip r:embed="rId162"/>
                          <a:stretch>
                            <a:fillRect/>
                          </a:stretch>
                        </pic:blipFill>
                        <pic:spPr bwMode="auto">
                          <a:xfrm>
                            <a:off x="0" y="0"/>
                            <a:ext cx="44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two nonmutually-exclusive hypotheses relating the asymmetry of the GABI to the Pleistocene climatic oscillations, formulated in the framework of land mammals. Both involve biome transition from close tropical rainforest (green) during interglacial periods − warm and humid − to open savannah/desert (dark yellow) during glacial maxima − cold and dry − in the isthmian region. The first one (A), formulated by Webb</w:t>
            </w:r>
            <w:r>
              <w:rPr>
                <w:vertAlign w:val="superscript"/>
              </w:rPr>
              <w:t xml:space="preserve">14</w:t>
            </w:r>
            <w:r>
              <w:t xml:space="preserve"> </w:t>
            </w:r>
            <w:r>
              <w:t xml:space="preserve">views the asymmetry of the GABI as the result from the fact that North America had a higher pool of open-adapted taxa than South America. The opening of the isthmian region acted as an ecological filter favouring the dispersal of these open-adapted taxa to the detriment of the others. Hence, given the imbalance in open-adapted pool size between the two continents, more species would have been expected to disperse to the South than the other way around. The second one (B), formulated by Vrba</w:t>
            </w:r>
            <w:r>
              <w:rPr>
                <w:vertAlign w:val="superscript"/>
              </w:rPr>
              <w:t xml:space="preserve">24</w:t>
            </w:r>
            <w:r>
              <w:t xml:space="preserve">, proposes that the contraction of the tropical biome towards the equator triggered by the interglacial-glacial transition would have mechanically attracted tropical specialists southwards, irrespective of their continent of origin. Silhouettes are from phylopic, credits are available in Table S3.</w:t>
            </w:r>
          </w:p>
          <w:bookmarkEnd w:id="165"/>
        </w:tc>
      </w:tr>
    </w:tbl>
    <w:tbl>
      <w:tblPr>
        <w:tblStyle w:val="Table"/>
        <w:tblW w:type="pct" w:w="5000"/>
        <w:tblLayout w:type="fixed"/>
        <w:tblLook w:firstRow="0" w:lastRow="0" w:firstColumn="0" w:lastColumn="0" w:noHBand="0" w:noVBand="0" w:val="0000"/>
      </w:tblPr>
      <w:tblGrid>
        <w:gridCol w:w="7920"/>
      </w:tblGrid>
      <w:tr>
        <w:tc>
          <w:tcPr/>
          <w:bookmarkStart w:id="169" w:name="fig-framework"/>
          <w:p>
            <w:pPr>
              <w:pStyle w:val="Compact"/>
              <w:jc w:val="center"/>
            </w:pPr>
            <w:r>
              <w:drawing>
                <wp:inline>
                  <wp:extent cx="3959999" cy="3959999"/>
                  <wp:effectExtent b="0" l="0" r="0" t="0"/>
                  <wp:docPr descr="" title="" id="167" name="Picture"/>
                  <a:graphic>
                    <a:graphicData uri="http://schemas.openxmlformats.org/drawingml/2006/picture">
                      <pic:pic>
                        <pic:nvPicPr>
                          <pic:cNvPr descr="../Figures/MS/Main/Figure_framework/Figure_framework.png" id="168" name="Picture"/>
                          <pic:cNvPicPr>
                            <a:picLocks noChangeArrowheads="1" noChangeAspect="1"/>
                          </pic:cNvPicPr>
                        </pic:nvPicPr>
                        <pic:blipFill>
                          <a:blip r:embed="rId166"/>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40</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11,13</w:t>
            </w:r>
            <w:r>
              <w:t xml:space="preserve"> </w:t>
            </w:r>
            <w:r>
              <w:t xml:space="preserve">is indicated by the light purple vertical bands. The empirically-derived asymmetry of the transcontinental land mammal exchange is represented by the thickness of the two arrows, the thicker the arrow, the more intense the exchange.</w:t>
            </w:r>
          </w:p>
          <w:bookmarkEnd w:id="169"/>
        </w:tc>
      </w:tr>
    </w:tbl>
    <w:tbl>
      <w:tblPr>
        <w:tblStyle w:val="Table"/>
        <w:tblW w:type="pct" w:w="5000"/>
        <w:tblLayout w:type="fixed"/>
        <w:tblLook w:firstRow="0" w:lastRow="0" w:firstColumn="0" w:lastColumn="0" w:noHBand="0" w:noVBand="0" w:val="0000"/>
      </w:tblPr>
      <w:tblGrid>
        <w:gridCol w:w="7920"/>
      </w:tblGrid>
      <w:tr>
        <w:tc>
          <w:tcPr/>
          <w:bookmarkStart w:id="173" w:name="fig-propsuccess"/>
          <w:p>
            <w:pPr>
              <w:pStyle w:val="Compact"/>
              <w:jc w:val="center"/>
            </w:pPr>
            <w:r>
              <w:drawing>
                <wp:inline>
                  <wp:extent cx="3599999" cy="3779999"/>
                  <wp:effectExtent b="0" l="0" r="0" t="0"/>
                  <wp:docPr descr="" title="" id="171" name="Picture"/>
                  <a:graphic>
                    <a:graphicData uri="http://schemas.openxmlformats.org/drawingml/2006/picture">
                      <pic:pic>
                        <pic:nvPicPr>
                          <pic:cNvPr descr="../Figures/MS/Main/Figure_PropSuccess/Figure_PropSuccess.png" id="172" name="Picture"/>
                          <pic:cNvPicPr>
                            <a:picLocks noChangeArrowheads="1" noChangeAspect="1"/>
                          </pic:cNvPicPr>
                        </pic:nvPicPr>
                        <pic:blipFill>
                          <a:blip r:embed="rId170"/>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73"/>
        </w:tc>
      </w:tr>
    </w:tbl>
    <w:tbl>
      <w:tblPr>
        <w:tblStyle w:val="Table"/>
        <w:tblW w:type="pct" w:w="5000"/>
        <w:tblLayout w:type="fixed"/>
        <w:tblLook w:firstRow="0" w:lastRow="0" w:firstColumn="0" w:lastColumn="0" w:noHBand="0" w:noVBand="0" w:val="0000"/>
      </w:tblPr>
      <w:tblGrid>
        <w:gridCol w:w="7920"/>
      </w:tblGrid>
      <w:tr>
        <w:tc>
          <w:tcPr/>
          <w:bookmarkStart w:id="177" w:name="fig-metrics"/>
          <w:p>
            <w:pPr>
              <w:pStyle w:val="Compact"/>
              <w:jc w:val="left"/>
            </w:pPr>
            <w:r>
              <w:drawing>
                <wp:inline>
                  <wp:extent cx="5039999" cy="4319999"/>
                  <wp:effectExtent b="0" l="0" r="0" t="0"/>
                  <wp:docPr descr="" title="" id="175" name="Picture"/>
                  <a:graphic>
                    <a:graphicData uri="http://schemas.openxmlformats.org/drawingml/2006/picture">
                      <pic:pic>
                        <pic:nvPicPr>
                          <pic:cNvPr descr="../Figures/MS/Main/Figure_metrics/Figure_metrics.png" id="176" name="Picture"/>
                          <pic:cNvPicPr>
                            <a:picLocks noChangeArrowheads="1" noChangeAspect="1"/>
                          </pic:cNvPicPr>
                        </pic:nvPicPr>
                        <pic:blipFill>
                          <a:blip r:embed="rId174"/>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4: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3</w:t>
              </w:r>
            </w:hyperlink>
            <w:r>
              <w:t xml:space="preserve"> </w:t>
            </w:r>
            <w:r>
              <w:t xml:space="preserve">for details).</w:t>
            </w:r>
            <w:r>
              <w:t xml:space="preserve"> </w:t>
            </w:r>
            <w:r>
              <w:rPr>
                <w:b/>
                <w:bCs/>
              </w:rPr>
              <w:t xml:space="preserve">(A)</w:t>
            </w:r>
            <w:r>
              <w:t xml:space="preserve"> </w:t>
            </w:r>
            <w:r>
              <w:t xml:space="preserve">Proportion of newly-colonised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 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77"/>
        </w:tc>
      </w:tr>
    </w:tbl>
    <w:tbl>
      <w:tblPr>
        <w:tblStyle w:val="Table"/>
        <w:tblW w:type="pct" w:w="5000"/>
        <w:tblLayout w:type="fixed"/>
        <w:tblLook w:firstRow="0" w:lastRow="0" w:firstColumn="0" w:lastColumn="0" w:noHBand="0" w:noVBand="0" w:val="0000"/>
      </w:tblPr>
      <w:tblGrid>
        <w:gridCol w:w="7920"/>
      </w:tblGrid>
      <w:tr>
        <w:tc>
          <w:tcPr/>
          <w:bookmarkStart w:id="181" w:name="fig-biome"/>
          <w:p>
            <w:pPr>
              <w:pStyle w:val="Compact"/>
              <w:jc w:val="center"/>
            </w:pPr>
            <w:r>
              <w:drawing>
                <wp:inline>
                  <wp:extent cx="5399999" cy="5399999"/>
                  <wp:effectExtent b="0" l="0" r="0" t="0"/>
                  <wp:docPr descr="" title="" id="179" name="Picture"/>
                  <a:graphic>
                    <a:graphicData uri="http://schemas.openxmlformats.org/drawingml/2006/picture">
                      <pic:pic>
                        <pic:nvPicPr>
                          <pic:cNvPr descr="../Figures/MS/Main/Figure_biomes/Figure_biomes.png" id="180" name="Picture"/>
                          <pic:cNvPicPr>
                            <a:picLocks noChangeArrowheads="1" noChangeAspect="1"/>
                          </pic:cNvPicPr>
                        </pic:nvPicPr>
                        <pic:blipFill>
                          <a:blip r:embed="rId178"/>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81"/>
        </w:tc>
      </w:tr>
    </w:tbl>
    <w:bookmarkEnd w:id="182"/>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0" Target="media/rId170.png" /><Relationship Type="http://schemas.openxmlformats.org/officeDocument/2006/relationships/image" Id="rId178" Target="media/rId178.png" /><Relationship Type="http://schemas.openxmlformats.org/officeDocument/2006/relationships/image" Id="rId166" Target="media/rId166.png" /><Relationship Type="http://schemas.openxmlformats.org/officeDocument/2006/relationships/image" Id="rId162" Target="media/rId162.png" /><Relationship Type="http://schemas.openxmlformats.org/officeDocument/2006/relationships/image" Id="rId174" Target="media/rId174.png" /><Relationship Type="http://schemas.openxmlformats.org/officeDocument/2006/relationships/hyperlink" Id="rId42" Target="http://repository.si.edu/xmlui/handle/10088/35473" TargetMode="External" /><Relationship Type="http://schemas.openxmlformats.org/officeDocument/2006/relationships/hyperlink" Id="rId38" Target="https://doi.org/10.1007/978-1-4684-9181-4" TargetMode="External" /><Relationship Type="http://schemas.openxmlformats.org/officeDocument/2006/relationships/hyperlink" Id="rId54" Target="https://doi.org/10.1007/s10914-010-9144-8" TargetMode="External" /><Relationship Type="http://schemas.openxmlformats.org/officeDocument/2006/relationships/hyperlink" Id="rId80" Target="https://doi.org/10.1007/s10914-011-9175-9" TargetMode="External" /><Relationship Type="http://schemas.openxmlformats.org/officeDocument/2006/relationships/hyperlink" Id="rId154" Target="https://doi.org/10.1016/j.earscirev.2021.103617" TargetMode="External" /><Relationship Type="http://schemas.openxmlformats.org/officeDocument/2006/relationships/hyperlink" Id="rId48" Target="https://doi.org/10.1016/j.geobios.2006.09.005" TargetMode="External" /><Relationship Type="http://schemas.openxmlformats.org/officeDocument/2006/relationships/hyperlink" Id="rId146" Target="https://doi.org/10.1016/j.gloplacha.2022.103758" TargetMode="External" /><Relationship Type="http://schemas.openxmlformats.org/officeDocument/2006/relationships/hyperlink" Id="rId144" Target="https://doi.org/10.1016/j.palaeo.2025.112905" TargetMode="External" /><Relationship Type="http://schemas.openxmlformats.org/officeDocument/2006/relationships/hyperlink" Id="rId142" Target="https://doi.org/10.1016/j.tree.2004.09.011" TargetMode="External" /><Relationship Type="http://schemas.openxmlformats.org/officeDocument/2006/relationships/hyperlink" Id="rId60" Target="https://doi.org/10.1017/S0094837300010605" TargetMode="External" /><Relationship Type="http://schemas.openxmlformats.org/officeDocument/2006/relationships/hyperlink" Id="rId46" Target="https://doi.org/10.1029/2025GC012288" TargetMode="External" /><Relationship Type="http://schemas.openxmlformats.org/officeDocument/2006/relationships/hyperlink" Id="rId103" Target="https://doi.org/10.1038/s41559-023-02220-8" TargetMode="External" /><Relationship Type="http://schemas.openxmlformats.org/officeDocument/2006/relationships/hyperlink" Id="rId71" Target="https://doi.org/10.1038/s41598-020-58575-6" TargetMode="External" /><Relationship Type="http://schemas.openxmlformats.org/officeDocument/2006/relationships/hyperlink" Id="rId82" Target="https://doi.org/10.1038/s41598-022-05266-z" TargetMode="External" /><Relationship Type="http://schemas.openxmlformats.org/officeDocument/2006/relationships/hyperlink" Id="rId86" Target="https://doi.org/10.1038/s44185-024-00045-7" TargetMode="External" /><Relationship Type="http://schemas.openxmlformats.org/officeDocument/2006/relationships/hyperlink" Id="rId113" Target="https://doi.org/10.1038/sdata.2018.214" TargetMode="External" /><Relationship Type="http://schemas.openxmlformats.org/officeDocument/2006/relationships/hyperlink" Id="rId127" Target="https://doi.org/10.1073/pnas.0903811106" TargetMode="External" /><Relationship Type="http://schemas.openxmlformats.org/officeDocument/2006/relationships/hyperlink" Id="rId56" Target="https://doi.org/10.1073/pnas.1423853112" TargetMode="External" /><Relationship Type="http://schemas.openxmlformats.org/officeDocument/2006/relationships/hyperlink" Id="rId64"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40" Target="https://doi.org/10.1073/pnas.2419520122" TargetMode="External" /><Relationship Type="http://schemas.openxmlformats.org/officeDocument/2006/relationships/hyperlink" Id="rId105" Target="https://doi.org/10.1093/sysbio/syac048" TargetMode="External" /><Relationship Type="http://schemas.openxmlformats.org/officeDocument/2006/relationships/hyperlink" Id="rId156" Target="https://doi.org/10.1098/rspb.2019.2806" TargetMode="External" /><Relationship Type="http://schemas.openxmlformats.org/officeDocument/2006/relationships/hyperlink" Id="rId89" Target="https://doi.org/10.1098/rspb.2025.1745" TargetMode="External" /><Relationship Type="http://schemas.openxmlformats.org/officeDocument/2006/relationships/hyperlink" Id="rId93" Target="https://doi.org/10.1111/ecog.06132" TargetMode="External" /><Relationship Type="http://schemas.openxmlformats.org/officeDocument/2006/relationships/hyperlink" Id="rId158" Target="https://doi.org/10.1111/ele.12398" TargetMode="External" /><Relationship Type="http://schemas.openxmlformats.org/officeDocument/2006/relationships/hyperlink" Id="rId74" Target="https://doi.org/10.1111/geb.12504" TargetMode="External" /><Relationship Type="http://schemas.openxmlformats.org/officeDocument/2006/relationships/hyperlink" Id="rId111" Target="https://doi.org/10.1111/geb.13683" TargetMode="External" /><Relationship Type="http://schemas.openxmlformats.org/officeDocument/2006/relationships/hyperlink" Id="rId125" Target="https://doi.org/10.1111/j.1461-0248.2012.01855.x" TargetMode="External" /><Relationship Type="http://schemas.openxmlformats.org/officeDocument/2006/relationships/hyperlink" Id="rId129" Target="https://doi.org/10.1111/j.1600-0587.2009.06335.x" TargetMode="External" /><Relationship Type="http://schemas.openxmlformats.org/officeDocument/2006/relationships/hyperlink" Id="rId132" Target="https://doi.org/10.1111/j.1600-0587.2010.06327.x" TargetMode="External" /><Relationship Type="http://schemas.openxmlformats.org/officeDocument/2006/relationships/hyperlink" Id="rId76" Target="https://doi.org/10.1111/pala.70012" TargetMode="External" /><Relationship Type="http://schemas.openxmlformats.org/officeDocument/2006/relationships/hyperlink" Id="rId44" Target="https://doi.org/10.1126/sciadv.1600883" TargetMode="External" /><Relationship Type="http://schemas.openxmlformats.org/officeDocument/2006/relationships/hyperlink" Id="rId120" Target="https://doi.org/10.1126/sciadv.abc6228" TargetMode="External" /><Relationship Type="http://schemas.openxmlformats.org/officeDocument/2006/relationships/hyperlink" Id="rId91" Target="https://doi.org/10.1126/sciadv.abj2271" TargetMode="External" /><Relationship Type="http://schemas.openxmlformats.org/officeDocument/2006/relationships/hyperlink" Id="rId136" Target="https://doi.org/10.1126/science.165.3889.131" TargetMode="External" /><Relationship Type="http://schemas.openxmlformats.org/officeDocument/2006/relationships/hyperlink" Id="rId40"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68" Target="https://doi.org/10.1126/science.adu0704" TargetMode="External" /><Relationship Type="http://schemas.openxmlformats.org/officeDocument/2006/relationships/hyperlink" Id="rId58" Target="https://doi.org/10.1130/G37624.1" TargetMode="External" /><Relationship Type="http://schemas.openxmlformats.org/officeDocument/2006/relationships/hyperlink" Id="rId150" Target="https://doi.org/10.1130/MEM182-p417" TargetMode="External" /><Relationship Type="http://schemas.openxmlformats.org/officeDocument/2006/relationships/hyperlink" Id="rId66" Target="https://doi.org/10.1146/annurev-earth-072619-060126" TargetMode="External" /><Relationship Type="http://schemas.openxmlformats.org/officeDocument/2006/relationships/hyperlink" Id="rId118" Target="https://doi.org/10.1146/annurev.ecolsys.34.012103.144032" TargetMode="External" /><Relationship Type="http://schemas.openxmlformats.org/officeDocument/2006/relationships/hyperlink" Id="rId152" Target="https://doi.org/10.1206/0003-0090-363.1.1" TargetMode="External" /><Relationship Type="http://schemas.openxmlformats.org/officeDocument/2006/relationships/hyperlink" Id="rId95" Target="https://doi.org/10.1371/journal.pbio.3001340" TargetMode="External" /><Relationship Type="http://schemas.openxmlformats.org/officeDocument/2006/relationships/hyperlink" Id="rId97" Target="https://doi.org/10.1371/journal.pone.0332766" TargetMode="External" /><Relationship Type="http://schemas.openxmlformats.org/officeDocument/2006/relationships/hyperlink" Id="rId123" Target="https://doi.org/10.1525/california/9780520268685.003.0018" TargetMode="External" /><Relationship Type="http://schemas.openxmlformats.org/officeDocument/2006/relationships/hyperlink" Id="rId78" Target="https://doi.org/10.2307/1381862" TargetMode="External" /><Relationship Type="http://schemas.openxmlformats.org/officeDocument/2006/relationships/hyperlink" Id="rId52" Target="https://doi.org/10.3389/fgene.2014.00451" TargetMode="External" /><Relationship Type="http://schemas.openxmlformats.org/officeDocument/2006/relationships/hyperlink" Id="rId138" Target="https://doi.org/10.3389/fmamm.2024.1518039" TargetMode="External" /><Relationship Type="http://schemas.openxmlformats.org/officeDocument/2006/relationships/hyperlink" Id="rId134" Target="https://doi.org/10.3389/fpls.2019.01328" TargetMode="External" /><Relationship Type="http://schemas.openxmlformats.org/officeDocument/2006/relationships/hyperlink" Id="rId84"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5" Target="https://eartharxiv.org/repository/view/6269/" TargetMode="External" /><Relationship Type="http://schemas.openxmlformats.org/officeDocument/2006/relationships/hyperlink" Id="rId62" Target="https://link.springer.com/10.1007/978-94-017-9792-4" TargetMode="External" /><Relationship Type="http://schemas.openxmlformats.org/officeDocument/2006/relationships/hyperlink" Id="rId50" Target="https://www.degruyterbrill.com/document/doi/10.7312/wood13040-008/html" TargetMode="External" /><Relationship Type="http://schemas.openxmlformats.org/officeDocument/2006/relationships/hyperlink" Id="rId36" Target="https://www.jstor.org/stable/1688046" TargetMode="External" /><Relationship Type="http://schemas.openxmlformats.org/officeDocument/2006/relationships/hyperlink" Id="rId34" Target="https://www.jstor.org/stable/2400220" TargetMode="External" /><Relationship Type="http://schemas.openxmlformats.org/officeDocument/2006/relationships/hyperlink" Id="rId148" Target="https://www.jstor.org/stable/27826322" TargetMode="External" /></Relationships>
</file>

<file path=word/_rels/footnotes.xml.rels><?xml version="1.0" encoding="UTF-8"?><Relationships xmlns="http://schemas.openxmlformats.org/package/2006/relationships"><Relationship Type="http://schemas.openxmlformats.org/officeDocument/2006/relationships/hyperlink" Id="rId42" Target="http://repository.si.edu/xmlui/handle/10088/35473" TargetMode="External" /><Relationship Type="http://schemas.openxmlformats.org/officeDocument/2006/relationships/hyperlink" Id="rId38" Target="https://doi.org/10.1007/978-1-4684-9181-4" TargetMode="External" /><Relationship Type="http://schemas.openxmlformats.org/officeDocument/2006/relationships/hyperlink" Id="rId54" Target="https://doi.org/10.1007/s10914-010-9144-8" TargetMode="External" /><Relationship Type="http://schemas.openxmlformats.org/officeDocument/2006/relationships/hyperlink" Id="rId80" Target="https://doi.org/10.1007/s10914-011-9175-9" TargetMode="External" /><Relationship Type="http://schemas.openxmlformats.org/officeDocument/2006/relationships/hyperlink" Id="rId154" Target="https://doi.org/10.1016/j.earscirev.2021.103617" TargetMode="External" /><Relationship Type="http://schemas.openxmlformats.org/officeDocument/2006/relationships/hyperlink" Id="rId48" Target="https://doi.org/10.1016/j.geobios.2006.09.005" TargetMode="External" /><Relationship Type="http://schemas.openxmlformats.org/officeDocument/2006/relationships/hyperlink" Id="rId146" Target="https://doi.org/10.1016/j.gloplacha.2022.103758" TargetMode="External" /><Relationship Type="http://schemas.openxmlformats.org/officeDocument/2006/relationships/hyperlink" Id="rId144" Target="https://doi.org/10.1016/j.palaeo.2025.112905" TargetMode="External" /><Relationship Type="http://schemas.openxmlformats.org/officeDocument/2006/relationships/hyperlink" Id="rId142" Target="https://doi.org/10.1016/j.tree.2004.09.011" TargetMode="External" /><Relationship Type="http://schemas.openxmlformats.org/officeDocument/2006/relationships/hyperlink" Id="rId60" Target="https://doi.org/10.1017/S0094837300010605" TargetMode="External" /><Relationship Type="http://schemas.openxmlformats.org/officeDocument/2006/relationships/hyperlink" Id="rId46" Target="https://doi.org/10.1029/2025GC012288" TargetMode="External" /><Relationship Type="http://schemas.openxmlformats.org/officeDocument/2006/relationships/hyperlink" Id="rId103" Target="https://doi.org/10.1038/s41559-023-02220-8" TargetMode="External" /><Relationship Type="http://schemas.openxmlformats.org/officeDocument/2006/relationships/hyperlink" Id="rId71" Target="https://doi.org/10.1038/s41598-020-58575-6" TargetMode="External" /><Relationship Type="http://schemas.openxmlformats.org/officeDocument/2006/relationships/hyperlink" Id="rId82" Target="https://doi.org/10.1038/s41598-022-05266-z" TargetMode="External" /><Relationship Type="http://schemas.openxmlformats.org/officeDocument/2006/relationships/hyperlink" Id="rId86" Target="https://doi.org/10.1038/s44185-024-00045-7" TargetMode="External" /><Relationship Type="http://schemas.openxmlformats.org/officeDocument/2006/relationships/hyperlink" Id="rId113" Target="https://doi.org/10.1038/sdata.2018.214" TargetMode="External" /><Relationship Type="http://schemas.openxmlformats.org/officeDocument/2006/relationships/hyperlink" Id="rId127" Target="https://doi.org/10.1073/pnas.0903811106" TargetMode="External" /><Relationship Type="http://schemas.openxmlformats.org/officeDocument/2006/relationships/hyperlink" Id="rId56" Target="https://doi.org/10.1073/pnas.1423853112" TargetMode="External" /><Relationship Type="http://schemas.openxmlformats.org/officeDocument/2006/relationships/hyperlink" Id="rId64"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40" Target="https://doi.org/10.1073/pnas.2419520122" TargetMode="External" /><Relationship Type="http://schemas.openxmlformats.org/officeDocument/2006/relationships/hyperlink" Id="rId105" Target="https://doi.org/10.1093/sysbio/syac048" TargetMode="External" /><Relationship Type="http://schemas.openxmlformats.org/officeDocument/2006/relationships/hyperlink" Id="rId156" Target="https://doi.org/10.1098/rspb.2019.2806" TargetMode="External" /><Relationship Type="http://schemas.openxmlformats.org/officeDocument/2006/relationships/hyperlink" Id="rId89" Target="https://doi.org/10.1098/rspb.2025.1745" TargetMode="External" /><Relationship Type="http://schemas.openxmlformats.org/officeDocument/2006/relationships/hyperlink" Id="rId93" Target="https://doi.org/10.1111/ecog.06132" TargetMode="External" /><Relationship Type="http://schemas.openxmlformats.org/officeDocument/2006/relationships/hyperlink" Id="rId158" Target="https://doi.org/10.1111/ele.12398" TargetMode="External" /><Relationship Type="http://schemas.openxmlformats.org/officeDocument/2006/relationships/hyperlink" Id="rId74" Target="https://doi.org/10.1111/geb.12504" TargetMode="External" /><Relationship Type="http://schemas.openxmlformats.org/officeDocument/2006/relationships/hyperlink" Id="rId111" Target="https://doi.org/10.1111/geb.13683" TargetMode="External" /><Relationship Type="http://schemas.openxmlformats.org/officeDocument/2006/relationships/hyperlink" Id="rId125" Target="https://doi.org/10.1111/j.1461-0248.2012.01855.x" TargetMode="External" /><Relationship Type="http://schemas.openxmlformats.org/officeDocument/2006/relationships/hyperlink" Id="rId129" Target="https://doi.org/10.1111/j.1600-0587.2009.06335.x" TargetMode="External" /><Relationship Type="http://schemas.openxmlformats.org/officeDocument/2006/relationships/hyperlink" Id="rId132" Target="https://doi.org/10.1111/j.1600-0587.2010.06327.x" TargetMode="External" /><Relationship Type="http://schemas.openxmlformats.org/officeDocument/2006/relationships/hyperlink" Id="rId76" Target="https://doi.org/10.1111/pala.70012" TargetMode="External" /><Relationship Type="http://schemas.openxmlformats.org/officeDocument/2006/relationships/hyperlink" Id="rId44" Target="https://doi.org/10.1126/sciadv.1600883" TargetMode="External" /><Relationship Type="http://schemas.openxmlformats.org/officeDocument/2006/relationships/hyperlink" Id="rId120" Target="https://doi.org/10.1126/sciadv.abc6228" TargetMode="External" /><Relationship Type="http://schemas.openxmlformats.org/officeDocument/2006/relationships/hyperlink" Id="rId91" Target="https://doi.org/10.1126/sciadv.abj2271" TargetMode="External" /><Relationship Type="http://schemas.openxmlformats.org/officeDocument/2006/relationships/hyperlink" Id="rId136" Target="https://doi.org/10.1126/science.165.3889.131" TargetMode="External" /><Relationship Type="http://schemas.openxmlformats.org/officeDocument/2006/relationships/hyperlink" Id="rId40"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68" Target="https://doi.org/10.1126/science.adu0704" TargetMode="External" /><Relationship Type="http://schemas.openxmlformats.org/officeDocument/2006/relationships/hyperlink" Id="rId58" Target="https://doi.org/10.1130/G37624.1" TargetMode="External" /><Relationship Type="http://schemas.openxmlformats.org/officeDocument/2006/relationships/hyperlink" Id="rId150" Target="https://doi.org/10.1130/MEM182-p417" TargetMode="External" /><Relationship Type="http://schemas.openxmlformats.org/officeDocument/2006/relationships/hyperlink" Id="rId66" Target="https://doi.org/10.1146/annurev-earth-072619-060126" TargetMode="External" /><Relationship Type="http://schemas.openxmlformats.org/officeDocument/2006/relationships/hyperlink" Id="rId118" Target="https://doi.org/10.1146/annurev.ecolsys.34.012103.144032" TargetMode="External" /><Relationship Type="http://schemas.openxmlformats.org/officeDocument/2006/relationships/hyperlink" Id="rId152" Target="https://doi.org/10.1206/0003-0090-363.1.1" TargetMode="External" /><Relationship Type="http://schemas.openxmlformats.org/officeDocument/2006/relationships/hyperlink" Id="rId95" Target="https://doi.org/10.1371/journal.pbio.3001340" TargetMode="External" /><Relationship Type="http://schemas.openxmlformats.org/officeDocument/2006/relationships/hyperlink" Id="rId97" Target="https://doi.org/10.1371/journal.pone.0332766" TargetMode="External" /><Relationship Type="http://schemas.openxmlformats.org/officeDocument/2006/relationships/hyperlink" Id="rId123" Target="https://doi.org/10.1525/california/9780520268685.003.0018" TargetMode="External" /><Relationship Type="http://schemas.openxmlformats.org/officeDocument/2006/relationships/hyperlink" Id="rId78" Target="https://doi.org/10.2307/1381862" TargetMode="External" /><Relationship Type="http://schemas.openxmlformats.org/officeDocument/2006/relationships/hyperlink" Id="rId52" Target="https://doi.org/10.3389/fgene.2014.00451" TargetMode="External" /><Relationship Type="http://schemas.openxmlformats.org/officeDocument/2006/relationships/hyperlink" Id="rId138" Target="https://doi.org/10.3389/fmamm.2024.1518039" TargetMode="External" /><Relationship Type="http://schemas.openxmlformats.org/officeDocument/2006/relationships/hyperlink" Id="rId134" Target="https://doi.org/10.3389/fpls.2019.01328" TargetMode="External" /><Relationship Type="http://schemas.openxmlformats.org/officeDocument/2006/relationships/hyperlink" Id="rId84"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5" Target="https://eartharxiv.org/repository/view/6269/" TargetMode="External" /><Relationship Type="http://schemas.openxmlformats.org/officeDocument/2006/relationships/hyperlink" Id="rId62" Target="https://link.springer.com/10.1007/978-94-017-9792-4" TargetMode="External" /><Relationship Type="http://schemas.openxmlformats.org/officeDocument/2006/relationships/hyperlink" Id="rId50" Target="https://www.degruyterbrill.com/document/doi/10.7312/wood13040-008/html" TargetMode="External" /><Relationship Type="http://schemas.openxmlformats.org/officeDocument/2006/relationships/hyperlink" Id="rId36" Target="https://www.jstor.org/stable/1688046" TargetMode="External" /><Relationship Type="http://schemas.openxmlformats.org/officeDocument/2006/relationships/hyperlink" Id="rId34" Target="https://www.jstor.org/stable/2400220" TargetMode="External" /><Relationship Type="http://schemas.openxmlformats.org/officeDocument/2006/relationships/hyperlink" Id="rId148" Target="https://www.jstor.org/stable/27826322"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Palaeoclimate alone fails to explain the asymmetry of the Great American Biotic Interchange</dc:title>
  <dc:creator>Lucas Buffan¹, Fabien L. Condamine¹, Sara Varela²</dc:creator>
  <cp:keywords/>
  <dcterms:created xsi:type="dcterms:W3CDTF">2026-01-23T10:34:37Z</dcterms:created>
  <dcterms:modified xsi:type="dcterms:W3CDTF">2026-01-23T10:34:37Z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