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6"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587151" cy="5184144"/>
                  <wp:effectExtent b="0" l="0" r="0" t="0"/>
                  <wp:docPr descr="" title="" id="23" name="Picture"/>
                  <a:graphic>
                    <a:graphicData uri="http://schemas.openxmlformats.org/drawingml/2006/picture">
                      <pic:pic>
                        <pic:nvPicPr>
                          <pic:cNvPr descr="../Figures/MS/Main/Figure1/Figure1.png" id="24" name="Picture"/>
                          <pic:cNvPicPr>
                            <a:picLocks noChangeArrowheads="1" noChangeAspect="1"/>
                          </pic:cNvPicPr>
                        </pic:nvPicPr>
                        <pic:blipFill>
                          <a:blip r:embed="rId22"/>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35</w:t>
            </w:r>
            <w:r>
              <w:t xml:space="preserve">. The empirically-derived asymmetry of the transcontinental land mammal exchange is represented by the thickness of the two arrows, the thicker the arrow, the more intense the exchange.</w:t>
            </w:r>
          </w:p>
          <w:bookmarkEnd w:id="25"/>
        </w:tc>
      </w:tr>
    </w:tbl>
    <w:bookmarkEnd w:id="26"/>
    <w:bookmarkStart w:id="38" w:name="results"/>
    <w:p>
      <w:pPr>
        <w:pStyle w:val="Heading1"/>
      </w:pPr>
      <w:r>
        <w:t xml:space="preserve">Results</w:t>
      </w:r>
    </w:p>
    <w:bookmarkStart w:id="31"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in the biogeographic asymmetry of the Great American Biotic Interchange (GABI) was tested in a simulation-based framework relying on gen3sis v1.5.11, a mechanistic eco-evolutionary simulator</w:t>
      </w:r>
      <w:r>
        <w:rPr>
          <w:vertAlign w:val="superscript"/>
        </w:rPr>
        <w:t xml:space="preserve">27</w:t>
      </w:r>
      <w:r>
        <w:t xml:space="preserve"> </w:t>
      </w:r>
      <w:r>
        <w:t xml:space="preserve">and palaeoclimatic layers (annual temperature and precipitation) covering the last 5 million years generated by the PALEO-PGEM emulator</w:t>
      </w:r>
      <w:r>
        <w:rPr>
          <w:vertAlign w:val="superscript"/>
        </w:rPr>
        <w:t xml:space="preserve">34,36</w:t>
      </w:r>
      <w:r>
        <w:t xml:space="preserve">. Each set of simulations tracked the radiation of a clade either originating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2">
        <w:r>
          <w:rPr>
            <w:rStyle w:val="Hyperlink"/>
          </w:rPr>
          <w:t xml:space="preserve">Figure 2</w:t>
        </w:r>
      </w:hyperlink>
      <w:r>
        <w:t xml:space="preserve"> </w:t>
      </w:r>
      <w:r>
        <w:t xml:space="preserve">A). This imbalance, strikingly going against our expectations, is maintained whether we allow species climatic niche to evolve following climatic change (44% vs. 87%, model</w:t>
      </w:r>
      <w:r>
        <w:t xml:space="preserve"> </w:t>
      </w:r>
      <m:oMath>
        <m:r>
          <m:t>M</m:t>
        </m:r>
        <m:r>
          <m:t>1</m:t>
        </m:r>
      </m:oMath>
      <w:r>
        <w:t xml:space="preserve">) or not (29% vs 59%,</w:t>
      </w:r>
      <w:r>
        <w:t xml:space="preserve"> </w:t>
      </w:r>
      <m:oMath>
        <m:r>
          <m:t>M</m:t>
        </m:r>
        <m:r>
          <m:t>0</m:t>
        </m:r>
      </m:oMath>
      <w:r>
        <w:t xml:space="preserve">). When climatic niches were able to evolve, amputation of either their temperature (47% vs. 88%,</w:t>
      </w:r>
      <w:r>
        <w:t xml:space="preserve"> </w:t>
      </w:r>
      <m:oMath>
        <m:r>
          <m:t>M</m:t>
        </m:r>
        <m:r>
          <m:t>2</m:t>
        </m:r>
      </m:oMath>
      <w:r>
        <w:t xml:space="preserve">) or precipitation (38% vs. 89%,</w:t>
      </w:r>
      <w:r>
        <w:t xml:space="preserve"> </w:t>
      </w:r>
      <m:oMath>
        <m:r>
          <m:t>M</m:t>
        </m:r>
        <m:r>
          <m:t>3</m:t>
        </m:r>
      </m:oMath>
      <w:r>
        <w:t xml:space="preserve">) compounds does not alter the pattern. That being said, out of the 500 runs carried out for each landmass-scenario combination (see</w:t>
      </w:r>
      <w:r>
        <w:t xml:space="preserve"> </w:t>
      </w:r>
      <w:r>
        <w:rPr>
          <w:i/>
          <w:iCs/>
        </w:rPr>
        <w:t xml:space="preserve">Star Methods</w:t>
      </w:r>
      <w:r>
        <w:t xml:space="preserve">), the proportion of simulations leading to no living representative (=crash) was on average twice higher for simulations starting in North America, except for model</w:t>
      </w:r>
      <w:r>
        <w:t xml:space="preserve"> </w:t>
      </w:r>
      <m:oMath>
        <m:r>
          <m:t>M</m:t>
        </m:r>
        <m:r>
          <m:t>3</m:t>
        </m:r>
      </m:oMath>
      <w:r>
        <w:t xml:space="preserve"> </w:t>
      </w:r>
      <w:r>
        <w:t xml:space="preserve">(</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left"/>
            </w:pPr>
            <w:r>
              <w:drawing>
                <wp:inline>
                  <wp:extent cx="5521510" cy="7258717"/>
                  <wp:effectExtent b="0" l="0" r="0" t="0"/>
                  <wp:docPr descr="" title="" id="28" name="Picture"/>
                  <a:graphic>
                    <a:graphicData uri="http://schemas.openxmlformats.org/drawingml/2006/picture">
                      <pic:pic>
                        <pic:nvPicPr>
                          <pic:cNvPr descr="../Figures/MS/Main/Figure2/Figure2.png" id="29" name="Picture"/>
                          <pic:cNvPicPr>
                            <a:picLocks noChangeArrowheads="1" noChangeAspect="1"/>
                          </pic:cNvPicPr>
                        </pic:nvPicPr>
                        <pic:blipFill>
                          <a:blip r:embed="rId27"/>
                          <a:stretch>
                            <a:fillRect/>
                          </a:stretch>
                        </pic:blipFill>
                        <pic:spPr bwMode="auto">
                          <a:xfrm>
                            <a:off x="0" y="0"/>
                            <a:ext cx="5521510" cy="7258717"/>
                          </a:xfrm>
                          <a:prstGeom prst="rect">
                            <a:avLst/>
                          </a:prstGeom>
                          <a:noFill/>
                          <a:ln w="9525">
                            <a:noFill/>
                            <a:headEnd/>
                            <a:tailEnd/>
                          </a:ln>
                        </pic:spPr>
                      </pic:pic>
                    </a:graphicData>
                  </a:graphic>
                </wp:inline>
              </w:drawing>
            </w:r>
          </w:p>
          <w:p>
            <w:pPr>
              <w:jc w:val="left"/>
            </w:pPr>
            <w:pPr>
              <w:jc w:val="start"/>
              <w:spacing w:before="200"/>
              <w:pStyle w:val="ImageCaption"/>
            </w:pPr>
            <w:r>
              <w:t xml:space="preserve">Figure 2: A few metrics summarising climate-mediated interchange. From left to right are depicted the results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Numbers on the x-axis represent the number of simulations actually considered after removing simulations leading to no living representative (=crash).</w:t>
            </w:r>
            <w:r>
              <w:t xml:space="preserve"> </w:t>
            </w:r>
            <w:r>
              <w:rPr>
                <w:b/>
                <w:bCs/>
              </w:rPr>
              <w:t xml:space="preserve">(A)</w:t>
            </w:r>
            <w:r>
              <w:t xml:space="preserve"> </w:t>
            </w:r>
            <w:r>
              <w:t xml:space="preserve">Proportion of simulations leading to a successful exchange to the other continent.</w:t>
            </w:r>
            <w:r>
              <w:t xml:space="preserve"> </w:t>
            </w:r>
            <w:r>
              <w:rPr>
                <w:b/>
                <w:bCs/>
              </w:rPr>
              <w:t xml:space="preserve">(B)</w:t>
            </w:r>
            <w:r>
              <w:t xml:space="preserve"> </w:t>
            </w:r>
            <w:r>
              <w:t xml:space="preserve">Proportion of colonised area.</w:t>
            </w:r>
            <w:r>
              <w:t xml:space="preserve"> </w:t>
            </w:r>
            <w:r>
              <w:rPr>
                <w:b/>
                <w:bCs/>
              </w:rPr>
              <w:t xml:space="preserve">(C)</w:t>
            </w:r>
            <w:r>
              <w:t xml:space="preserve"> </w:t>
            </w:r>
            <w:r>
              <w:t xml:space="preserve">Distance to the isthmus. The last two metrics have been computed out of successful simulations,</w:t>
            </w:r>
            <w:r>
              <w:t xml:space="preserve"> </w:t>
            </w:r>
            <w:r>
              <w:rPr>
                <w:i/>
                <w:iCs/>
              </w:rPr>
              <w:t xml:space="preserve">i</w:t>
            </w:r>
            <w:r>
              <w:t xml:space="preserve">.</w:t>
            </w:r>
            <w:r>
              <w:rPr>
                <w:i/>
                <w:iCs/>
              </w:rPr>
              <w:t xml:space="preserve">e</w:t>
            </w:r>
            <w:r>
              <w:t xml:space="preserve">., that resulted in a transcontinental faunal exchange.</w:t>
            </w:r>
          </w:p>
          <w:bookmarkEnd w:id="30"/>
        </w:tc>
      </w:tr>
    </w:tbl>
    <w:bookmarkEnd w:id="31"/>
    <w:bookmarkStart w:id="32" w:name="success-on-the-foreign-continent"/>
    <w:p>
      <w:pPr>
        <w:pStyle w:val="Heading2"/>
      </w:pPr>
      <w:r>
        <w:t xml:space="preserve">Success on the foreign continent</w:t>
      </w:r>
    </w:p>
    <w:p>
      <w:pPr>
        <w:pStyle w:val="FirstParagraph"/>
      </w:pPr>
      <w:r>
        <w:t xml:space="preserve">Our findings reveal that successful simulations starting in North America result in a higher proportion of colonised area, quantified as the ratio between the number of pixels recording a presence in the landmass to colonise and the total number of pixels offered by this landmass (</w:t>
      </w:r>
      <w:hyperlink w:anchor="fig-2">
        <w:r>
          <w:rPr>
            <w:rStyle w:val="Hyperlink"/>
          </w:rPr>
          <w:t xml:space="preserve">Figure 2</w:t>
        </w:r>
      </w:hyperlink>
      <w:r>
        <w:t xml:space="preserve"> </w:t>
      </w:r>
      <w:r>
        <w:t xml:space="preserve">B). The pattern holds for all but the</w:t>
      </w:r>
      <w:r>
        <w:t xml:space="preserve"> </w:t>
      </w:r>
      <m:oMath>
        <m:r>
          <m:t>M</m:t>
        </m:r>
        <m:r>
          <m:t>3</m:t>
        </m:r>
      </m:oMath>
      <w:r>
        <w:t xml:space="preserve"> </w:t>
      </w:r>
      <w:r>
        <w:t xml:space="preserve">model – relaxing the precipitation constraint on virtual species’ niche (</w:t>
      </w:r>
      <w:hyperlink w:anchor="fig-2">
        <w:r>
          <w:rPr>
            <w:rStyle w:val="Hyperlink"/>
          </w:rPr>
          <w:t xml:space="preserve">Figure 2</w:t>
        </w:r>
      </w:hyperlink>
      <w:r>
        <w:t xml:space="preserve"> </w:t>
      </w:r>
      <w:r>
        <w:t xml:space="preserve">B). In addition, successful simulations starting in North America generally started from an ancestor located closer to the isthmus than those starting in South America (</w:t>
      </w:r>
      <w:hyperlink w:anchor="fig-2">
        <w:r>
          <w:rPr>
            <w:rStyle w:val="Hyperlink"/>
          </w:rPr>
          <w:t xml:space="preserve">Figure 2</w:t>
        </w:r>
      </w:hyperlink>
      <w:r>
        <w:t xml:space="preserve"> </w:t>
      </w:r>
      <w:r>
        <w:t xml:space="preserve">C), again except for simulation generated under</w:t>
      </w:r>
      <w:r>
        <w:t xml:space="preserve"> </w:t>
      </w:r>
      <m:oMath>
        <m:r>
          <m:t>M</m:t>
        </m:r>
        <m:r>
          <m:t>3</m:t>
        </m:r>
      </m:oMath>
      <w:r>
        <w:t xml:space="preserve">. Also, we can highlight a general trend that ancestral species originates closer to the isthmus in the case of successful simulations compared to unsuccessful ones (Supp. Figure 3-4). Also, no difference in the diversity reached on the colonised area could be characterised between simulations based on their area of origin (Supp. Figure 1).</w:t>
      </w:r>
    </w:p>
    <w:bookmarkEnd w:id="32"/>
    <w:bookmarkStart w:id="37" w:name="biome"/>
    <w:p>
      <w:pPr>
        <w:pStyle w:val="Heading2"/>
      </w:pPr>
      <w:r>
        <w:t xml:space="preserve">Biome</w:t>
      </w:r>
    </w:p>
    <w:p>
      <w:pPr>
        <w:pStyle w:val="FirstParagraph"/>
      </w:pPr>
      <w:r>
        <w:t xml:space="preserve">We classified the climatic landscape at the time where simulation starts (</w:t>
      </w:r>
      <m:oMath>
        <m:r>
          <m:t>t</m:t>
        </m:r>
        <m:r>
          <m:rPr>
            <m:sty m:val="p"/>
          </m:rPr>
          <m:t>=</m:t>
        </m:r>
        <m:r>
          <m:t>5</m:t>
        </m:r>
      </m:oMath>
      <w:r>
        <w:t xml:space="preserve"> </w:t>
      </w:r>
      <w:r>
        <w:t xml:space="preserve">Million years ago, Ma) following the five broad climatic zones proposed by Beck et al.</w:t>
      </w:r>
      <w:r>
        <w:rPr>
          <w:vertAlign w:val="superscript"/>
        </w:rPr>
        <w:t xml:space="preserve">37</w:t>
      </w:r>
      <w:r>
        <w:t xml:space="preserve"> </w:t>
      </w:r>
      <w:r>
        <w:t xml:space="preserve">and Galván et al.</w:t>
      </w:r>
      <w:r>
        <w:rPr>
          <w:vertAlign w:val="superscript"/>
        </w:rPr>
        <w:t xml:space="preserve">38</w:t>
      </w:r>
      <w:r>
        <w:t xml:space="preserve">: Tropical, Arid, Temperate, Cold and Polar (</w:t>
      </w:r>
      <w:hyperlink w:anchor="fig-3">
        <w:r>
          <w:rPr>
            <w:rStyle w:val="Hyperlink"/>
          </w:rPr>
          <w:t xml:space="preserve">Figure 3</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proportions of simulations starting within each biome – were very uneven across classes and continents. The majority of North American ancestral species originated in the cold biome, whereas the tropical biome recorded the largest proportion of ancestral species origination in South America (Supp. Fig. 5). The distribution of</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left"/>
            </w:pPr>
            <w:r>
              <w:drawing>
                <wp:inline>
                  <wp:extent cx="5943600" cy="3672743"/>
                  <wp:effectExtent b="0" l="0" r="0" t="0"/>
                  <wp:docPr descr="" title="" id="34" name="Picture"/>
                  <a:graphic>
                    <a:graphicData uri="http://schemas.openxmlformats.org/drawingml/2006/picture">
                      <pic:pic>
                        <pic:nvPicPr>
                          <pic:cNvPr descr="../Figures/MS/Main/Figure3/Figure3.png" id="35" name="Picture"/>
                          <pic:cNvPicPr>
                            <a:picLocks noChangeArrowheads="1" noChangeAspect="1"/>
                          </pic:cNvPicPr>
                        </pic:nvPicPr>
                        <pic:blipFill>
                          <a:blip r:embed="rId33"/>
                          <a:stretch>
                            <a:fillRect/>
                          </a:stretch>
                        </pic:blipFill>
                        <pic:spPr bwMode="auto">
                          <a:xfrm>
                            <a:off x="0" y="0"/>
                            <a:ext cx="5943600" cy="3672743"/>
                          </a:xfrm>
                          <a:prstGeom prst="rect">
                            <a:avLst/>
                          </a:prstGeom>
                          <a:noFill/>
                          <a:ln w="9525">
                            <a:noFill/>
                            <a:headEnd/>
                            <a:tailEnd/>
                          </a:ln>
                        </pic:spPr>
                      </pic:pic>
                    </a:graphicData>
                  </a:graphic>
                </wp:inline>
              </w:drawing>
            </w:r>
          </w:p>
          <w:p>
            <w:pPr>
              <w:jc w:val="left"/>
            </w:pPr>
            <w:pPr>
              <w:jc w:val="start"/>
              <w:spacing w:before="200"/>
              <w:pStyle w:val="ImageCaption"/>
            </w:pPr>
            <w:r>
              <w:t xml:space="preserve">Figure 3: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36"/>
        </w:tc>
      </w:tr>
    </w:tbl>
    <w:p>
      <w:r>
        <w:br w:type="page"/>
      </w:r>
    </w:p>
    <w:bookmarkEnd w:id="37"/>
    <w:bookmarkEnd w:id="38"/>
    <w:bookmarkStart w:id="43" w:name="discussion"/>
    <w:p>
      <w:pPr>
        <w:pStyle w:val="Heading1"/>
      </w:pPr>
      <w:r>
        <w:t xml:space="preserve">Discussion</w:t>
      </w:r>
    </w:p>
    <w:p>
      <w:pPr>
        <w:pStyle w:val="FirstParagraph"/>
      </w:pPr>
      <w:r>
        <w:t xml:space="preserve">Smoothing asymmetry =&gt; echo to birds</w:t>
      </w:r>
      <w:r>
        <w:rPr>
          <w:vertAlign w:val="superscript"/>
        </w:rPr>
        <w:t xml:space="preserve">39</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40</w:t>
      </w:r>
      <w:r>
        <w:t xml:space="preserve"> </w:t>
      </w:r>
      <w:r>
        <w:t xml:space="preserve">– than in North America, though see Vrba.</w:t>
      </w:r>
    </w:p>
    <w:bookmarkStart w:id="39" w:name="climate"/>
    <w:p>
      <w:pPr>
        <w:pStyle w:val="Heading2"/>
      </w:pPr>
      <w:r>
        <w:t xml:space="preserve">Climate</w:t>
      </w:r>
    </w:p>
    <w:p>
      <w:pPr>
        <w:pStyle w:val="FirstParagraph"/>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1">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41</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41</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3">
        <w:r>
          <w:rPr>
            <w:rStyle w:val="Hyperlink"/>
          </w:rPr>
          <w:t xml:space="preserve">Figure 3</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Biome pattern (Supp. Figure 5)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39"/>
    <w:bookmarkStart w:id="40"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42</w:t>
      </w:r>
      <w:r>
        <w:t xml:space="preserve">.</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40"/>
    <w:bookmarkStart w:id="41"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22,43</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41"/>
    <w:bookmarkStart w:id="42" w:name="limitations-perspectives"/>
    <w:p>
      <w:pPr>
        <w:pStyle w:val="Heading2"/>
      </w:pPr>
      <w:r>
        <w:t xml:space="preserve">Limitations &amp; perspectives</w:t>
      </w:r>
    </w:p>
    <w:p>
      <w:pPr>
        <w:pStyle w:val="FirstParagraph"/>
      </w:pPr>
      <w:r>
        <w:t xml:space="preserve">Assumption of fixed palaeogeography, particularly near the isthmus, whereas we know that this region changed across our study.</w:t>
      </w:r>
    </w:p>
    <w:p>
      <w:pPr>
        <w:pStyle w:val="BodyText"/>
      </w:pPr>
      <w:r>
        <w:t xml:space="preserve">The landscape designed for the purpose of this study (</w:t>
      </w:r>
      <w:hyperlink w:anchor="fig-1">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44,45</w:t>
      </w:r>
      <w:r>
        <w:t xml:space="preserve">. Although over-water dispersal has long been regarded as the prevailing mechanism</w:t>
      </w:r>
      <w:r>
        <w:rPr>
          <w:vertAlign w:val="superscript"/>
        </w:rPr>
        <w:t xml:space="preserve">44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42"/>
    <w:bookmarkEnd w:id="43"/>
    <w:bookmarkStart w:id="44"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49</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44"/>
    <w:bookmarkStart w:id="142" w:name="references"/>
    <w:p>
      <w:pPr>
        <w:pStyle w:val="Heading1"/>
      </w:pPr>
      <w:r>
        <w:t xml:space="preserve">References</w:t>
      </w:r>
    </w:p>
    <w:bookmarkStart w:id="141" w:name="refs"/>
    <w:bookmarkStart w:id="46" w:name="ref-marshall1982"/>
    <w:p>
      <w:pPr>
        <w:pStyle w:val="Bibliography"/>
      </w:pPr>
      <w:r>
        <w:t xml:space="preserve">1.</w:t>
      </w:r>
      <w:r>
        <w:t xml:space="preserve"> </w:t>
      </w:r>
      <w:r>
        <w:t xml:space="preserve">	</w:t>
      </w:r>
      <w:r>
        <w:t xml:space="preserve">Marshall, L.G., Webb, S.D., Sepkoski, J.J., and Raup, D.M. (1982).</w:t>
      </w:r>
      <w:r>
        <w:t xml:space="preserve"> </w:t>
      </w:r>
      <w:hyperlink r:id="rId45">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6"/>
    <w:bookmarkStart w:id="48"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7">
        <w:r>
          <w:rPr>
            <w:rStyle w:val="Hyperlink"/>
          </w:rPr>
          <w:t xml:space="preserve">https://doi.org/10.1126/science.aaa2815</w:t>
        </w:r>
      </w:hyperlink>
      <w:r>
        <w:t xml:space="preserve">.</w:t>
      </w:r>
    </w:p>
    <w:bookmarkEnd w:id="48"/>
    <w:bookmarkStart w:id="50" w:name="ref-jaramillo2018"/>
    <w:p>
      <w:pPr>
        <w:pStyle w:val="Bibliography"/>
      </w:pPr>
      <w:r>
        <w:t xml:space="preserve">3.</w:t>
      </w:r>
      <w:r>
        <w:t xml:space="preserve"> </w:t>
      </w:r>
      <w:r>
        <w:t xml:space="preserve">	</w:t>
      </w:r>
      <w:r>
        <w:t xml:space="preserve">Jaramillo, C.A. (2018).</w:t>
      </w:r>
      <w:r>
        <w:t xml:space="preserve"> </w:t>
      </w:r>
      <w:hyperlink r:id="rId49">
        <w:r>
          <w:rPr>
            <w:rStyle w:val="Hyperlink"/>
          </w:rPr>
          <w:t xml:space="preserve">Evolution of the isthmus of panama: Biological, paleoceanographic and paleoclimatological implications</w:t>
        </w:r>
      </w:hyperlink>
      <w:r>
        <w:t xml:space="preserve">. In (John Wiley &amp; Sons).</w:t>
      </w:r>
    </w:p>
    <w:bookmarkEnd w:id="50"/>
    <w:bookmarkStart w:id="52"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51">
        <w:r>
          <w:rPr>
            <w:rStyle w:val="Hyperlink"/>
          </w:rPr>
          <w:t xml:space="preserve">https://doi.org/10.1126/sciadv.1600883</w:t>
        </w:r>
      </w:hyperlink>
      <w:r>
        <w:t xml:space="preserve">.</w:t>
      </w:r>
    </w:p>
    <w:bookmarkEnd w:id="52"/>
    <w:bookmarkStart w:id="54"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3">
        <w:r>
          <w:rPr>
            <w:rStyle w:val="Hyperlink"/>
          </w:rPr>
          <w:t xml:space="preserve">https://doi.org/10.1016/j.geobios.2006.09.005</w:t>
        </w:r>
      </w:hyperlink>
      <w:r>
        <w:t xml:space="preserve">.</w:t>
      </w:r>
    </w:p>
    <w:bookmarkEnd w:id="54"/>
    <w:bookmarkStart w:id="56"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5">
        <w:r>
          <w:rPr>
            <w:rStyle w:val="Hyperlink"/>
          </w:rPr>
          <w:t xml:space="preserve">https://doi.org/10.1007/s10914-010-9144-8</w:t>
        </w:r>
      </w:hyperlink>
      <w:r>
        <w:t xml:space="preserve">.</w:t>
      </w:r>
    </w:p>
    <w:bookmarkEnd w:id="56"/>
    <w:bookmarkStart w:id="58"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7">
        <w:r>
          <w:rPr>
            <w:rStyle w:val="Hyperlink"/>
          </w:rPr>
          <w:t xml:space="preserve">https://doi.org/10.1073/pnas.1423853112</w:t>
        </w:r>
      </w:hyperlink>
      <w:r>
        <w:t xml:space="preserve">.</w:t>
      </w:r>
    </w:p>
    <w:bookmarkEnd w:id="58"/>
    <w:bookmarkStart w:id="60"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9">
        <w:r>
          <w:rPr>
            <w:rStyle w:val="Hyperlink"/>
          </w:rPr>
          <w:t xml:space="preserve">https://doi.org/10.1130/G37624.1</w:t>
        </w:r>
      </w:hyperlink>
      <w:r>
        <w:t xml:space="preserve">.</w:t>
      </w:r>
    </w:p>
    <w:bookmarkEnd w:id="60"/>
    <w:bookmarkStart w:id="62" w:name="ref-webb1976"/>
    <w:p>
      <w:pPr>
        <w:pStyle w:val="Bibliography"/>
      </w:pPr>
      <w:r>
        <w:t xml:space="preserve">9.</w:t>
      </w:r>
      <w:r>
        <w:t xml:space="preserve"> </w:t>
      </w:r>
      <w:r>
        <w:t xml:space="preserve">	</w:t>
      </w:r>
      <w:r>
        <w:t xml:space="preserve">Webb, S.D. (1976).</w:t>
      </w:r>
      <w:r>
        <w:t xml:space="preserve"> </w:t>
      </w:r>
      <w:hyperlink r:id="rId61">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2"/>
    <w:bookmarkStart w:id="64"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3">
        <w:r>
          <w:rPr>
            <w:rStyle w:val="Hyperlink"/>
          </w:rPr>
          <w:t xml:space="preserve">https://doi.org/10.1017/S0094837300010605</w:t>
        </w:r>
      </w:hyperlink>
      <w:r>
        <w:t xml:space="preserve">.</w:t>
      </w:r>
    </w:p>
    <w:bookmarkEnd w:id="64"/>
    <w:bookmarkStart w:id="66"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65">
        <w:r>
          <w:rPr>
            <w:rStyle w:val="Hyperlink"/>
          </w:rPr>
          <w:t xml:space="preserve">The Great American Biotic Interchange: A South American Perspective</w:t>
        </w:r>
      </w:hyperlink>
      <w:r>
        <w:t xml:space="preserve"> </w:t>
      </w:r>
      <w:r>
        <w:t xml:space="preserve">(Springer Netherlands).</w:t>
      </w:r>
    </w:p>
    <w:bookmarkEnd w:id="66"/>
    <w:bookmarkStart w:id="68"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7">
        <w:r>
          <w:rPr>
            <w:rStyle w:val="Hyperlink"/>
          </w:rPr>
          <w:t xml:space="preserve">https://doi.org/10.1073/pnas.2009397117</w:t>
        </w:r>
      </w:hyperlink>
      <w:r>
        <w:t xml:space="preserve">.</w:t>
      </w:r>
    </w:p>
    <w:bookmarkEnd w:id="68"/>
    <w:bookmarkStart w:id="70"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9">
        <w:r>
          <w:rPr>
            <w:rStyle w:val="Hyperlink"/>
          </w:rPr>
          <w:t xml:space="preserve">https://doi.org/10.1146/annurev-earth-072619-060126</w:t>
        </w:r>
      </w:hyperlink>
      <w:r>
        <w:t xml:space="preserve">.</w:t>
      </w:r>
    </w:p>
    <w:bookmarkEnd w:id="70"/>
    <w:bookmarkStart w:id="72"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1">
        <w:r>
          <w:rPr>
            <w:rStyle w:val="Hyperlink"/>
          </w:rPr>
          <w:t xml:space="preserve">https://doi.org/10.1126/science.adu0704</w:t>
        </w:r>
      </w:hyperlink>
      <w:r>
        <w:t xml:space="preserve">.</w:t>
      </w:r>
    </w:p>
    <w:bookmarkEnd w:id="72"/>
    <w:bookmarkStart w:id="73"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73"/>
    <w:bookmarkStart w:id="75"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4">
        <w:r>
          <w:rPr>
            <w:rStyle w:val="Hyperlink"/>
          </w:rPr>
          <w:t xml:space="preserve">https://doi.org/10.1038/s41598-020-58575-6</w:t>
        </w:r>
      </w:hyperlink>
      <w:r>
        <w:t xml:space="preserve">.</w:t>
      </w:r>
    </w:p>
    <w:bookmarkEnd w:id="75"/>
    <w:bookmarkStart w:id="76"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6"/>
    <w:bookmarkStart w:id="78"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7">
        <w:r>
          <w:rPr>
            <w:rStyle w:val="Hyperlink"/>
          </w:rPr>
          <w:t xml:space="preserve">https://doi.org/10.1111/geb.12504</w:t>
        </w:r>
      </w:hyperlink>
      <w:r>
        <w:t xml:space="preserve">.</w:t>
      </w:r>
    </w:p>
    <w:bookmarkEnd w:id="78"/>
    <w:bookmarkStart w:id="80"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9">
        <w:r>
          <w:rPr>
            <w:rStyle w:val="Hyperlink"/>
          </w:rPr>
          <w:t xml:space="preserve">https://doi.org/10.1111/pala.70012</w:t>
        </w:r>
      </w:hyperlink>
      <w:r>
        <w:t xml:space="preserve">.</w:t>
      </w:r>
    </w:p>
    <w:bookmarkEnd w:id="80"/>
    <w:bookmarkStart w:id="82"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1">
        <w:r>
          <w:rPr>
            <w:rStyle w:val="Hyperlink"/>
          </w:rPr>
          <w:t xml:space="preserve">https://doi.org/10.2307/1381862</w:t>
        </w:r>
      </w:hyperlink>
      <w:r>
        <w:t xml:space="preserve">.</w:t>
      </w:r>
    </w:p>
    <w:bookmarkEnd w:id="82"/>
    <w:bookmarkStart w:id="84"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3">
        <w:r>
          <w:rPr>
            <w:rStyle w:val="Hyperlink"/>
          </w:rPr>
          <w:t xml:space="preserve">https://doi.org/10.1007/s10914-011-9175-9</w:t>
        </w:r>
      </w:hyperlink>
      <w:r>
        <w:t xml:space="preserve">.</w:t>
      </w:r>
    </w:p>
    <w:bookmarkEnd w:id="84"/>
    <w:bookmarkStart w:id="86"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5">
        <w:r>
          <w:rPr>
            <w:rStyle w:val="Hyperlink"/>
          </w:rPr>
          <w:t xml:space="preserve">https://doi.org/10.1038/s41598-022-05266-z</w:t>
        </w:r>
      </w:hyperlink>
      <w:r>
        <w:t xml:space="preserve">.</w:t>
      </w:r>
    </w:p>
    <w:bookmarkEnd w:id="86"/>
    <w:bookmarkStart w:id="88"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7">
        <w:r>
          <w:rPr>
            <w:rStyle w:val="Hyperlink"/>
          </w:rPr>
          <w:t xml:space="preserve">https://doi.org/10.3390/d17030153</w:t>
        </w:r>
      </w:hyperlink>
      <w:r>
        <w:t xml:space="preserve">.</w:t>
      </w:r>
    </w:p>
    <w:bookmarkEnd w:id="88"/>
    <w:bookmarkStart w:id="90"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0"/>
    <w:bookmarkStart w:id="92"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gearty2023"/>
    <w:p>
      <w:pPr>
        <w:pStyle w:val="Bibliography"/>
      </w:pPr>
      <w:r>
        <w:t xml:space="preserve">35.</w:t>
      </w:r>
      <w:r>
        <w:t xml:space="preserve"> </w:t>
      </w:r>
      <w:r>
        <w:t xml:space="preserve">	</w:t>
      </w:r>
      <w:r>
        <w:t xml:space="preserve">Gearty, W. (2023).</w:t>
      </w:r>
      <w:r>
        <w:t xml:space="preserve"> </w:t>
      </w:r>
      <w:hyperlink r:id="rId111">
        <w:r>
          <w:rPr>
            <w:rStyle w:val="Hyperlink"/>
          </w:rPr>
          <w:t xml:space="preserve">Deeptime: Plotting tools for anyone working in deep time. R package version 1.0.1.</w:t>
        </w:r>
      </w:hyperlink>
    </w:p>
    <w:bookmarkEnd w:id="112"/>
    <w:bookmarkStart w:id="114" w:name="ref-barreto2023"/>
    <w:p>
      <w:pPr>
        <w:pStyle w:val="Bibliography"/>
      </w:pPr>
      <w:r>
        <w:t xml:space="preserve">36.</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3">
        <w:r>
          <w:rPr>
            <w:rStyle w:val="Hyperlink"/>
          </w:rPr>
          <w:t xml:space="preserve">https://doi.org/10.1111/geb.13683</w:t>
        </w:r>
      </w:hyperlink>
      <w:r>
        <w:t xml:space="preserve">.</w:t>
      </w:r>
    </w:p>
    <w:bookmarkEnd w:id="114"/>
    <w:bookmarkStart w:id="116" w:name="ref-beck2018"/>
    <w:p>
      <w:pPr>
        <w:pStyle w:val="Bibliography"/>
      </w:pPr>
      <w:r>
        <w:t xml:space="preserve">37.</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5">
        <w:r>
          <w:rPr>
            <w:rStyle w:val="Hyperlink"/>
          </w:rPr>
          <w:t xml:space="preserve">https://doi.org/10.1038/sdata.2018.214</w:t>
        </w:r>
      </w:hyperlink>
      <w:r>
        <w:t xml:space="preserve">.</w:t>
      </w:r>
    </w:p>
    <w:bookmarkEnd w:id="116"/>
    <w:bookmarkStart w:id="118" w:name="ref-galván2023"/>
    <w:p>
      <w:pPr>
        <w:pStyle w:val="Bibliography"/>
      </w:pPr>
      <w:r>
        <w:t xml:space="preserve">38.</w:t>
      </w:r>
      <w:r>
        <w:t xml:space="preserve"> </w:t>
      </w:r>
      <w:r>
        <w:t xml:space="preserve">	</w:t>
      </w:r>
      <w:r>
        <w:t xml:space="preserve">Galván, S., Gamboa, S., and Varela, S. (2023).</w:t>
      </w:r>
      <w:r>
        <w:t xml:space="preserve"> </w:t>
      </w:r>
      <w:hyperlink r:id="rId117">
        <w:r>
          <w:rPr>
            <w:rStyle w:val="Hyperlink"/>
          </w:rPr>
          <w:t xml:space="preserve">Köppen Geiger climatic classification for R users.</w:t>
        </w:r>
      </w:hyperlink>
    </w:p>
    <w:bookmarkEnd w:id="118"/>
    <w:bookmarkStart w:id="120" w:name="ref-weir2009"/>
    <w:p>
      <w:pPr>
        <w:pStyle w:val="Bibliography"/>
      </w:pPr>
      <w:r>
        <w:t xml:space="preserve">39.</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19">
        <w:r>
          <w:rPr>
            <w:rStyle w:val="Hyperlink"/>
          </w:rPr>
          <w:t xml:space="preserve">https://doi.org/10.1073/pnas.0903811106</w:t>
        </w:r>
      </w:hyperlink>
      <w:r>
        <w:t xml:space="preserve">.</w:t>
      </w:r>
    </w:p>
    <w:bookmarkEnd w:id="120"/>
    <w:bookmarkStart w:id="122" w:name="ref-antonelli2018"/>
    <w:p>
      <w:pPr>
        <w:pStyle w:val="Bibliography"/>
      </w:pPr>
      <w:r>
        <w:t xml:space="preserve">40.</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1">
        <w:r>
          <w:rPr>
            <w:rStyle w:val="Hyperlink"/>
          </w:rPr>
          <w:t xml:space="preserve">https://doi.org/10.1038/s41561-018-0236-z</w:t>
        </w:r>
      </w:hyperlink>
      <w:r>
        <w:t xml:space="preserve">.</w:t>
      </w:r>
    </w:p>
    <w:bookmarkEnd w:id="122"/>
    <w:bookmarkStart w:id="124" w:name="ref-haffer1969"/>
    <w:p>
      <w:pPr>
        <w:pStyle w:val="Bibliography"/>
      </w:pPr>
      <w:r>
        <w:t xml:space="preserve">41.</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3">
        <w:r>
          <w:rPr>
            <w:rStyle w:val="Hyperlink"/>
          </w:rPr>
          <w:t xml:space="preserve">https://doi.org/10.1126/science.165.3889.131</w:t>
        </w:r>
      </w:hyperlink>
      <w:r>
        <w:t xml:space="preserve">.</w:t>
      </w:r>
    </w:p>
    <w:bookmarkEnd w:id="124"/>
    <w:bookmarkStart w:id="126" w:name="ref-motta2025"/>
    <w:p>
      <w:pPr>
        <w:pStyle w:val="Bibliography"/>
      </w:pPr>
      <w:r>
        <w:t xml:space="preserve">42.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5">
        <w:r>
          <w:rPr>
            <w:rStyle w:val="Hyperlink"/>
          </w:rPr>
          <w:t xml:space="preserve">https://doi.org/10.1016/j.palaeo.2025.112905</w:t>
        </w:r>
      </w:hyperlink>
      <w:r>
        <w:t xml:space="preserve">.</w:t>
      </w:r>
    </w:p>
    <w:bookmarkEnd w:id="126"/>
    <w:bookmarkStart w:id="128"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7">
        <w:r>
          <w:rPr>
            <w:rStyle w:val="Hyperlink"/>
          </w:rPr>
          <w:t xml:space="preserve">https://doi.org/10.1016/j.gloplacha.2022.103758</w:t>
        </w:r>
      </w:hyperlink>
      <w:r>
        <w:t xml:space="preserve">.</w:t>
      </w:r>
    </w:p>
    <w:bookmarkEnd w:id="128"/>
    <w:bookmarkStart w:id="130" w:name="ref-morgan1993"/>
    <w:p>
      <w:pPr>
        <w:pStyle w:val="Bibliography"/>
      </w:pPr>
      <w:r>
        <w:t xml:space="preserve">44.</w:t>
      </w:r>
      <w:r>
        <w:t xml:space="preserve"> </w:t>
      </w:r>
      <w:r>
        <w:t xml:space="preserve">	</w:t>
      </w:r>
      <w:r>
        <w:t xml:space="preserve">Morgan, G.S. (1993). Quaternary land vertebrates of jamaica. In, R. M. Wright and E. Robinson, eds. (Geological Society of America), p. 0.</w:t>
      </w:r>
      <w:r>
        <w:t xml:space="preserve"> </w:t>
      </w:r>
      <w:hyperlink r:id="rId129">
        <w:r>
          <w:rPr>
            <w:rStyle w:val="Hyperlink"/>
          </w:rPr>
          <w:t xml:space="preserve">https://doi.org/10.1130/MEM182-p417</w:t>
        </w:r>
      </w:hyperlink>
      <w:r>
        <w:t xml:space="preserve">.</w:t>
      </w:r>
    </w:p>
    <w:bookmarkEnd w:id="130"/>
    <w:bookmarkStart w:id="132" w:name="ref-ali2021b"/>
    <w:p>
      <w:pPr>
        <w:pStyle w:val="Bibliography"/>
      </w:pPr>
      <w:r>
        <w:t xml:space="preserve">45.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1">
        <w:r>
          <w:rPr>
            <w:rStyle w:val="Hyperlink"/>
          </w:rPr>
          <w:t xml:space="preserve">https://doi.org/10.1111/jbi.14234</w:t>
        </w:r>
      </w:hyperlink>
      <w:r>
        <w:t xml:space="preserve">.</w:t>
      </w:r>
    </w:p>
    <w:bookmarkEnd w:id="132"/>
    <w:bookmarkStart w:id="134" w:name="ref-cornée2021"/>
    <w:p>
      <w:pPr>
        <w:pStyle w:val="Bibliography"/>
      </w:pPr>
      <w:r>
        <w:t xml:space="preserve">46.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3">
        <w:r>
          <w:rPr>
            <w:rStyle w:val="Hyperlink"/>
          </w:rPr>
          <w:t xml:space="preserve">https://doi.org/10.1016/j.earscirev.2021.103617</w:t>
        </w:r>
      </w:hyperlink>
      <w:r>
        <w:t xml:space="preserve">.</w:t>
      </w:r>
    </w:p>
    <w:bookmarkEnd w:id="134"/>
    <w:bookmarkStart w:id="136" w:name="ref-warren2015"/>
    <w:p>
      <w:pPr>
        <w:pStyle w:val="Bibliography"/>
      </w:pPr>
      <w:r>
        <w:t xml:space="preserve">47.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5">
        <w:r>
          <w:rPr>
            <w:rStyle w:val="Hyperlink"/>
          </w:rPr>
          <w:t xml:space="preserve">https://doi.org/10.1111/ele.12398</w:t>
        </w:r>
      </w:hyperlink>
      <w:r>
        <w:t xml:space="preserve">.</w:t>
      </w:r>
    </w:p>
    <w:bookmarkEnd w:id="136"/>
    <w:bookmarkStart w:id="138" w:name="ref-couvreur2011"/>
    <w:p>
      <w:pPr>
        <w:pStyle w:val="Bibliography"/>
      </w:pPr>
      <w:r>
        <w:t xml:space="preserve">48.</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37">
        <w:r>
          <w:rPr>
            <w:rStyle w:val="Hyperlink"/>
          </w:rPr>
          <w:t xml:space="preserve">https://doi.org/10.1111/j.1365-2699.2010.02434.x</w:t>
        </w:r>
      </w:hyperlink>
      <w:r>
        <w:t xml:space="preserve">.</w:t>
      </w:r>
    </w:p>
    <w:bookmarkEnd w:id="138"/>
    <w:bookmarkStart w:id="140" w:name="ref-upchurch2024"/>
    <w:p>
      <w:pPr>
        <w:pStyle w:val="Bibliography"/>
      </w:pPr>
      <w:r>
        <w:t xml:space="preserve">49.</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39">
        <w:r>
          <w:rPr>
            <w:rStyle w:val="Hyperlink"/>
          </w:rPr>
          <w:t xml:space="preserve">https://doi.org/10.1098/rsbl.2024.0429</w:t>
        </w:r>
      </w:hyperlink>
      <w:r>
        <w:t xml:space="preserve">.</w:t>
      </w:r>
    </w:p>
    <w:bookmarkEnd w:id="140"/>
    <w:bookmarkEnd w:id="141"/>
    <w:bookmarkEnd w:id="14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49" Target="http://repository.si.edu/xmlui/handle/10088/35473" TargetMode="External" /><Relationship Type="http://schemas.openxmlformats.org/officeDocument/2006/relationships/hyperlink" Id="rId111" Target="https://CRAN.R-project.org/package=deeptime" TargetMode="External" /><Relationship Type="http://schemas.openxmlformats.org/officeDocument/2006/relationships/hyperlink" Id="rId55"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33" Target="https://doi.org/10.1016/j.earscirev.2021.103617" TargetMode="External" /><Relationship Type="http://schemas.openxmlformats.org/officeDocument/2006/relationships/hyperlink" Id="rId53"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5"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21" Target="https://doi.org/10.1038/s41561-018-0236-z"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5" Target="https://doi.org/10.1038/sdata.2018.214" TargetMode="External" /><Relationship Type="http://schemas.openxmlformats.org/officeDocument/2006/relationships/hyperlink" Id="rId119"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39" Target="https://doi.org/10.1098/rsbl.2024.0429" TargetMode="External" /><Relationship Type="http://schemas.openxmlformats.org/officeDocument/2006/relationships/hyperlink" Id="rId93" Target="https://doi.org/10.1111/ecog.06132" TargetMode="External" /><Relationship Type="http://schemas.openxmlformats.org/officeDocument/2006/relationships/hyperlink" Id="rId135"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3" Target="https://doi.org/10.1111/geb.13683" TargetMode="External" /><Relationship Type="http://schemas.openxmlformats.org/officeDocument/2006/relationships/hyperlink" Id="rId137" Target="https://doi.org/10.1111/j.1365-2699.2010.02434.x" TargetMode="External" /><Relationship Type="http://schemas.openxmlformats.org/officeDocument/2006/relationships/hyperlink" Id="rId131"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51" Target="https://doi.org/10.1126/sciadv.1600883" TargetMode="External" /><Relationship Type="http://schemas.openxmlformats.org/officeDocument/2006/relationships/hyperlink" Id="rId91"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47"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29"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81" Target="https://doi.org/10.2307/1381862" TargetMode="External" /><Relationship Type="http://schemas.openxmlformats.org/officeDocument/2006/relationships/hyperlink" Id="rId87"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7"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45" Target="https://www.jstor.org/stable/1688046" TargetMode="External" /><Relationship Type="http://schemas.openxmlformats.org/officeDocument/2006/relationships/hyperlink" Id="rId61"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9" Target="http://repository.si.edu/xmlui/handle/10088/35473" TargetMode="External" /><Relationship Type="http://schemas.openxmlformats.org/officeDocument/2006/relationships/hyperlink" Id="rId111" Target="https://CRAN.R-project.org/package=deeptime" TargetMode="External" /><Relationship Type="http://schemas.openxmlformats.org/officeDocument/2006/relationships/hyperlink" Id="rId55"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33" Target="https://doi.org/10.1016/j.earscirev.2021.103617" TargetMode="External" /><Relationship Type="http://schemas.openxmlformats.org/officeDocument/2006/relationships/hyperlink" Id="rId53"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5"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21" Target="https://doi.org/10.1038/s41561-018-0236-z"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5" Target="https://doi.org/10.1038/sdata.2018.214" TargetMode="External" /><Relationship Type="http://schemas.openxmlformats.org/officeDocument/2006/relationships/hyperlink" Id="rId119"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39" Target="https://doi.org/10.1098/rsbl.2024.0429" TargetMode="External" /><Relationship Type="http://schemas.openxmlformats.org/officeDocument/2006/relationships/hyperlink" Id="rId93" Target="https://doi.org/10.1111/ecog.06132" TargetMode="External" /><Relationship Type="http://schemas.openxmlformats.org/officeDocument/2006/relationships/hyperlink" Id="rId135"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3" Target="https://doi.org/10.1111/geb.13683" TargetMode="External" /><Relationship Type="http://schemas.openxmlformats.org/officeDocument/2006/relationships/hyperlink" Id="rId137" Target="https://doi.org/10.1111/j.1365-2699.2010.02434.x" TargetMode="External" /><Relationship Type="http://schemas.openxmlformats.org/officeDocument/2006/relationships/hyperlink" Id="rId131"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51" Target="https://doi.org/10.1126/sciadv.1600883" TargetMode="External" /><Relationship Type="http://schemas.openxmlformats.org/officeDocument/2006/relationships/hyperlink" Id="rId91" Target="https://doi.org/10.1126/sciadv.abj2271" TargetMode="External" /><Relationship Type="http://schemas.openxmlformats.org/officeDocument/2006/relationships/hyperlink" Id="rId123" Target="https://doi.org/10.1126/science.165.3889.131" TargetMode="External" /><Relationship Type="http://schemas.openxmlformats.org/officeDocument/2006/relationships/hyperlink" Id="rId47"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29"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81" Target="https://doi.org/10.2307/1381862" TargetMode="External" /><Relationship Type="http://schemas.openxmlformats.org/officeDocument/2006/relationships/hyperlink" Id="rId87"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7"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45" Target="https://www.jstor.org/stable/1688046" TargetMode="External" /><Relationship Type="http://schemas.openxmlformats.org/officeDocument/2006/relationships/hyperlink" Id="rId61"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2025-09-30T15:48:08Z</dcterms:created>
  <dcterms:modified xsi:type="dcterms:W3CDTF">2025-09-30T15:48:08Z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