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0.png" ContentType="image/png"/>
  <Override PartName="/word/media/rId148.png" ContentType="image/png"/>
  <Override PartName="/word/media/rId136.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late Cenozoic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contrary to what could be expected based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closure of the isthmus of Panama</w:t>
      </w:r>
      <w:r>
        <w:rPr>
          <w:vertAlign w:val="superscript"/>
        </w:rPr>
        <w:t xml:space="preserve">1</w:t>
      </w:r>
      <w:r>
        <w:t xml:space="preserve">. Though the exact timing of the appearance of such a landbridge is not entirely resolved</w:t>
      </w:r>
      <w:r>
        <w:rPr>
          <w:vertAlign w:val="superscript"/>
        </w:rPr>
        <w:t xml:space="preserve">2–4</w:t>
      </w:r>
      <w:r>
        <w:t xml:space="preserve">, palaeontological evidence and molecular phylogenies both agree with a late Miocene onset of land mammal exchange between the Americas</w:t>
      </w:r>
      <w:r>
        <w:rPr>
          <w:vertAlign w:val="superscript"/>
        </w:rPr>
        <w:t xml:space="preserve">5,6</w:t>
      </w:r>
      <w:r>
        <w:t xml:space="preserve">, with effective pulses of mammal crossings occurring not earlier than</w:t>
      </w:r>
      <w:r>
        <w:t xml:space="preserve"> </w:t>
      </w:r>
      <w:r>
        <w:rPr>
          <w:i/>
          <w:iCs/>
        </w:rPr>
        <w:t xml:space="preserve">c.</w:t>
      </w:r>
      <w:r>
        <w:t xml:space="preserve"> </w:t>
      </w:r>
      <w:r>
        <w:t xml:space="preserve">3 Million years ago</w:t>
      </w:r>
      <w:r>
        <w:rPr>
          <w:vertAlign w:val="superscript"/>
        </w:rPr>
        <w:t xml:space="preserve">1,7–9</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1,7,10</w:t>
      </w:r>
      <w:r>
        <w:t xml:space="preserve">. However, during the Quaternary, the ability of migrant lineages to maintain and diversify in the foreign continent became greater in South America</w:t>
      </w:r>
      <w:r>
        <w:rPr>
          <w:vertAlign w:val="superscript"/>
        </w:rPr>
        <w:t xml:space="preserve">7</w:t>
      </w:r>
      <w:r>
        <w:t xml:space="preserve">, and many native South American mammal lineages concomitantly declined, some of which even going totally extinct</w:t>
      </w:r>
      <w:r>
        <w:rPr>
          <w:vertAlign w:val="superscript"/>
        </w:rPr>
        <w:t xml:space="preserve">11–15</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10,16,17</w:t>
      </w:r>
      <w:r>
        <w:t xml:space="preserve"> </w:t>
      </w:r>
      <w:r>
        <w:t xml:space="preserve">or predation of predator-naive preys</w:t>
      </w:r>
      <w:r>
        <w:rPr>
          <w:vertAlign w:val="superscript"/>
        </w:rPr>
        <w:t xml:space="preserve">10,18–20</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21,22–24</w:t>
      </w:r>
      <w:r>
        <w:t xml:space="preserve">. On the other hand, several studies also proposed an implication of abiotic factors –</w:t>
      </w:r>
      <w:r>
        <w:t xml:space="preserve"> </w:t>
      </w:r>
      <w:r>
        <w:rPr>
          <w:i/>
          <w:iCs/>
        </w:rPr>
        <w:t xml:space="preserve">i</w:t>
      </w:r>
      <w:r>
        <w:t xml:space="preserve">.</w:t>
      </w:r>
      <w:r>
        <w:rPr>
          <w:i/>
          <w:iCs/>
        </w:rPr>
        <w:t xml:space="preserve">e</w:t>
      </w:r>
      <w:r>
        <w:t xml:space="preserve">., related to species’ physical environment, such as climate</w:t>
      </w:r>
      <w:r>
        <w:t xml:space="preserve"> </w:t>
      </w:r>
      <m:oMath>
        <m:sSup>
          <m:e>
            <m:r>
              <m:t>​</m:t>
            </m:r>
          </m:e>
          <m:sup>
            <m:r>
              <m:t>e</m:t>
            </m:r>
            <m:r>
              <m:rPr>
                <m:sty m:val="p"/>
              </m:rPr>
              <m:t>.</m:t>
            </m:r>
            <m:r>
              <m:t>g</m:t>
            </m:r>
            <m:r>
              <m:rPr>
                <m:sty m:val="p"/>
              </m:rPr>
              <m:t>.</m:t>
            </m:r>
            <m:r>
              <m:rPr>
                <m:sty m:val="p"/>
              </m:rPr>
              <m:t>,</m:t>
            </m:r>
          </m:sup>
        </m:sSup>
      </m:oMath>
      <w:r>
        <w:rPr>
          <w:vertAlign w:val="superscript"/>
        </w:rPr>
        <w:t xml:space="preserve">9,11,18,21,25</w:t>
      </w:r>
      <w:r>
        <w:t xml:space="preserve">. The prevailing view, proposed by Webb.</w:t>
      </w:r>
      <w:r>
        <w:rPr>
          <w:vertAlign w:val="superscript"/>
        </w:rPr>
        <w:t xml:space="preserve">11</w:t>
      </w:r>
      <w:r>
        <w:t xml:space="preserve"> </w:t>
      </w:r>
      <w:r>
        <w:t xml:space="preserve">and Vrba.</w:t>
      </w:r>
      <w:r>
        <w:rPr>
          <w:vertAlign w:val="superscript"/>
        </w:rPr>
        <w:t xml:space="preserve">21</w:t>
      </w:r>
      <w:r>
        <w:t xml:space="preserve">, consists of relating pulses of transcontinental mammal exchanges with Pleistocene climatic oscillations, promoting the transition from tropical rainforest to savannah-like environments in Central America as climate cooled down. This climate-driven landscape opening would have in turn facilitated the dispersal of non-tropical taxa, fitter to these environment, in line with the migrant fossil record across both sides of the isthmus. These exchange pulses would have been periodically interrupted as climate warmed up, promoting the reverse transition to rainforest in the isthmian region (tropical</w:t>
      </w:r>
      <w:r>
        <w:t xml:space="preserve"> </w:t>
      </w:r>
      <w:r>
        <w:t xml:space="preserve">‘</w:t>
      </w:r>
      <w:r>
        <w:t xml:space="preserve">holding pen</w:t>
      </w:r>
      <w:r>
        <w:t xml:space="preserve">’</w:t>
      </w:r>
      <w:r>
        <w:t xml:space="preserve"> </w:t>
      </w:r>
      <w:r>
        <w:t xml:space="preserve">hypothesis)</w:t>
      </w:r>
      <w:r>
        <w:rPr>
          <w:vertAlign w:val="superscript"/>
        </w:rPr>
        <w:t xml:space="preserve">7</w:t>
      </w:r>
      <w:r>
        <w:t xml:space="preserve">. However, so far, studies supporting this view have only been descriptive, tackling the issue from a pattern-oriented perspective driven by fossil data but, to our knowledge, never from a mechanistic process-oriented perspective.</w:t>
      </w:r>
    </w:p>
    <w:p>
      <w:pPr>
        <w:pStyle w:val="BodyText"/>
      </w:pPr>
      <w:r>
        <w:t xml:space="preserve">Recent improvements in process-explicit modelling have marked a turning point in the study of biodiversity</w:t>
      </w:r>
      <w:r>
        <w:rPr>
          <w:vertAlign w:val="superscript"/>
        </w:rPr>
        <w:t xml:space="preserve">26</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27</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28,29</w:t>
      </w:r>
      <w:r>
        <w:t xml:space="preserve">, the diversity desequilibrium between tropical rainforests across the globe</w:t>
      </w:r>
      <w:r>
        <w:rPr>
          <w:vertAlign w:val="superscript"/>
        </w:rPr>
        <w:t xml:space="preserve">30</w:t>
      </w:r>
      <w:r>
        <w:t xml:space="preserve">, the build-up of the unique biodiversity along the Wallace line</w:t>
      </w:r>
      <w:r>
        <w:rPr>
          <w:vertAlign w:val="superscript"/>
        </w:rPr>
        <w:t xml:space="preserve">31</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32,33,34</w:t>
      </w:r>
      <w:r>
        <w:t xml:space="preserve">.</w:t>
      </w:r>
    </w:p>
    <w:p>
      <w:pPr>
        <w:pStyle w:val="BodyText"/>
      </w:pPr>
      <w:r>
        <w:t xml:space="preserve">Here, we explore the implication of palaeoclimate change in the asymmetry of the GABI using a spatially-explicit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successful interchange would be more frequently achieved among biome generalists, temperate and arid specialists rather than tropical specialists.</w:t>
      </w:r>
    </w:p>
    <w:p>
      <w:r>
        <w:br w:type="page"/>
      </w:r>
    </w:p>
    <w:bookmarkEnd w:id="22"/>
    <w:bookmarkStart w:id="26" w:name="results"/>
    <w:p>
      <w:pPr>
        <w:pStyle w:val="Heading1"/>
      </w:pPr>
      <w:r>
        <w:t xml:space="preserve">Results</w:t>
      </w:r>
    </w:p>
    <w:bookmarkStart w:id="23" w:name="X4567fbc203e26536a8b2c1d2a805dae2efaff00"/>
    <w:p>
      <w:pPr>
        <w:pStyle w:val="Heading2"/>
      </w:pPr>
      <w:r>
        <w:t xml:space="preserve">Climate makes northwards dispersal events easier than southwards ones</w:t>
      </w:r>
    </w:p>
    <w:p>
      <w:pPr>
        <w:pStyle w:val="FirstParagraph"/>
      </w:pPr>
      <w:r>
        <w:t xml:space="preserve">The contribution of palaeoclimate to the biogeographic asymmetry of the Great American Biotic Interchange (GABI) was tested in a simulation-based framework relying on gen3sis</w:t>
      </w:r>
      <w:r>
        <w:rPr>
          <w:vertAlign w:val="superscript"/>
        </w:rPr>
        <w:t xml:space="preserve">28</w:t>
      </w:r>
      <w:r>
        <w:t xml:space="preserve">, a mechanistic eco-evolutionary simulator, incorporating palaeoclimatic layers (annual temperature and precipitation) covering the last 5 million years generated by the PALEO-PGEM emulator</w:t>
      </w:r>
      <w:r>
        <w:rPr>
          <w:vertAlign w:val="superscript"/>
        </w:rPr>
        <w:t xml:space="preserve">35,36</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holds for all but the</w:t>
      </w:r>
      <w:r>
        <w:t xml:space="preserve"> </w:t>
      </w:r>
      <m:oMath>
        <m:r>
          <m:t>M</m:t>
        </m:r>
        <m:r>
          <m:t>3</m:t>
        </m:r>
      </m:oMath>
      <w:r>
        <w:t xml:space="preserve"> </w:t>
      </w:r>
      <w:r>
        <w:t xml:space="preserve">model – relaxing the precipitation constraint on virtual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w:t>
      </w:r>
    </w:p>
    <w:p>
      <w:pPr>
        <w:pStyle w:val="BodyText"/>
      </w:pPr>
      <w:r>
        <w:t xml:space="preserve">Besides, contrary to the proportion of colonised area, for a given ancestral continent, colonised</w:t>
      </w:r>
      <w:r>
        <w:t xml:space="preserve"> </w:t>
      </w:r>
      <m:oMath>
        <m:r>
          <m:t>α</m:t>
        </m:r>
      </m:oMath>
      <w:r>
        <w:t xml:space="preserve">-diversity –</w:t>
      </w:r>
      <w:r>
        <w:t xml:space="preserve"> </w:t>
      </w:r>
      <w:r>
        <w:rPr>
          <w:i/>
          <w:iCs/>
        </w:rPr>
        <w:t xml:space="preserve">i</w:t>
      </w:r>
      <w:r>
        <w:t xml:space="preserve">.</w:t>
      </w:r>
      <w:r>
        <w:rPr>
          <w:i/>
          <w:iCs/>
        </w:rPr>
        <w:t xml:space="preserve">e</w:t>
      </w:r>
      <w:r>
        <w:t xml:space="preserve">., number of taxa within the colonised continent – does not exhibit huge variations across our four models, though a significant decrease is to be reported for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colonised</w:t>
      </w:r>
      <w:r>
        <w:t xml:space="preserve"> </w:t>
      </w:r>
      <m:oMath>
        <m:r>
          <m:t>α</m:t>
        </m:r>
      </m:oMath>
      <w:r>
        <w:t xml:space="preserve">-diversity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foreign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affect</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37</w:t>
      </w:r>
      <w:r>
        <w:t xml:space="preserve"> </w:t>
      </w:r>
      <w:r>
        <w:t xml:space="preserve">and Galván et al.</w:t>
      </w:r>
      <w:r>
        <w:rPr>
          <w:vertAlign w:val="superscript"/>
        </w:rPr>
        <w:t xml:space="preserve">38</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 We propose simulations generated under the</w:t>
      </w:r>
      <w:r>
        <w:t xml:space="preserve"> </w:t>
      </w:r>
      <m:oMath>
        <m:r>
          <m:t>M</m:t>
        </m:r>
        <m:r>
          <m:t>0</m:t>
        </m:r>
      </m:oMath>
      <w:r>
        <w:t xml:space="preserve"> </w:t>
      </w:r>
      <w:r>
        <w:t xml:space="preserve">model – where climatic niche does not evolve – to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ones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4</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 The exact same pattern is obtained for southwards dispersal events occurring after standardising initial distances to the isthmus (Figure S8,</w:t>
      </w:r>
      <w:r>
        <w:t xml:space="preserve"> </w:t>
      </w:r>
      <m:oMath>
        <m:r>
          <m:t>M</m:t>
        </m:r>
        <m:r>
          <m:t>0</m:t>
        </m:r>
      </m:oMath>
      <w:r>
        <w:t xml:space="preserve">).</w:t>
      </w:r>
    </w:p>
    <w:p>
      <w:pPr>
        <w:pStyle w:val="BodyText"/>
      </w:pPr>
      <w:r>
        <w:t xml:space="preserve">Regarding biome generalists (models</w:t>
      </w:r>
      <w:r>
        <w:t xml:space="preserve"> </w:t>
      </w:r>
      <m:oMath>
        <m:r>
          <m:t>M</m:t>
        </m:r>
        <m:r>
          <m:t>1</m:t>
        </m:r>
        <m:r>
          <m:rPr>
            <m:sty m:val="p"/>
          </m:rPr>
          <m:t>−</m:t>
        </m:r>
        <m:r>
          <m:t>3</m:t>
        </m:r>
      </m:oMath>
      <w:r>
        <w:t xml:space="preserve">), simulations starting from North America maintained the same distribution of exchange intensities across biomes as biome specialists. Generalists that originated in the tropical biome record the highest proportion of exchange success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generalists originating in the cold or polar biomes almost never made it to South America (</w:t>
      </w:r>
      <w:hyperlink w:anchor="fig-biome">
        <w:r>
          <w:rPr>
            <w:rStyle w:val="Hyperlink"/>
          </w:rPr>
          <w:t xml:space="preserve">Figure 4</w:t>
        </w:r>
      </w:hyperlink>
      <w:r>
        <w:t xml:space="preserve"> </w:t>
      </w:r>
      <w:r>
        <w:t xml:space="preserve">C</w:t>
      </w:r>
      <w:r>
        <w:t xml:space="preserve"> </w:t>
      </w:r>
      <m:oMath>
        <m:r>
          <m:t>M</m:t>
        </m:r>
        <m:r>
          <m:t>1</m:t>
        </m:r>
        <m:r>
          <m:rPr>
            <m:sty m:val="p"/>
          </m:rPr>
          <m:t>−</m:t>
        </m:r>
        <m:r>
          <m:t>2</m:t>
        </m:r>
      </m:oMath>
      <w:r>
        <w:t xml:space="preserve">). That being said, we should notice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tends to attenuate this imbalance (</w:t>
      </w:r>
      <w:hyperlink w:anchor="fig-biome">
        <w:r>
          <w:rPr>
            <w:rStyle w:val="Hyperlink"/>
          </w:rPr>
          <w:t xml:space="preserve">Figure 4</w:t>
        </w:r>
      </w:hyperlink>
      <w:r>
        <w:t xml:space="preserve"> </w:t>
      </w:r>
      <w:r>
        <w:t xml:space="preserve">C</w:t>
      </w:r>
      <w:r>
        <w:t xml:space="preserve"> </w:t>
      </w:r>
      <m:oMath>
        <m:r>
          <m:t>M</m:t>
        </m:r>
        <m:r>
          <m:t>3</m:t>
        </m:r>
      </m:oMath>
      <w:r>
        <w:t xml:space="preserve">). All this still hold when standardising initial distances to the isthmus of simulations starting from North America to those starting from South America (Figure S8,</w:t>
      </w:r>
      <w:r>
        <w:t xml:space="preserve"> </w:t>
      </w:r>
      <m:oMath>
        <m:r>
          <m:t>M</m:t>
        </m:r>
        <m:r>
          <m:t>1</m:t>
        </m:r>
        <m:r>
          <m:rPr>
            <m:sty m:val="p"/>
          </m:rPr>
          <m:t>−</m:t>
        </m:r>
        <m:r>
          <m:t>3</m:t>
        </m:r>
      </m:oMath>
      <w:r>
        <w:t xml:space="preserve">). Conversely, the disparity in proportion of successful exchanges across biomes was largely attenuated for biome generalists originating in South America, for which a successful exchange appears almost equally-likely, no matters the biome where they originate (</w:t>
      </w:r>
      <w:hyperlink w:anchor="fig-biome">
        <w:r>
          <w:rPr>
            <w:rStyle w:val="Hyperlink"/>
          </w:rPr>
          <w:t xml:space="preserve">Figure 4</w:t>
        </w:r>
      </w:hyperlink>
      <w:r>
        <w:t xml:space="preserve"> </w:t>
      </w:r>
      <w:r>
        <w:t xml:space="preserve">C</w:t>
      </w:r>
      <w:r>
        <w:t xml:space="preserve"> </w:t>
      </w:r>
      <m:oMath>
        <m:r>
          <m:t>M</m:t>
        </m:r>
        <m:r>
          <m:t>1</m:t>
        </m:r>
        <m:r>
          <m:rPr>
            <m:sty m:val="p"/>
          </m:rPr>
          <m:t>−</m:t>
        </m:r>
        <m:r>
          <m:t>3</m:t>
        </m:r>
      </m:oMath>
      <w:r>
        <w:t xml:space="preserve">).</w:t>
      </w:r>
    </w:p>
    <w:p>
      <w:r>
        <w:br w:type="page"/>
      </w:r>
    </w:p>
    <w:bookmarkEnd w:id="25"/>
    <w:bookmarkEnd w:id="26"/>
    <w:bookmarkStart w:id="31" w:name="discussion"/>
    <w:p>
      <w:pPr>
        <w:pStyle w:val="Heading1"/>
      </w:pPr>
      <w:r>
        <w:t xml:space="preserve">Discussion</w:t>
      </w:r>
    </w:p>
    <w:p>
      <w:pPr>
        <w:pStyle w:val="FirstParagraph"/>
      </w:pPr>
      <w:r>
        <w:t xml:space="preserve">Smoothing asymmetry =&gt; echo to birds</w:t>
      </w:r>
      <w:r>
        <w:rPr>
          <w:vertAlign w:val="superscript"/>
        </w:rPr>
        <w:t xml:space="preserve">39</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33</w:t>
      </w:r>
      <w:r>
        <w:t xml:space="preserve">. But here, we expect to find more species in South America, encompassing one of earth’s major and long-standing biodiversity hotspot – Amazonia</w:t>
      </w:r>
      <w:r>
        <w:rPr>
          <w:vertAlign w:val="superscript"/>
        </w:rPr>
        <w:t xml:space="preserve">40</w:t>
      </w:r>
      <w:r>
        <w:t xml:space="preserve"> </w:t>
      </w:r>
      <w:r>
        <w:t xml:space="preserve">– than in North America. That being said, some authors argued that it is not the case for genera, with North America having a higher</w:t>
      </w:r>
      <w:r>
        <w:t xml:space="preserve"> </w:t>
      </w:r>
      <w:r>
        <w:t xml:space="preserve">‘</w:t>
      </w:r>
      <w:r>
        <w:t xml:space="preserve">proportion of reservoir genera</w:t>
      </w:r>
      <w:r>
        <w:t xml:space="preserve">’</w:t>
      </w:r>
      <w:r>
        <w:rPr>
          <w:vertAlign w:val="superscript"/>
        </w:rPr>
        <w:t xml:space="preserve">1,21</w:t>
      </w:r>
    </w:p>
    <w:bookmarkStart w:id="27" w:name="climate"/>
    <w:p>
      <w:pPr>
        <w:pStyle w:val="Heading2"/>
      </w:pPr>
      <w:r>
        <w:t xml:space="preserve">Climate</w:t>
      </w:r>
    </w:p>
    <w:p>
      <w:pPr>
        <w:pStyle w:val="FirstParagraph"/>
      </w:pPr>
      <w:r>
        <w:t xml:space="preserve">Our results suggests that, under abiotic constraints, alone North America would have been easier to reach by South American species than the other way around (</w:t>
      </w:r>
      <w:hyperlink w:anchor="fig-propsuccess">
        <w:r>
          <w:rPr>
            <w:rStyle w:val="Hyperlink"/>
          </w:rPr>
          <w:t xml:space="preserve">Figure 2</w:t>
        </w:r>
      </w:hyperlink>
      <w:r>
        <w:t xml:space="preserve">).</w:t>
      </w:r>
    </w:p>
    <w:p>
      <w:pPr>
        <w:pStyle w:val="BodyText"/>
      </w:pPr>
      <w:r>
        <w:t xml:space="preserve">One of the predictions of Vrba’s resource-use hypotheses formulated in the framework of the habitat theory applied to the GABI is that tropical specialists, in the aftermath of the global cooling occurring in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21</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41</w:t>
      </w:r>
      <w:r>
        <w:t xml:space="preserve"> </w:t>
      </w:r>
      <w:r>
        <w:t xml:space="preserve">a few decades earlier. The latter views the high diversity in the (Neo)tropics as a result of past climatic fragmentation of the tropical climatic region, generating discontinuities within populations of tropical-specialist species. In case of climatic disruption, tropical specialists would therefore follow the contraction-expansion of their habitat, in turn driving speciation by vicariance on evolutionary timescales</w:t>
      </w:r>
      <w:r>
        <w:rPr>
          <w:vertAlign w:val="superscript"/>
        </w:rPr>
        <w:t xml:space="preserve">41</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biome">
        <w:r>
          <w:rPr>
            <w:rStyle w:val="Hyperlink"/>
          </w:rPr>
          <w:t xml:space="preserve">Figure 4</w:t>
        </w:r>
      </w:hyperlink>
      <w:r>
        <w:t xml:space="preserve"> </w:t>
      </w:r>
      <w:r>
        <w:t xml:space="preserve">B, model</w:t>
      </w:r>
      <w:r>
        <w:t xml:space="preserve"> </w:t>
      </w:r>
      <m:oMath>
        <m:r>
          <m:t>M</m:t>
        </m:r>
        <m:r>
          <m:t>0</m:t>
        </m:r>
      </m:oMath>
      <w:r>
        <w:t xml:space="preserve">).</w:t>
      </w:r>
    </w:p>
    <w:p>
      <w:pPr>
        <w:pStyle w:val="BodyText"/>
      </w:pPr>
      <w:r>
        <w:t xml:space="preserve">Success in South America for temperate-adapted species, posited as the most successful , not recovered, with tropical meeting the gighest success.</w:t>
      </w:r>
      <w:r>
        <w:t xml:space="preserve"> </w:t>
      </w:r>
      <w:r>
        <w:t xml:space="preserve">“</w:t>
      </w:r>
      <w:r>
        <w:t xml:space="preserve">major overland dispersal of terrestrial mammalian taxa apparently did not take place until the climate was conducive to support the temperate-adapted taxa that experienced the changes in their respective home ranges</w:t>
      </w:r>
      <w:r>
        <w:t xml:space="preserve">”</w:t>
      </w:r>
      <w:r>
        <w:rPr>
          <w:vertAlign w:val="superscript"/>
        </w:rPr>
        <w:t xml:space="preserve">7</w:t>
      </w:r>
    </w:p>
    <w:p>
      <w:pPr>
        <w:pStyle w:val="BodyText"/>
      </w:pPr>
      <w:r>
        <w:t xml:space="preserve">Tropics as a</w:t>
      </w:r>
      <w:r>
        <w:t xml:space="preserve"> </w:t>
      </w:r>
      <w:r>
        <w:t xml:space="preserve">“</w:t>
      </w:r>
      <w:r>
        <w:t xml:space="preserve">holding pen</w:t>
      </w:r>
      <w:r>
        <w:t xml:space="preserve">”</w:t>
      </w:r>
      <w:r>
        <w:rPr>
          <w:vertAlign w:val="superscript"/>
        </w:rPr>
        <w:t xml:space="preserve">7</w:t>
      </w:r>
      <w:r>
        <w:t xml:space="preserve"> </w:t>
      </w:r>
      <w:r>
        <w:t xml:space="preserve">– read more this paper</w:t>
      </w:r>
    </w:p>
    <w:p>
      <w:pPr>
        <w:pStyle w:val="BodyText"/>
      </w:pPr>
      <w:r>
        <w:t xml:space="preserve">Biome pattern (Figure S6) directly reflects the diffencial amount of surface that each biome represents in the two continents.</w:t>
      </w:r>
    </w:p>
    <w:p>
      <w:pPr>
        <w:pStyle w:val="BodyText"/>
      </w:pPr>
      <w:r>
        <w:t xml:space="preserve">Precipitation niche</w:t>
      </w:r>
      <w:r>
        <w:rPr>
          <w:vertAlign w:val="superscript"/>
        </w:rPr>
        <w:t xml:space="preserve">31</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p>
      <w:pPr>
        <w:pStyle w:val="BodyText"/>
      </w:pPr>
      <w:r>
        <w:t xml:space="preserve">Effect of climate change to keep in mind for megafaunal extinctions</w:t>
      </w:r>
      <w:r>
        <w:rPr>
          <w:vertAlign w:val="superscript"/>
        </w:rPr>
        <w:t xml:space="preserve">42</w:t>
      </w:r>
    </w:p>
    <w:bookmarkEnd w:id="27"/>
    <w:bookmarkStart w:id="28"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43</w:t>
      </w:r>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28"/>
    <w:bookmarkStart w:id="29" w:name="X0160ffd22f787d001a7841291dc9859bf7a1aab"/>
    <w:p>
      <w:pPr>
        <w:pStyle w:val="Heading2"/>
      </w:pPr>
      <w:r>
        <w:t xml:space="preserve">On the drivers behind the asymmetry of the GABI</w:t>
      </w:r>
    </w:p>
    <w:p>
      <w:pPr>
        <w:pStyle w:val="FirstParagraph"/>
      </w:pPr>
      <w:r>
        <w:t xml:space="preserve">Our study indicates that climate alone is not sufficient to reproduce the asymmetry of the GABI. This suggests that other factors, unaccounted here, might have been at work to shape the uneven faunal exchange that occured across the America.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14</w:t>
      </w:r>
      <w:r>
        <w:t xml:space="preserve"> </w:t>
      </w:r>
      <w:r>
        <w:t xml:space="preserve">or sparassodonts – metatherian predators</w:t>
      </w:r>
      <w:r>
        <w:rPr>
          <w:vertAlign w:val="superscript"/>
        </w:rPr>
        <w:t xml:space="preserve">44</w:t>
      </w:r>
      <w:r>
        <w:t xml:space="preserve"> </w:t>
      </w:r>
      <w:r>
        <w:t xml:space="preserve">– that followed the establishment of northern lineages</w:t>
      </w:r>
      <w:r>
        <w:rPr>
          <w:vertAlign w:val="superscript"/>
        </w:rPr>
        <w:t xml:space="preserve">16</w:t>
      </w:r>
      <w:r>
        <w:t xml:space="preserve">. Hypotheses invoking competition mostly relied on striking morphological convergences between the clades assumed to have competed –</w:t>
      </w:r>
      <w:r>
        <w:t xml:space="preserve"> </w:t>
      </w:r>
      <w:r>
        <w:rPr>
          <w:i/>
          <w:iCs/>
        </w:rPr>
        <w:t xml:space="preserve">e</w:t>
      </w:r>
      <w:r>
        <w:t xml:space="preserve">.</w:t>
      </w:r>
      <w:r>
        <w:rPr>
          <w:i/>
          <w:iCs/>
        </w:rPr>
        <w:t xml:space="preserve">g</w:t>
      </w:r>
      <w:r>
        <w:t xml:space="preserve">., sabertooth among predators, high-crowned and ever-growing cheek teeth among herbivores. In addition, recent evidence from stable isotope analyses of mammalian herbivore ennamel from Southern South America suggested that North American clades had broader trophic niches than their South American counterparts, this dietary flexibility therefore offering a larger adaptative power to North American herbivores in South America</w:t>
      </w:r>
      <w:r>
        <w:rPr>
          <w:vertAlign w:val="superscript"/>
        </w:rPr>
        <w:t xml:space="preserve">17</w:t>
      </w:r>
      <w:r>
        <w:t xml:space="preserve">. Moreover, using phylogenetic regressions, Faurby et al.</w:t>
      </w:r>
      <w:r>
        <w:rPr>
          <w:vertAlign w:val="superscript"/>
        </w:rPr>
        <w:t xml:space="preserve">19</w:t>
      </w:r>
      <w:r>
        <w:t xml:space="preserve"> </w:t>
      </w:r>
      <w:r>
        <w:t xml:space="preserve">found support for another biotic interaction that could have played a role in shaping GABI’s asymmetry: predation. They indeed characterised a higher prevalence of traits increasing prey susceptibility among the endemic South American mammals. However, several process-based analyses of the fossil record provided no evidence for biotic interactions involving native South American mammals and their northern counterparts</w:t>
      </w:r>
      <w:r>
        <w:rPr>
          <w:vertAlign w:val="superscript"/>
        </w:rPr>
        <w:t xml:space="preserve">22,23</w:t>
      </w:r>
      <w:r>
        <w:t xml:space="preserve">. Incorporating biotic compounds in mechanistic frameworks such as the one we have implemented here would be a nice way-to-go for future studies tackling the asymmetry behind the GABI.</w:t>
      </w:r>
    </w:p>
    <w:p>
      <w:pPr>
        <w:pStyle w:val="BodyText"/>
      </w:pPr>
      <w:r>
        <w:t xml:space="preserve">Temporality (red queen vs. court jester, Benton 2001) =&gt; favouring biotic ?</w:t>
      </w:r>
    </w:p>
    <w:p>
      <w:pPr>
        <w:pStyle w:val="BodyText"/>
      </w:pPr>
      <w:r>
        <w:t xml:space="preserve">Fortuitous experiment ?</w:t>
      </w:r>
    </w:p>
    <w:bookmarkEnd w:id="29"/>
    <w:bookmarkStart w:id="30" w:name="limitations-perspectives"/>
    <w:p>
      <w:pPr>
        <w:pStyle w:val="Heading2"/>
      </w:pPr>
      <w:r>
        <w:t xml:space="preserve">Limitations &amp; perspectives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45,46</w:t>
      </w:r>
      <w:r>
        <w:t xml:space="preserve">. Although over-water dispersal has long been regarded as the prevailing mechanism</w:t>
      </w:r>
      <w:r>
        <w:rPr>
          <w:vertAlign w:val="superscript"/>
        </w:rPr>
        <w:t xml:space="preserve">45</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47</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48</w:t>
      </w:r>
      <w:r>
        <w:t xml:space="preserve"> </w:t>
      </w:r>
      <w:r>
        <w:t xml:space="preserve">as well as the poor mention of West Indies as a stepping-stone in the literature, we believe that considering this alternative route in the framework of the GABI would rather deserve to be the topic of a study in itself.</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spatial clustering of simulation crashing in temperate/cold North America =&gt; related to biome instability in the zone ?</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assumption of fixed palaeogeography.</w:t>
      </w:r>
    </w:p>
    <w:bookmarkEnd w:id="30"/>
    <w:bookmarkEnd w:id="31"/>
    <w:bookmarkStart w:id="32" w:name="acknowledgements"/>
    <w:p>
      <w:pPr>
        <w:pStyle w:val="Heading1"/>
      </w:pPr>
      <w:r>
        <w:t xml:space="preserve">Acknowledgements</w:t>
      </w:r>
    </w:p>
    <w:p>
      <w:pPr>
        <w:pStyle w:val="FirstParagraph"/>
      </w:pPr>
      <w:r>
        <w:t xml:space="preserve">We thank Céline Devaux for her useful comments and feedbacks on the present work.</w:t>
      </w:r>
    </w:p>
    <w:bookmarkEnd w:id="32"/>
    <w:bookmarkStart w:id="33"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50</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9,11,18</w:t>
      </w:r>
      <w:r>
        <w:t xml:space="preserve">. Others drew direct relationships between the higher extinction rates of native South American mammal genera and temperature change</w:t>
      </w:r>
      <w:r>
        <w:rPr>
          <w:vertAlign w:val="superscript"/>
        </w:rPr>
        <w:t xml:space="preserve">25</w:t>
      </w:r>
      <w:r>
        <w:t xml:space="preserve">.</w:t>
      </w:r>
    </w:p>
    <w:p>
      <w:pPr>
        <w:pStyle w:val="BodyText"/>
      </w:pPr>
      <w:r>
        <w:t xml:space="preserve">several studies proposed that palaeoclimate change shaped unequal dispersal abilities between northern and southern taxa</w:t>
      </w:r>
      <w:r>
        <w:rPr>
          <w:vertAlign w:val="superscript"/>
        </w:rPr>
        <w:t xml:space="preserve">9,11,18,25</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13</w:t>
      </w:r>
      <w:r>
        <w:t xml:space="preserve">.</w:t>
      </w:r>
    </w:p>
    <w:p>
      <w:r>
        <w:br w:type="page"/>
      </w:r>
    </w:p>
    <w:bookmarkEnd w:id="33"/>
    <w:bookmarkStart w:id="135" w:name="references"/>
    <w:p>
      <w:pPr>
        <w:pStyle w:val="Heading1"/>
      </w:pPr>
      <w:r>
        <w:t xml:space="preserve">References</w:t>
      </w:r>
    </w:p>
    <w:bookmarkStart w:id="134" w:name="refs"/>
    <w:bookmarkStart w:id="35" w:name="ref-marshall1982"/>
    <w:p>
      <w:pPr>
        <w:pStyle w:val="Bibliography"/>
      </w:pPr>
      <w:r>
        <w:t xml:space="preserve">1.</w:t>
      </w:r>
      <w:r>
        <w:t xml:space="preserve"> </w:t>
      </w:r>
      <w:r>
        <w:t xml:space="preserve">	</w:t>
      </w:r>
      <w:r>
        <w:t xml:space="preserve">Marshall, L.G., Webb, S.D., Sepkoski, J.J., and Raup, D.M. (1982).</w:t>
      </w:r>
      <w:r>
        <w:t xml:space="preserve"> </w:t>
      </w:r>
      <w:hyperlink r:id="rId34">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5"/>
    <w:bookmarkStart w:id="37"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6">
        <w:r>
          <w:rPr>
            <w:rStyle w:val="Hyperlink"/>
          </w:rPr>
          <w:t xml:space="preserve">https://doi.org/10.1126/science.aaa2815</w:t>
        </w:r>
      </w:hyperlink>
      <w:r>
        <w:t xml:space="preserve">.</w:t>
      </w:r>
    </w:p>
    <w:bookmarkEnd w:id="37"/>
    <w:bookmarkStart w:id="39" w:name="ref-jaramillo2018"/>
    <w:p>
      <w:pPr>
        <w:pStyle w:val="Bibliography"/>
      </w:pPr>
      <w:r>
        <w:t xml:space="preserve">3.</w:t>
      </w:r>
      <w:r>
        <w:t xml:space="preserve"> </w:t>
      </w:r>
      <w:r>
        <w:t xml:space="preserve">	</w:t>
      </w:r>
      <w:r>
        <w:t xml:space="preserve">Jaramillo, C.A. (2018).</w:t>
      </w:r>
      <w:r>
        <w:t xml:space="preserve"> </w:t>
      </w:r>
      <w:hyperlink r:id="rId38">
        <w:r>
          <w:rPr>
            <w:rStyle w:val="Hyperlink"/>
          </w:rPr>
          <w:t xml:space="preserve">Evolution of the isthmus of panama: Biological, paleoceanographic and paleoclimatological implications</w:t>
        </w:r>
      </w:hyperlink>
      <w:r>
        <w:t xml:space="preserve">. In (John Wiley &amp; Sons).</w:t>
      </w:r>
    </w:p>
    <w:bookmarkEnd w:id="39"/>
    <w:bookmarkStart w:id="41"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0">
        <w:r>
          <w:rPr>
            <w:rStyle w:val="Hyperlink"/>
          </w:rPr>
          <w:t xml:space="preserve">https://doi.org/10.1126/sciadv.1600883</w:t>
        </w:r>
      </w:hyperlink>
      <w:r>
        <w:t xml:space="preserve">.</w:t>
      </w:r>
    </w:p>
    <w:bookmarkEnd w:id="41"/>
    <w:bookmarkStart w:id="43"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2">
        <w:r>
          <w:rPr>
            <w:rStyle w:val="Hyperlink"/>
          </w:rPr>
          <w:t xml:space="preserve">https://doi.org/10.1016/j.geobios.2006.09.005</w:t>
        </w:r>
      </w:hyperlink>
      <w:r>
        <w:t xml:space="preserve">.</w:t>
      </w:r>
    </w:p>
    <w:bookmarkEnd w:id="43"/>
    <w:bookmarkStart w:id="45" w:name="ref-tedford2004"/>
    <w:p>
      <w:pPr>
        <w:pStyle w:val="Bibliography"/>
      </w:pPr>
      <w:r>
        <w:t xml:space="preserve">6.</w:t>
      </w:r>
      <w:r>
        <w:t xml:space="preserve"> </w:t>
      </w:r>
      <w:r>
        <w:t xml:space="preserve">	</w:t>
      </w:r>
      <w:r>
        <w:t xml:space="preserve">Tedford, R.H., Albright, L.B., Barnosky, A.D., Ferrusquia-Villafranca, I., Hunt, R.M., Storer, J.E., Swisher, C.C., Voorhies, M.R., Webb, S.D., and Whistler, D.P. (2004).</w:t>
      </w:r>
      <w:r>
        <w:t xml:space="preserve"> </w:t>
      </w:r>
      <w:hyperlink r:id="rId44">
        <w:r>
          <w:rPr>
            <w:rStyle w:val="Hyperlink"/>
          </w:rPr>
          <w:t xml:space="preserve">6. Mammalian Biochronology of the Arikareean Through Hemphillian Interval (Late Oligocene Through Early Pliocene Epochs)</w:t>
        </w:r>
      </w:hyperlink>
      <w:r>
        <w:t xml:space="preserve">. In, M. O. Woodburne, ed. (Columbia University Press), pp. 169–231.</w:t>
      </w:r>
    </w:p>
    <w:bookmarkEnd w:id="45"/>
    <w:bookmarkStart w:id="47" w:name="ref-woodburne2010"/>
    <w:p>
      <w:pPr>
        <w:pStyle w:val="Bibliography"/>
      </w:pPr>
      <w:r>
        <w:t xml:space="preserve">7.</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46">
        <w:r>
          <w:rPr>
            <w:rStyle w:val="Hyperlink"/>
          </w:rPr>
          <w:t xml:space="preserve">https://doi.org/10.1007/s10914-010-9144-8</w:t>
        </w:r>
      </w:hyperlink>
      <w:r>
        <w:t xml:space="preserve">.</w:t>
      </w:r>
    </w:p>
    <w:bookmarkEnd w:id="47"/>
    <w:bookmarkStart w:id="49" w:name="ref-bacon2015"/>
    <w:p>
      <w:pPr>
        <w:pStyle w:val="Bibliography"/>
      </w:pPr>
      <w:r>
        <w:t xml:space="preserve">8.</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48">
        <w:r>
          <w:rPr>
            <w:rStyle w:val="Hyperlink"/>
          </w:rPr>
          <w:t xml:space="preserve">https://doi.org/10.1073/pnas.1423853112</w:t>
        </w:r>
      </w:hyperlink>
      <w:r>
        <w:t xml:space="preserve">.</w:t>
      </w:r>
    </w:p>
    <w:bookmarkEnd w:id="49"/>
    <w:bookmarkStart w:id="51" w:name="ref-bacon2016"/>
    <w:p>
      <w:pPr>
        <w:pStyle w:val="Bibliography"/>
      </w:pPr>
      <w:r>
        <w:t xml:space="preserve">9.</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50">
        <w:r>
          <w:rPr>
            <w:rStyle w:val="Hyperlink"/>
          </w:rPr>
          <w:t xml:space="preserve">https://doi.org/10.1130/G37624.1</w:t>
        </w:r>
      </w:hyperlink>
      <w:r>
        <w:t xml:space="preserve">.</w:t>
      </w:r>
    </w:p>
    <w:bookmarkEnd w:id="51"/>
    <w:bookmarkStart w:id="53" w:name="ref-webb1976"/>
    <w:p>
      <w:pPr>
        <w:pStyle w:val="Bibliography"/>
      </w:pPr>
      <w:r>
        <w:t xml:space="preserve">10.</w:t>
      </w:r>
      <w:r>
        <w:t xml:space="preserve"> </w:t>
      </w:r>
      <w:r>
        <w:t xml:space="preserve">	</w:t>
      </w:r>
      <w:r>
        <w:t xml:space="preserve">Webb, S.D. (1976).</w:t>
      </w:r>
      <w:r>
        <w:t xml:space="preserve"> </w:t>
      </w:r>
      <w:hyperlink r:id="rId52">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53"/>
    <w:bookmarkStart w:id="55" w:name="ref-webb1991"/>
    <w:p>
      <w:pPr>
        <w:pStyle w:val="Bibliography"/>
      </w:pPr>
      <w:r>
        <w:t xml:space="preserve">11.</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54">
        <w:r>
          <w:rPr>
            <w:rStyle w:val="Hyperlink"/>
          </w:rPr>
          <w:t xml:space="preserve">https://doi.org/10.1017/S0094837300010605</w:t>
        </w:r>
      </w:hyperlink>
      <w:r>
        <w:t xml:space="preserve">.</w:t>
      </w:r>
    </w:p>
    <w:bookmarkEnd w:id="55"/>
    <w:bookmarkStart w:id="57" w:name="ref-cione2015"/>
    <w:p>
      <w:pPr>
        <w:pStyle w:val="Bibliography"/>
      </w:pPr>
      <w:r>
        <w:t xml:space="preserve">12.</w:t>
      </w:r>
      <w:r>
        <w:t xml:space="preserve"> </w:t>
      </w:r>
      <w:r>
        <w:t xml:space="preserve">	</w:t>
      </w:r>
      <w:r>
        <w:t xml:space="preserve">Cione, A.L., Gasparini, G.M., Soibelzon, E., Soibelzon, L.H., and Tonni, E.P. (2015).</w:t>
      </w:r>
      <w:r>
        <w:t xml:space="preserve"> </w:t>
      </w:r>
      <w:hyperlink r:id="rId56">
        <w:r>
          <w:rPr>
            <w:rStyle w:val="Hyperlink"/>
          </w:rPr>
          <w:t xml:space="preserve">The Great American Biotic Interchange: A South American Perspective</w:t>
        </w:r>
      </w:hyperlink>
      <w:r>
        <w:t xml:space="preserve"> </w:t>
      </w:r>
      <w:r>
        <w:t xml:space="preserve">(Springer Netherlands).</w:t>
      </w:r>
    </w:p>
    <w:bookmarkEnd w:id="57"/>
    <w:bookmarkStart w:id="59" w:name="ref-carrillo2020"/>
    <w:p>
      <w:pPr>
        <w:pStyle w:val="Bibliography"/>
      </w:pPr>
      <w:r>
        <w:t xml:space="preserve">13.</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58">
        <w:r>
          <w:rPr>
            <w:rStyle w:val="Hyperlink"/>
          </w:rPr>
          <w:t xml:space="preserve">https://doi.org/10.1073/pnas.2009397117</w:t>
        </w:r>
      </w:hyperlink>
      <w:r>
        <w:t xml:space="preserve">.</w:t>
      </w:r>
    </w:p>
    <w:bookmarkEnd w:id="59"/>
    <w:bookmarkStart w:id="61" w:name="ref-croft2020"/>
    <w:p>
      <w:pPr>
        <w:pStyle w:val="Bibliography"/>
      </w:pPr>
      <w:r>
        <w:t xml:space="preserve">14.</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0">
        <w:r>
          <w:rPr>
            <w:rStyle w:val="Hyperlink"/>
          </w:rPr>
          <w:t xml:space="preserve">https://doi.org/10.1146/annurev-earth-072619-060126</w:t>
        </w:r>
      </w:hyperlink>
      <w:r>
        <w:t xml:space="preserve">.</w:t>
      </w:r>
    </w:p>
    <w:bookmarkEnd w:id="61"/>
    <w:bookmarkStart w:id="63" w:name="ref-boscaini2025"/>
    <w:p>
      <w:pPr>
        <w:pStyle w:val="Bibliography"/>
      </w:pPr>
      <w:r>
        <w:t xml:space="preserve">15.</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2">
        <w:r>
          <w:rPr>
            <w:rStyle w:val="Hyperlink"/>
          </w:rPr>
          <w:t xml:space="preserve">https://doi.org/10.1126/science.adu0704</w:t>
        </w:r>
      </w:hyperlink>
      <w:r>
        <w:t xml:space="preserve">.</w:t>
      </w:r>
    </w:p>
    <w:bookmarkEnd w:id="63"/>
    <w:bookmarkStart w:id="64" w:name="ref-simpson1980"/>
    <w:p>
      <w:pPr>
        <w:pStyle w:val="Bibliography"/>
      </w:pPr>
      <w:r>
        <w:t xml:space="preserve">16.</w:t>
      </w:r>
      <w:r>
        <w:t xml:space="preserve"> </w:t>
      </w:r>
      <w:r>
        <w:t xml:space="preserve">	</w:t>
      </w:r>
      <w:r>
        <w:t xml:space="preserve">Simpson, G.G. (1980). Splendid isolation : The curious history of south american mammals Yale University Press, New Haven.</w:t>
      </w:r>
    </w:p>
    <w:bookmarkEnd w:id="64"/>
    <w:bookmarkStart w:id="66" w:name="ref-domingo2020"/>
    <w:p>
      <w:pPr>
        <w:pStyle w:val="Bibliography"/>
      </w:pPr>
      <w:r>
        <w:t xml:space="preserve">17.</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65">
        <w:r>
          <w:rPr>
            <w:rStyle w:val="Hyperlink"/>
          </w:rPr>
          <w:t xml:space="preserve">https://doi.org/10.1038/s41598-020-58575-6</w:t>
        </w:r>
      </w:hyperlink>
      <w:r>
        <w:t xml:space="preserve">.</w:t>
      </w:r>
    </w:p>
    <w:bookmarkEnd w:id="66"/>
    <w:bookmarkStart w:id="67" w:name="ref-marshall1990"/>
    <w:p>
      <w:pPr>
        <w:pStyle w:val="Bibliography"/>
      </w:pPr>
      <w:r>
        <w:t xml:space="preserve">18.</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67"/>
    <w:bookmarkStart w:id="69" w:name="ref-faurby2016"/>
    <w:p>
      <w:pPr>
        <w:pStyle w:val="Bibliography"/>
      </w:pPr>
      <w:r>
        <w:t xml:space="preserve">19.</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68">
        <w:r>
          <w:rPr>
            <w:rStyle w:val="Hyperlink"/>
          </w:rPr>
          <w:t xml:space="preserve">https://doi.org/10.1111/geb.12504</w:t>
        </w:r>
      </w:hyperlink>
      <w:r>
        <w:t xml:space="preserve">.</w:t>
      </w:r>
    </w:p>
    <w:bookmarkEnd w:id="69"/>
    <w:bookmarkStart w:id="71" w:name="ref-fernández-monescillo2025"/>
    <w:p>
      <w:pPr>
        <w:pStyle w:val="Bibliography"/>
      </w:pPr>
      <w:r>
        <w:t xml:space="preserve">20.</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0">
        <w:r>
          <w:rPr>
            <w:rStyle w:val="Hyperlink"/>
          </w:rPr>
          <w:t xml:space="preserve">https://doi.org/10.1111/pala.70012</w:t>
        </w:r>
      </w:hyperlink>
      <w:r>
        <w:t xml:space="preserve">.</w:t>
      </w:r>
    </w:p>
    <w:bookmarkEnd w:id="71"/>
    <w:bookmarkStart w:id="73" w:name="ref-vrba1992"/>
    <w:p>
      <w:pPr>
        <w:pStyle w:val="Bibliography"/>
      </w:pPr>
      <w:r>
        <w:t xml:space="preserve">21.</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2">
        <w:r>
          <w:rPr>
            <w:rStyle w:val="Hyperlink"/>
          </w:rPr>
          <w:t xml:space="preserve">https://doi.org/10.2307/1381862</w:t>
        </w:r>
      </w:hyperlink>
      <w:r>
        <w:t xml:space="preserve">.</w:t>
      </w:r>
    </w:p>
    <w:bookmarkEnd w:id="73"/>
    <w:bookmarkStart w:id="75" w:name="ref-prevosti2013"/>
    <w:p>
      <w:pPr>
        <w:pStyle w:val="Bibliography"/>
      </w:pPr>
      <w:r>
        <w:t xml:space="preserve">22.</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74">
        <w:r>
          <w:rPr>
            <w:rStyle w:val="Hyperlink"/>
          </w:rPr>
          <w:t xml:space="preserve">https://doi.org/10.1007/s10914-011-9175-9</w:t>
        </w:r>
      </w:hyperlink>
      <w:r>
        <w:t xml:space="preserve">.</w:t>
      </w:r>
    </w:p>
    <w:bookmarkEnd w:id="75"/>
    <w:bookmarkStart w:id="77" w:name="ref-tarquini2022"/>
    <w:p>
      <w:pPr>
        <w:pStyle w:val="Bibliography"/>
      </w:pPr>
      <w:r>
        <w:t xml:space="preserve">23.</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76">
        <w:r>
          <w:rPr>
            <w:rStyle w:val="Hyperlink"/>
          </w:rPr>
          <w:t xml:space="preserve">https://doi.org/10.1038/s41598-022-05266-z</w:t>
        </w:r>
      </w:hyperlink>
      <w:r>
        <w:t xml:space="preserve">.</w:t>
      </w:r>
    </w:p>
    <w:bookmarkEnd w:id="77"/>
    <w:bookmarkStart w:id="79" w:name="ref-marsà2025"/>
    <w:p>
      <w:pPr>
        <w:pStyle w:val="Bibliography"/>
      </w:pPr>
      <w:r>
        <w:t xml:space="preserve">24.</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78">
        <w:r>
          <w:rPr>
            <w:rStyle w:val="Hyperlink"/>
          </w:rPr>
          <w:t xml:space="preserve">https://doi.org/10.3390/d17030153</w:t>
        </w:r>
      </w:hyperlink>
      <w:r>
        <w:t xml:space="preserve">.</w:t>
      </w:r>
    </w:p>
    <w:bookmarkEnd w:id="79"/>
    <w:bookmarkStart w:id="81" w:name="ref-freitas-oliveira2024"/>
    <w:p>
      <w:pPr>
        <w:pStyle w:val="Bibliography"/>
      </w:pPr>
      <w:r>
        <w:t xml:space="preserve">25.</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0">
        <w:r>
          <w:rPr>
            <w:rStyle w:val="Hyperlink"/>
          </w:rPr>
          <w:t xml:space="preserve">https://doi.org/10.1038/s44185-024-00045-7</w:t>
        </w:r>
      </w:hyperlink>
      <w:r>
        <w:t xml:space="preserve">.</w:t>
      </w:r>
    </w:p>
    <w:bookmarkEnd w:id="81"/>
    <w:bookmarkStart w:id="83" w:name="ref-pilowsky2022"/>
    <w:p>
      <w:pPr>
        <w:pStyle w:val="Bibliography"/>
      </w:pPr>
      <w:r>
        <w:t xml:space="preserve">26.</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82">
        <w:r>
          <w:rPr>
            <w:rStyle w:val="Hyperlink"/>
          </w:rPr>
          <w:t xml:space="preserve">https://doi.org/10.1126/sciadv.abj2271</w:t>
        </w:r>
      </w:hyperlink>
      <w:r>
        <w:t xml:space="preserve">.</w:t>
      </w:r>
    </w:p>
    <w:bookmarkEnd w:id="83"/>
    <w:bookmarkStart w:id="85" w:name="ref-hagen2023"/>
    <w:p>
      <w:pPr>
        <w:pStyle w:val="Bibliography"/>
      </w:pPr>
      <w:r>
        <w:t xml:space="preserve">27.</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84">
        <w:r>
          <w:rPr>
            <w:rStyle w:val="Hyperlink"/>
          </w:rPr>
          <w:t xml:space="preserve">https://doi.org/10.1111/ecog.06132</w:t>
        </w:r>
      </w:hyperlink>
      <w:r>
        <w:t xml:space="preserve">.</w:t>
      </w:r>
    </w:p>
    <w:bookmarkEnd w:id="85"/>
    <w:bookmarkStart w:id="87" w:name="ref-hagen2021"/>
    <w:p>
      <w:pPr>
        <w:pStyle w:val="Bibliography"/>
      </w:pPr>
      <w:r>
        <w:t xml:space="preserve">28.</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86">
        <w:r>
          <w:rPr>
            <w:rStyle w:val="Hyperlink"/>
          </w:rPr>
          <w:t xml:space="preserve">https://doi.org/10.1371/journal.pbio.3001340</w:t>
        </w:r>
      </w:hyperlink>
      <w:r>
        <w:t xml:space="preserve">.</w:t>
      </w:r>
    </w:p>
    <w:bookmarkEnd w:id="87"/>
    <w:bookmarkStart w:id="89" w:name="ref-lorcery2025"/>
    <w:p>
      <w:pPr>
        <w:pStyle w:val="Bibliography"/>
      </w:pPr>
      <w:r>
        <w:t xml:space="preserve">29.</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88">
        <w:r>
          <w:rPr>
            <w:rStyle w:val="Hyperlink"/>
          </w:rPr>
          <w:t xml:space="preserve">https://doi.org/10.1371/journal.pone.0332766</w:t>
        </w:r>
      </w:hyperlink>
      <w:r>
        <w:t xml:space="preserve">.</w:t>
      </w:r>
    </w:p>
    <w:bookmarkEnd w:id="89"/>
    <w:bookmarkStart w:id="91" w:name="ref-hagen2021b"/>
    <w:p>
      <w:pPr>
        <w:pStyle w:val="Bibliography"/>
      </w:pPr>
      <w:r>
        <w:t xml:space="preserve">30.</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90">
        <w:r>
          <w:rPr>
            <w:rStyle w:val="Hyperlink"/>
          </w:rPr>
          <w:t xml:space="preserve">https://doi.org/10.1073/pnas.2026347118</w:t>
        </w:r>
      </w:hyperlink>
      <w:r>
        <w:t xml:space="preserve">.</w:t>
      </w:r>
    </w:p>
    <w:bookmarkEnd w:id="91"/>
    <w:bookmarkStart w:id="93" w:name="ref-skeels2023b"/>
    <w:p>
      <w:pPr>
        <w:pStyle w:val="Bibliography"/>
      </w:pPr>
      <w:r>
        <w:t xml:space="preserve">31.</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2">
        <w:r>
          <w:rPr>
            <w:rStyle w:val="Hyperlink"/>
          </w:rPr>
          <w:t xml:space="preserve">https://doi.org/10.1126/science.adf7122</w:t>
        </w:r>
      </w:hyperlink>
      <w:r>
        <w:t xml:space="preserve">.</w:t>
      </w:r>
    </w:p>
    <w:bookmarkEnd w:id="93"/>
    <w:bookmarkStart w:id="95" w:name="ref-boschman2023"/>
    <w:p>
      <w:pPr>
        <w:pStyle w:val="Bibliography"/>
      </w:pPr>
      <w:r>
        <w:t xml:space="preserve">32.</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94">
        <w:r>
          <w:rPr>
            <w:rStyle w:val="Hyperlink"/>
          </w:rPr>
          <w:t xml:space="preserve">https://doi.org/10.1038/s41559-023-02220-8</w:t>
        </w:r>
      </w:hyperlink>
      <w:r>
        <w:t xml:space="preserve">.</w:t>
      </w:r>
    </w:p>
    <w:bookmarkEnd w:id="95"/>
    <w:bookmarkStart w:id="97" w:name="ref-skeels2023"/>
    <w:p>
      <w:pPr>
        <w:pStyle w:val="Bibliography"/>
      </w:pPr>
      <w:r>
        <w:t xml:space="preserve">33.</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96">
        <w:r>
          <w:rPr>
            <w:rStyle w:val="Hyperlink"/>
          </w:rPr>
          <w:t xml:space="preserve">https://doi.org/10.1093/sysbio/syac048</w:t>
        </w:r>
      </w:hyperlink>
      <w:r>
        <w:t xml:space="preserve">.</w:t>
      </w:r>
    </w:p>
    <w:bookmarkEnd w:id="97"/>
    <w:bookmarkStart w:id="99" w:name="ref-liu2024"/>
    <w:p>
      <w:pPr>
        <w:pStyle w:val="Bibliography"/>
      </w:pPr>
      <w:r>
        <w:t xml:space="preserve">34.</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98">
        <w:r>
          <w:rPr>
            <w:rStyle w:val="Hyperlink"/>
          </w:rPr>
          <w:t xml:space="preserve">https://doi.org/10.1126/science.adi0833</w:t>
        </w:r>
      </w:hyperlink>
      <w:r>
        <w:t xml:space="preserve">.</w:t>
      </w:r>
    </w:p>
    <w:bookmarkEnd w:id="99"/>
    <w:bookmarkStart w:id="101" w:name="ref-holden2019"/>
    <w:p>
      <w:pPr>
        <w:pStyle w:val="Bibliography"/>
      </w:pPr>
      <w:r>
        <w:t xml:space="preserve">35.</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00">
        <w:r>
          <w:rPr>
            <w:rStyle w:val="Hyperlink"/>
          </w:rPr>
          <w:t xml:space="preserve">https://doi.org/10.5194/gmd-12-5137-2019</w:t>
        </w:r>
      </w:hyperlink>
      <w:r>
        <w:t xml:space="preserve">.</w:t>
      </w:r>
    </w:p>
    <w:bookmarkEnd w:id="101"/>
    <w:bookmarkStart w:id="103" w:name="ref-barreto2023"/>
    <w:p>
      <w:pPr>
        <w:pStyle w:val="Bibliography"/>
      </w:pPr>
      <w:r>
        <w:t xml:space="preserve">36.</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02">
        <w:r>
          <w:rPr>
            <w:rStyle w:val="Hyperlink"/>
          </w:rPr>
          <w:t xml:space="preserve">https://doi.org/10.1111/geb.13683</w:t>
        </w:r>
      </w:hyperlink>
      <w:r>
        <w:t xml:space="preserve">.</w:t>
      </w:r>
    </w:p>
    <w:bookmarkEnd w:id="103"/>
    <w:bookmarkStart w:id="105" w:name="ref-beck2018"/>
    <w:p>
      <w:pPr>
        <w:pStyle w:val="Bibliography"/>
      </w:pPr>
      <w:r>
        <w:t xml:space="preserve">37.</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04">
        <w:r>
          <w:rPr>
            <w:rStyle w:val="Hyperlink"/>
          </w:rPr>
          <w:t xml:space="preserve">https://doi.org/10.1038/sdata.2018.214</w:t>
        </w:r>
      </w:hyperlink>
      <w:r>
        <w:t xml:space="preserve">.</w:t>
      </w:r>
    </w:p>
    <w:bookmarkEnd w:id="105"/>
    <w:bookmarkStart w:id="107" w:name="ref-galván2023"/>
    <w:p>
      <w:pPr>
        <w:pStyle w:val="Bibliography"/>
      </w:pPr>
      <w:r>
        <w:t xml:space="preserve">38.</w:t>
      </w:r>
      <w:r>
        <w:t xml:space="preserve"> </w:t>
      </w:r>
      <w:r>
        <w:t xml:space="preserve">	</w:t>
      </w:r>
      <w:r>
        <w:t xml:space="preserve">Galván, S., Gamboa, S., and Varela, S. (2023).</w:t>
      </w:r>
      <w:r>
        <w:t xml:space="preserve"> </w:t>
      </w:r>
      <w:hyperlink r:id="rId106">
        <w:r>
          <w:rPr>
            <w:rStyle w:val="Hyperlink"/>
          </w:rPr>
          <w:t xml:space="preserve">Köppen Geiger climatic classification for R users.</w:t>
        </w:r>
      </w:hyperlink>
    </w:p>
    <w:bookmarkEnd w:id="107"/>
    <w:bookmarkStart w:id="109" w:name="ref-weir2009"/>
    <w:p>
      <w:pPr>
        <w:pStyle w:val="Bibliography"/>
      </w:pPr>
      <w:r>
        <w:t xml:space="preserve">39.</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08">
        <w:r>
          <w:rPr>
            <w:rStyle w:val="Hyperlink"/>
          </w:rPr>
          <w:t xml:space="preserve">https://doi.org/10.1073/pnas.0903811106</w:t>
        </w:r>
      </w:hyperlink>
      <w:r>
        <w:t xml:space="preserve">.</w:t>
      </w:r>
    </w:p>
    <w:bookmarkEnd w:id="109"/>
    <w:bookmarkStart w:id="111" w:name="ref-antonelli2018"/>
    <w:p>
      <w:pPr>
        <w:pStyle w:val="Bibliography"/>
      </w:pPr>
      <w:r>
        <w:t xml:space="preserve">40.</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10">
        <w:r>
          <w:rPr>
            <w:rStyle w:val="Hyperlink"/>
          </w:rPr>
          <w:t xml:space="preserve">https://doi.org/10.1038/s41561-018-0236-z</w:t>
        </w:r>
      </w:hyperlink>
      <w:r>
        <w:t xml:space="preserve">.</w:t>
      </w:r>
    </w:p>
    <w:bookmarkEnd w:id="111"/>
    <w:bookmarkStart w:id="113" w:name="ref-haffer1969"/>
    <w:p>
      <w:pPr>
        <w:pStyle w:val="Bibliography"/>
      </w:pPr>
      <w:r>
        <w:t xml:space="preserve">41.</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12">
        <w:r>
          <w:rPr>
            <w:rStyle w:val="Hyperlink"/>
          </w:rPr>
          <w:t xml:space="preserve">https://doi.org/10.1126/science.165.3889.131</w:t>
        </w:r>
      </w:hyperlink>
      <w:r>
        <w:t xml:space="preserve">.</w:t>
      </w:r>
    </w:p>
    <w:bookmarkEnd w:id="113"/>
    <w:bookmarkStart w:id="115" w:name="ref-cruz2025"/>
    <w:p>
      <w:pPr>
        <w:pStyle w:val="Bibliography"/>
      </w:pPr>
      <w:r>
        <w:t xml:space="preserve">42.</w:t>
      </w:r>
      <w:r>
        <w:t xml:space="preserve"> </w:t>
      </w:r>
      <w:r>
        <w:t xml:space="preserve">	</w:t>
      </w:r>
      <w:r>
        <w:t xml:space="preserve">Cruz, E.N.S., Faurby, S., and Sawaya, R.J. (2025). Did the climate changes cause the extinction of the Late Pleistocene gomphotheres in South America? Zoologia (Curitiba)</w:t>
      </w:r>
      <w:r>
        <w:t xml:space="preserve"> </w:t>
      </w:r>
      <w:r>
        <w:rPr>
          <w:i/>
          <w:iCs/>
        </w:rPr>
        <w:t xml:space="preserve">42</w:t>
      </w:r>
      <w:r>
        <w:t xml:space="preserve">, e24051. https://doi.org/</w:t>
      </w:r>
      <w:hyperlink r:id="rId114">
        <w:r>
          <w:rPr>
            <w:rStyle w:val="Hyperlink"/>
          </w:rPr>
          <w:t xml:space="preserve">https://doi.org/10.1590/S1984-4689.v42.e24051</w:t>
        </w:r>
      </w:hyperlink>
      <w:r>
        <w:t xml:space="preserve">.</w:t>
      </w:r>
    </w:p>
    <w:bookmarkEnd w:id="115"/>
    <w:bookmarkStart w:id="117" w:name="ref-motta2025"/>
    <w:p>
      <w:pPr>
        <w:pStyle w:val="Bibliography"/>
      </w:pPr>
      <w:r>
        <w:t xml:space="preserve">43.</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16">
        <w:r>
          <w:rPr>
            <w:rStyle w:val="Hyperlink"/>
          </w:rPr>
          <w:t xml:space="preserve">https://doi.org/10.1016/j.palaeo.2025.112905</w:t>
        </w:r>
      </w:hyperlink>
      <w:r>
        <w:t xml:space="preserve">.</w:t>
      </w:r>
    </w:p>
    <w:bookmarkEnd w:id="117"/>
    <w:bookmarkStart w:id="119" w:name="ref-pino2022"/>
    <w:p>
      <w:pPr>
        <w:pStyle w:val="Bibliography"/>
      </w:pPr>
      <w:r>
        <w:t xml:space="preserve">44.</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18">
        <w:r>
          <w:rPr>
            <w:rStyle w:val="Hyperlink"/>
          </w:rPr>
          <w:t xml:space="preserve">https://doi.org/10.1016/j.gloplacha.2022.103758</w:t>
        </w:r>
      </w:hyperlink>
      <w:r>
        <w:t xml:space="preserve">.</w:t>
      </w:r>
    </w:p>
    <w:bookmarkEnd w:id="119"/>
    <w:bookmarkStart w:id="121" w:name="ref-morgan1993"/>
    <w:p>
      <w:pPr>
        <w:pStyle w:val="Bibliography"/>
      </w:pPr>
      <w:r>
        <w:t xml:space="preserve">45.</w:t>
      </w:r>
      <w:r>
        <w:t xml:space="preserve"> </w:t>
      </w:r>
      <w:r>
        <w:t xml:space="preserve">	</w:t>
      </w:r>
      <w:r>
        <w:t xml:space="preserve">Morgan, G.S. (1993). Quaternary land vertebrates of jamaica. In, R. M. Wright and E. Robinson, eds. (Geological Society of America), p. 0.</w:t>
      </w:r>
      <w:r>
        <w:t xml:space="preserve"> </w:t>
      </w:r>
      <w:hyperlink r:id="rId120">
        <w:r>
          <w:rPr>
            <w:rStyle w:val="Hyperlink"/>
          </w:rPr>
          <w:t xml:space="preserve">https://doi.org/10.1130/MEM182-p417</w:t>
        </w:r>
      </w:hyperlink>
      <w:r>
        <w:t xml:space="preserve">.</w:t>
      </w:r>
    </w:p>
    <w:bookmarkEnd w:id="121"/>
    <w:bookmarkStart w:id="123" w:name="ref-ali2021b"/>
    <w:p>
      <w:pPr>
        <w:pStyle w:val="Bibliography"/>
      </w:pPr>
      <w:r>
        <w:t xml:space="preserve">46.</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22">
        <w:r>
          <w:rPr>
            <w:rStyle w:val="Hyperlink"/>
          </w:rPr>
          <w:t xml:space="preserve">https://doi.org/10.1111/jbi.14234</w:t>
        </w:r>
      </w:hyperlink>
      <w:r>
        <w:t xml:space="preserve">.</w:t>
      </w:r>
    </w:p>
    <w:bookmarkEnd w:id="123"/>
    <w:bookmarkStart w:id="125" w:name="ref-cornée2021"/>
    <w:p>
      <w:pPr>
        <w:pStyle w:val="Bibliography"/>
      </w:pPr>
      <w:r>
        <w:t xml:space="preserve">47.</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24">
        <w:r>
          <w:rPr>
            <w:rStyle w:val="Hyperlink"/>
          </w:rPr>
          <w:t xml:space="preserve">https://doi.org/10.1016/j.earscirev.2021.103617</w:t>
        </w:r>
      </w:hyperlink>
      <w:r>
        <w:t xml:space="preserve">.</w:t>
      </w:r>
    </w:p>
    <w:bookmarkEnd w:id="125"/>
    <w:bookmarkStart w:id="127" w:name="ref-warren2015"/>
    <w:p>
      <w:pPr>
        <w:pStyle w:val="Bibliography"/>
      </w:pPr>
      <w:r>
        <w:t xml:space="preserve">48.</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26">
        <w:r>
          <w:rPr>
            <w:rStyle w:val="Hyperlink"/>
          </w:rPr>
          <w:t xml:space="preserve">https://doi.org/10.1111/ele.12398</w:t>
        </w:r>
      </w:hyperlink>
      <w:r>
        <w:t xml:space="preserve">.</w:t>
      </w:r>
    </w:p>
    <w:bookmarkEnd w:id="127"/>
    <w:bookmarkStart w:id="129" w:name="ref-couvreur2011"/>
    <w:p>
      <w:pPr>
        <w:pStyle w:val="Bibliography"/>
      </w:pPr>
      <w:r>
        <w:t xml:space="preserve">49.</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28">
        <w:r>
          <w:rPr>
            <w:rStyle w:val="Hyperlink"/>
          </w:rPr>
          <w:t xml:space="preserve">https://doi.org/10.1111/j.1365-2699.2010.02434.x</w:t>
        </w:r>
      </w:hyperlink>
      <w:r>
        <w:t xml:space="preserve">.</w:t>
      </w:r>
    </w:p>
    <w:bookmarkEnd w:id="129"/>
    <w:bookmarkStart w:id="131" w:name="ref-upchurch2024"/>
    <w:p>
      <w:pPr>
        <w:pStyle w:val="Bibliography"/>
      </w:pPr>
      <w:r>
        <w:t xml:space="preserve">50.</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30">
        <w:r>
          <w:rPr>
            <w:rStyle w:val="Hyperlink"/>
          </w:rPr>
          <w:t xml:space="preserve">https://doi.org/10.1098/rsbl.2024.0429</w:t>
        </w:r>
      </w:hyperlink>
      <w:r>
        <w:t xml:space="preserve">.</w:t>
      </w:r>
    </w:p>
    <w:bookmarkEnd w:id="131"/>
    <w:bookmarkStart w:id="133" w:name="ref-gearty2023"/>
    <w:p>
      <w:pPr>
        <w:pStyle w:val="Bibliography"/>
      </w:pPr>
      <w:r>
        <w:t xml:space="preserve">51.</w:t>
      </w:r>
      <w:r>
        <w:t xml:space="preserve"> </w:t>
      </w:r>
      <w:r>
        <w:t xml:space="preserve">	</w:t>
      </w:r>
      <w:r>
        <w:t xml:space="preserve">Gearty, W. (2023).</w:t>
      </w:r>
      <w:r>
        <w:t xml:space="preserve"> </w:t>
      </w:r>
      <w:hyperlink r:id="rId132">
        <w:r>
          <w:rPr>
            <w:rStyle w:val="Hyperlink"/>
          </w:rPr>
          <w:t xml:space="preserve">Deeptime: Plotting tools for anyone working in deep time. R package version 1.0.1.</w:t>
        </w:r>
      </w:hyperlink>
    </w:p>
    <w:bookmarkEnd w:id="133"/>
    <w:bookmarkEnd w:id="134"/>
    <w:bookmarkEnd w:id="135"/>
    <w:bookmarkStart w:id="152"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39" w:name="fig-framework"/>
          <w:p>
            <w:pPr>
              <w:pStyle w:val="Compact"/>
              <w:jc w:val="center"/>
            </w:pPr>
            <w:r>
              <w:drawing>
                <wp:inline>
                  <wp:extent cx="3959999" cy="3959999"/>
                  <wp:effectExtent b="0" l="0" r="0" t="0"/>
                  <wp:docPr descr="" title="" id="137" name="Picture"/>
                  <a:graphic>
                    <a:graphicData uri="http://schemas.openxmlformats.org/drawingml/2006/picture">
                      <pic:pic>
                        <pic:nvPicPr>
                          <pic:cNvPr descr="../Figures/MS/Main/Figure_framework/Figure_framework.png" id="138" name="Picture"/>
                          <pic:cNvPicPr>
                            <a:picLocks noChangeArrowheads="1" noChangeAspect="1"/>
                          </pic:cNvPicPr>
                        </pic:nvPicPr>
                        <pic:blipFill>
                          <a:blip r:embed="rId136"/>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35</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7,9</w:t>
            </w:r>
            <w:r>
              <w:t xml:space="preserve"> </w:t>
            </w:r>
            <w:r>
              <w:t xml:space="preserve">is indicated by the light purple vertical bands. Geological timescale was depicted using the deeptime R package</w:t>
            </w:r>
            <w:r>
              <w:rPr>
                <w:vertAlign w:val="superscript"/>
              </w:rPr>
              <w:t xml:space="preserve">51</w:t>
            </w:r>
            <w:r>
              <w:t xml:space="preserve">. The empirically-derived asymmetry of the transcontinental land mammal exchange is represented by the thickness of the two arrows, the thicker the arrow, the more intense the exchange.</w:t>
            </w:r>
          </w:p>
          <w:bookmarkEnd w:id="139"/>
        </w:tc>
      </w:tr>
    </w:tbl>
    <w:tbl>
      <w:tblPr>
        <w:tblStyle w:val="Table"/>
        <w:tblW w:type="pct" w:w="5000"/>
        <w:tblLayout w:type="fixed"/>
        <w:tblLook w:firstRow="0" w:lastRow="0" w:firstColumn="0" w:lastColumn="0" w:noHBand="0" w:noVBand="0" w:val="0000"/>
      </w:tblPr>
      <w:tblGrid>
        <w:gridCol w:w="7920"/>
      </w:tblGrid>
      <w:tr>
        <w:tc>
          <w:tcPr/>
          <w:bookmarkStart w:id="143" w:name="fig-propsuccess"/>
          <w:p>
            <w:pPr>
              <w:pStyle w:val="Compact"/>
              <w:jc w:val="center"/>
            </w:pPr>
            <w:r>
              <w:drawing>
                <wp:inline>
                  <wp:extent cx="3599999" cy="3779999"/>
                  <wp:effectExtent b="0" l="0" r="0" t="0"/>
                  <wp:docPr descr="" title="" id="141" name="Picture"/>
                  <a:graphic>
                    <a:graphicData uri="http://schemas.openxmlformats.org/drawingml/2006/picture">
                      <pic:pic>
                        <pic:nvPicPr>
                          <pic:cNvPr descr="../Figures/MS/Main/Figure_PropSuccess/Figure_PropSuccess.png" id="142" name="Picture"/>
                          <pic:cNvPicPr>
                            <a:picLocks noChangeArrowheads="1" noChangeAspect="1"/>
                          </pic:cNvPicPr>
                        </pic:nvPicPr>
                        <pic:blipFill>
                          <a:blip r:embed="rId140"/>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43"/>
        </w:tc>
      </w:tr>
    </w:tbl>
    <w:tbl>
      <w:tblPr>
        <w:tblStyle w:val="Table"/>
        <w:tblW w:type="pct" w:w="5000"/>
        <w:tblLayout w:type="fixed"/>
        <w:tblLook w:firstRow="0" w:lastRow="0" w:firstColumn="0" w:lastColumn="0" w:noHBand="0" w:noVBand="0" w:val="0000"/>
      </w:tblPr>
      <w:tblGrid>
        <w:gridCol w:w="7920"/>
      </w:tblGrid>
      <w:tr>
        <w:tc>
          <w:tcPr/>
          <w:bookmarkStart w:id="147" w:name="fig-metrics"/>
          <w:p>
            <w:pPr>
              <w:pStyle w:val="Compact"/>
              <w:jc w:val="left"/>
            </w:pPr>
            <w:r>
              <w:drawing>
                <wp:inline>
                  <wp:extent cx="5039999" cy="4319999"/>
                  <wp:effectExtent b="0" l="0" r="0" t="0"/>
                  <wp:docPr descr="" title="" id="145" name="Picture"/>
                  <a:graphic>
                    <a:graphicData uri="http://schemas.openxmlformats.org/drawingml/2006/picture">
                      <pic:pic>
                        <pic:nvPicPr>
                          <pic:cNvPr descr="../Figures/MS/Main/Figure_metrics/Figure_metrics.png" id="146" name="Picture"/>
                          <pic:cNvPicPr>
                            <a:picLocks noChangeArrowheads="1" noChangeAspect="1"/>
                          </pic:cNvPicPr>
                        </pic:nvPicPr>
                        <pic:blipFill>
                          <a:blip r:embed="rId144"/>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w:t>
            </w:r>
            <w:r>
              <w:t xml:space="preserve"> </w:t>
            </w:r>
            <m:oMath>
              <m:r>
                <m:t>α</m:t>
              </m:r>
            </m:oMath>
            <w:r>
              <w:t xml:space="preserve">-diversity,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47"/>
        </w:tc>
      </w:tr>
    </w:tbl>
    <w:tbl>
      <w:tblPr>
        <w:tblStyle w:val="Table"/>
        <w:tblW w:type="pct" w:w="5000"/>
        <w:tblLayout w:type="fixed"/>
        <w:tblLook w:firstRow="0" w:lastRow="0" w:firstColumn="0" w:lastColumn="0" w:noHBand="0" w:noVBand="0" w:val="0000"/>
      </w:tblPr>
      <w:tblGrid>
        <w:gridCol w:w="7920"/>
      </w:tblGrid>
      <w:tr>
        <w:tc>
          <w:tcPr/>
          <w:bookmarkStart w:id="151" w:name="fig-biome"/>
          <w:p>
            <w:pPr>
              <w:pStyle w:val="Compact"/>
              <w:jc w:val="center"/>
            </w:pPr>
            <w:r>
              <w:drawing>
                <wp:inline>
                  <wp:extent cx="5399999" cy="5399999"/>
                  <wp:effectExtent b="0" l="0" r="0" t="0"/>
                  <wp:docPr descr="" title="" id="149" name="Picture"/>
                  <a:graphic>
                    <a:graphicData uri="http://schemas.openxmlformats.org/drawingml/2006/picture">
                      <pic:pic>
                        <pic:nvPicPr>
                          <pic:cNvPr descr="../Figures/MS/Main/Figure_biomes/Figure_biomes.png" id="150" name="Picture"/>
                          <pic:cNvPicPr>
                            <a:picLocks noChangeArrowheads="1" noChangeAspect="1"/>
                          </pic:cNvPicPr>
                        </pic:nvPicPr>
                        <pic:blipFill>
                          <a:blip r:embed="rId148"/>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51"/>
        </w:tc>
      </w:tr>
    </w:tbl>
    <w:bookmarkEnd w:id="152"/>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0" Target="media/rId140.png" /><Relationship Type="http://schemas.openxmlformats.org/officeDocument/2006/relationships/image" Id="rId148" Target="media/rId148.png"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hyperlink" Id="rId38" Target="http://repository.si.edu/xmlui/handle/10088/35473" TargetMode="External" /><Relationship Type="http://schemas.openxmlformats.org/officeDocument/2006/relationships/hyperlink" Id="rId132" Target="https://CRAN.R-project.org/package=deeptime" TargetMode="External" /><Relationship Type="http://schemas.openxmlformats.org/officeDocument/2006/relationships/hyperlink" Id="rId46" Target="https://doi.org/10.1007/s10914-010-9144-8" TargetMode="External" /><Relationship Type="http://schemas.openxmlformats.org/officeDocument/2006/relationships/hyperlink" Id="rId74" Target="https://doi.org/10.1007/s10914-011-9175-9" TargetMode="External" /><Relationship Type="http://schemas.openxmlformats.org/officeDocument/2006/relationships/hyperlink" Id="rId124"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8" Target="https://doi.org/10.1016/j.gloplacha.2022.103758" TargetMode="External" /><Relationship Type="http://schemas.openxmlformats.org/officeDocument/2006/relationships/hyperlink" Id="rId116" Target="https://doi.org/10.1016/j.palaeo.2025.112905" TargetMode="External" /><Relationship Type="http://schemas.openxmlformats.org/officeDocument/2006/relationships/hyperlink" Id="rId54" Target="https://doi.org/10.1017/S0094837300010605" TargetMode="External" /><Relationship Type="http://schemas.openxmlformats.org/officeDocument/2006/relationships/hyperlink" Id="rId94" Target="https://doi.org/10.1038/s41559-023-02220-8" TargetMode="External" /><Relationship Type="http://schemas.openxmlformats.org/officeDocument/2006/relationships/hyperlink" Id="rId110" Target="https://doi.org/10.1038/s41561-018-0236-z" TargetMode="External" /><Relationship Type="http://schemas.openxmlformats.org/officeDocument/2006/relationships/hyperlink" Id="rId65" Target="https://doi.org/10.1038/s41598-020-58575-6" TargetMode="External" /><Relationship Type="http://schemas.openxmlformats.org/officeDocument/2006/relationships/hyperlink" Id="rId76" Target="https://doi.org/10.1038/s41598-022-05266-z" TargetMode="External" /><Relationship Type="http://schemas.openxmlformats.org/officeDocument/2006/relationships/hyperlink" Id="rId80" Target="https://doi.org/10.1038/s44185-024-00045-7" TargetMode="External" /><Relationship Type="http://schemas.openxmlformats.org/officeDocument/2006/relationships/hyperlink" Id="rId104" Target="https://doi.org/10.1038/sdata.2018.214" TargetMode="External" /><Relationship Type="http://schemas.openxmlformats.org/officeDocument/2006/relationships/hyperlink" Id="rId108" Target="https://doi.org/10.1073/pnas.0903811106" TargetMode="External" /><Relationship Type="http://schemas.openxmlformats.org/officeDocument/2006/relationships/hyperlink" Id="rId48" Target="https://doi.org/10.1073/pnas.1423853112" TargetMode="External" /><Relationship Type="http://schemas.openxmlformats.org/officeDocument/2006/relationships/hyperlink" Id="rId58" Target="https://doi.org/10.1073/pnas.2009397117" TargetMode="External" /><Relationship Type="http://schemas.openxmlformats.org/officeDocument/2006/relationships/hyperlink" Id="rId90" Target="https://doi.org/10.1073/pnas.2026347118" TargetMode="External" /><Relationship Type="http://schemas.openxmlformats.org/officeDocument/2006/relationships/hyperlink" Id="rId96" Target="https://doi.org/10.1093/sysbio/syac048" TargetMode="External" /><Relationship Type="http://schemas.openxmlformats.org/officeDocument/2006/relationships/hyperlink" Id="rId130" Target="https://doi.org/10.1098/rsbl.2024.0429" TargetMode="External" /><Relationship Type="http://schemas.openxmlformats.org/officeDocument/2006/relationships/hyperlink" Id="rId84" Target="https://doi.org/10.1111/ecog.06132" TargetMode="External" /><Relationship Type="http://schemas.openxmlformats.org/officeDocument/2006/relationships/hyperlink" Id="rId126" Target="https://doi.org/10.1111/ele.12398" TargetMode="External" /><Relationship Type="http://schemas.openxmlformats.org/officeDocument/2006/relationships/hyperlink" Id="rId68" Target="https://doi.org/10.1111/geb.12504" TargetMode="External" /><Relationship Type="http://schemas.openxmlformats.org/officeDocument/2006/relationships/hyperlink" Id="rId102" Target="https://doi.org/10.1111/geb.13683" TargetMode="External" /><Relationship Type="http://schemas.openxmlformats.org/officeDocument/2006/relationships/hyperlink" Id="rId128" Target="https://doi.org/10.1111/j.1365-2699.2010.02434.x" TargetMode="External" /><Relationship Type="http://schemas.openxmlformats.org/officeDocument/2006/relationships/hyperlink" Id="rId122" Target="https://doi.org/10.1111/jbi.14234" TargetMode="External" /><Relationship Type="http://schemas.openxmlformats.org/officeDocument/2006/relationships/hyperlink" Id="rId70"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2" Target="https://doi.org/10.1126/sciadv.abj2271" TargetMode="External" /><Relationship Type="http://schemas.openxmlformats.org/officeDocument/2006/relationships/hyperlink" Id="rId112"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2" Target="https://doi.org/10.1126/science.adf7122" TargetMode="External" /><Relationship Type="http://schemas.openxmlformats.org/officeDocument/2006/relationships/hyperlink" Id="rId98" Target="https://doi.org/10.1126/science.adi0833" TargetMode="External" /><Relationship Type="http://schemas.openxmlformats.org/officeDocument/2006/relationships/hyperlink" Id="rId62" Target="https://doi.org/10.1126/science.adu0704" TargetMode="External" /><Relationship Type="http://schemas.openxmlformats.org/officeDocument/2006/relationships/hyperlink" Id="rId50" Target="https://doi.org/10.1130/G37624.1" TargetMode="External" /><Relationship Type="http://schemas.openxmlformats.org/officeDocument/2006/relationships/hyperlink" Id="rId120" Target="https://doi.org/10.1130/MEM182-p417" TargetMode="External" /><Relationship Type="http://schemas.openxmlformats.org/officeDocument/2006/relationships/hyperlink" Id="rId60" Target="https://doi.org/10.1146/annurev-earth-072619-060126" TargetMode="External" /><Relationship Type="http://schemas.openxmlformats.org/officeDocument/2006/relationships/hyperlink" Id="rId86" Target="https://doi.org/10.1371/journal.pbio.3001340" TargetMode="External" /><Relationship Type="http://schemas.openxmlformats.org/officeDocument/2006/relationships/hyperlink" Id="rId88" Target="https://doi.org/10.1371/journal.pone.0332766" TargetMode="External" /><Relationship Type="http://schemas.openxmlformats.org/officeDocument/2006/relationships/hyperlink" Id="rId114" Target="https://doi.org/10.1590/S1984-4689.v42.e24051" TargetMode="External" /><Relationship Type="http://schemas.openxmlformats.org/officeDocument/2006/relationships/hyperlink" Id="rId72" Target="https://doi.org/10.2307/1381862" TargetMode="External" /><Relationship Type="http://schemas.openxmlformats.org/officeDocument/2006/relationships/hyperlink" Id="rId78" Target="https://doi.org/10.3390/d17030153" TargetMode="External" /><Relationship Type="http://schemas.openxmlformats.org/officeDocument/2006/relationships/hyperlink" Id="rId100" Target="https://doi.org/10.5194/gmd-12-5137-2019" TargetMode="External" /><Relationship Type="http://schemas.openxmlformats.org/officeDocument/2006/relationships/hyperlink" Id="rId106" Target="https://eartharxiv.org/repository/view/6269/" TargetMode="External" /><Relationship Type="http://schemas.openxmlformats.org/officeDocument/2006/relationships/hyperlink" Id="rId56" Target="https://link.springer.com/10.1007/978-94-017-9792-4" TargetMode="External" /><Relationship Type="http://schemas.openxmlformats.org/officeDocument/2006/relationships/hyperlink" Id="rId44" Target="https://www.degruyterbrill.com/document/doi/10.7312/wood13040-008/html" TargetMode="External" /><Relationship Type="http://schemas.openxmlformats.org/officeDocument/2006/relationships/hyperlink" Id="rId34" Target="https://www.jstor.org/stable/1688046" TargetMode="External" /><Relationship Type="http://schemas.openxmlformats.org/officeDocument/2006/relationships/hyperlink" Id="rId52"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38" Target="http://repository.si.edu/xmlui/handle/10088/35473" TargetMode="External" /><Relationship Type="http://schemas.openxmlformats.org/officeDocument/2006/relationships/hyperlink" Id="rId132" Target="https://CRAN.R-project.org/package=deeptime" TargetMode="External" /><Relationship Type="http://schemas.openxmlformats.org/officeDocument/2006/relationships/hyperlink" Id="rId46" Target="https://doi.org/10.1007/s10914-010-9144-8" TargetMode="External" /><Relationship Type="http://schemas.openxmlformats.org/officeDocument/2006/relationships/hyperlink" Id="rId74" Target="https://doi.org/10.1007/s10914-011-9175-9" TargetMode="External" /><Relationship Type="http://schemas.openxmlformats.org/officeDocument/2006/relationships/hyperlink" Id="rId124"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8" Target="https://doi.org/10.1016/j.gloplacha.2022.103758" TargetMode="External" /><Relationship Type="http://schemas.openxmlformats.org/officeDocument/2006/relationships/hyperlink" Id="rId116" Target="https://doi.org/10.1016/j.palaeo.2025.112905" TargetMode="External" /><Relationship Type="http://schemas.openxmlformats.org/officeDocument/2006/relationships/hyperlink" Id="rId54" Target="https://doi.org/10.1017/S0094837300010605" TargetMode="External" /><Relationship Type="http://schemas.openxmlformats.org/officeDocument/2006/relationships/hyperlink" Id="rId94" Target="https://doi.org/10.1038/s41559-023-02220-8" TargetMode="External" /><Relationship Type="http://schemas.openxmlformats.org/officeDocument/2006/relationships/hyperlink" Id="rId110" Target="https://doi.org/10.1038/s41561-018-0236-z" TargetMode="External" /><Relationship Type="http://schemas.openxmlformats.org/officeDocument/2006/relationships/hyperlink" Id="rId65" Target="https://doi.org/10.1038/s41598-020-58575-6" TargetMode="External" /><Relationship Type="http://schemas.openxmlformats.org/officeDocument/2006/relationships/hyperlink" Id="rId76" Target="https://doi.org/10.1038/s41598-022-05266-z" TargetMode="External" /><Relationship Type="http://schemas.openxmlformats.org/officeDocument/2006/relationships/hyperlink" Id="rId80" Target="https://doi.org/10.1038/s44185-024-00045-7" TargetMode="External" /><Relationship Type="http://schemas.openxmlformats.org/officeDocument/2006/relationships/hyperlink" Id="rId104" Target="https://doi.org/10.1038/sdata.2018.214" TargetMode="External" /><Relationship Type="http://schemas.openxmlformats.org/officeDocument/2006/relationships/hyperlink" Id="rId108" Target="https://doi.org/10.1073/pnas.0903811106" TargetMode="External" /><Relationship Type="http://schemas.openxmlformats.org/officeDocument/2006/relationships/hyperlink" Id="rId48" Target="https://doi.org/10.1073/pnas.1423853112" TargetMode="External" /><Relationship Type="http://schemas.openxmlformats.org/officeDocument/2006/relationships/hyperlink" Id="rId58" Target="https://doi.org/10.1073/pnas.2009397117" TargetMode="External" /><Relationship Type="http://schemas.openxmlformats.org/officeDocument/2006/relationships/hyperlink" Id="rId90" Target="https://doi.org/10.1073/pnas.2026347118" TargetMode="External" /><Relationship Type="http://schemas.openxmlformats.org/officeDocument/2006/relationships/hyperlink" Id="rId96" Target="https://doi.org/10.1093/sysbio/syac048" TargetMode="External" /><Relationship Type="http://schemas.openxmlformats.org/officeDocument/2006/relationships/hyperlink" Id="rId130" Target="https://doi.org/10.1098/rsbl.2024.0429" TargetMode="External" /><Relationship Type="http://schemas.openxmlformats.org/officeDocument/2006/relationships/hyperlink" Id="rId84" Target="https://doi.org/10.1111/ecog.06132" TargetMode="External" /><Relationship Type="http://schemas.openxmlformats.org/officeDocument/2006/relationships/hyperlink" Id="rId126" Target="https://doi.org/10.1111/ele.12398" TargetMode="External" /><Relationship Type="http://schemas.openxmlformats.org/officeDocument/2006/relationships/hyperlink" Id="rId68" Target="https://doi.org/10.1111/geb.12504" TargetMode="External" /><Relationship Type="http://schemas.openxmlformats.org/officeDocument/2006/relationships/hyperlink" Id="rId102" Target="https://doi.org/10.1111/geb.13683" TargetMode="External" /><Relationship Type="http://schemas.openxmlformats.org/officeDocument/2006/relationships/hyperlink" Id="rId128" Target="https://doi.org/10.1111/j.1365-2699.2010.02434.x" TargetMode="External" /><Relationship Type="http://schemas.openxmlformats.org/officeDocument/2006/relationships/hyperlink" Id="rId122" Target="https://doi.org/10.1111/jbi.14234" TargetMode="External" /><Relationship Type="http://schemas.openxmlformats.org/officeDocument/2006/relationships/hyperlink" Id="rId70"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2" Target="https://doi.org/10.1126/sciadv.abj2271" TargetMode="External" /><Relationship Type="http://schemas.openxmlformats.org/officeDocument/2006/relationships/hyperlink" Id="rId112"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2" Target="https://doi.org/10.1126/science.adf7122" TargetMode="External" /><Relationship Type="http://schemas.openxmlformats.org/officeDocument/2006/relationships/hyperlink" Id="rId98" Target="https://doi.org/10.1126/science.adi0833" TargetMode="External" /><Relationship Type="http://schemas.openxmlformats.org/officeDocument/2006/relationships/hyperlink" Id="rId62" Target="https://doi.org/10.1126/science.adu0704" TargetMode="External" /><Relationship Type="http://schemas.openxmlformats.org/officeDocument/2006/relationships/hyperlink" Id="rId50" Target="https://doi.org/10.1130/G37624.1" TargetMode="External" /><Relationship Type="http://schemas.openxmlformats.org/officeDocument/2006/relationships/hyperlink" Id="rId120" Target="https://doi.org/10.1130/MEM182-p417" TargetMode="External" /><Relationship Type="http://schemas.openxmlformats.org/officeDocument/2006/relationships/hyperlink" Id="rId60" Target="https://doi.org/10.1146/annurev-earth-072619-060126" TargetMode="External" /><Relationship Type="http://schemas.openxmlformats.org/officeDocument/2006/relationships/hyperlink" Id="rId86" Target="https://doi.org/10.1371/journal.pbio.3001340" TargetMode="External" /><Relationship Type="http://schemas.openxmlformats.org/officeDocument/2006/relationships/hyperlink" Id="rId88" Target="https://doi.org/10.1371/journal.pone.0332766" TargetMode="External" /><Relationship Type="http://schemas.openxmlformats.org/officeDocument/2006/relationships/hyperlink" Id="rId114" Target="https://doi.org/10.1590/S1984-4689.v42.e24051" TargetMode="External" /><Relationship Type="http://schemas.openxmlformats.org/officeDocument/2006/relationships/hyperlink" Id="rId72" Target="https://doi.org/10.2307/1381862" TargetMode="External" /><Relationship Type="http://schemas.openxmlformats.org/officeDocument/2006/relationships/hyperlink" Id="rId78" Target="https://doi.org/10.3390/d17030153" TargetMode="External" /><Relationship Type="http://schemas.openxmlformats.org/officeDocument/2006/relationships/hyperlink" Id="rId100" Target="https://doi.org/10.5194/gmd-12-5137-2019" TargetMode="External" /><Relationship Type="http://schemas.openxmlformats.org/officeDocument/2006/relationships/hyperlink" Id="rId106" Target="https://eartharxiv.org/repository/view/6269/" TargetMode="External" /><Relationship Type="http://schemas.openxmlformats.org/officeDocument/2006/relationships/hyperlink" Id="rId56" Target="https://link.springer.com/10.1007/978-94-017-9792-4" TargetMode="External" /><Relationship Type="http://schemas.openxmlformats.org/officeDocument/2006/relationships/hyperlink" Id="rId44" Target="https://www.degruyterbrill.com/document/doi/10.7312/wood13040-008/html" TargetMode="External" /><Relationship Type="http://schemas.openxmlformats.org/officeDocument/2006/relationships/hyperlink" Id="rId34" Target="https://www.jstor.org/stable/1688046" TargetMode="External" /><Relationship Type="http://schemas.openxmlformats.org/officeDocument/2006/relationships/hyperlink" Id="rId52"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2025-10-27T10:15:39Z</dcterms:created>
  <dcterms:modified xsi:type="dcterms:W3CDTF">2025-10-27T10:15:39Z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