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closure of the isthmus of Panama. Among land mammals, this faunal exchange was asymmetric because it witnessed a greater ability of North American lineages to establish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contrasting with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6"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rPr>
          <w:vertAlign w:val="superscript"/>
        </w:rPr>
        <w:t xml:space="preserve">1</w:t>
      </w:r>
      <w:r>
        <w:t xml:space="preserve">. Though the exact timing of the closure of the isthmus is still debated</w:t>
      </w:r>
      <w:r>
        <w:rPr>
          <w:vertAlign w:val="superscript"/>
        </w:rP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Million years ago (Ma) onwards</w:t>
      </w:r>
      <w:r>
        <w:rPr>
          <w:vertAlign w:val="superscript"/>
        </w:rP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1,9</w:t>
      </w:r>
      <w:r>
        <w:t xml:space="preserve">. However, during the Quaternary, the ability of migrant lineages to maintain in the foreign area became greater in South America, and many native South American mammal lineages concomitantly declined, some of which even going totally extinct</w:t>
      </w:r>
      <w:r>
        <w:rPr>
          <w:vertAlign w:val="superscript"/>
        </w:rP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9,15,16</w:t>
      </w:r>
      <w:r>
        <w:t xml:space="preserve"> </w:t>
      </w:r>
      <w:r>
        <w:t xml:space="preserve">or predation of predator-naive preys</w:t>
      </w:r>
      <w:r>
        <w:rPr>
          <w:vertAlign w:val="superscript"/>
        </w:rPr>
        <w:t xml:space="preserve">9,17–19</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20,21–23</w:t>
      </w:r>
      <w:r>
        <w:t xml:space="preserve">. On the other hand, several studies proposed or found support for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rPr>
          <w:vertAlign w:val="superscript"/>
        </w:rPr>
        <w:t xml:space="preserve">8,10,</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17,20,24</w:t>
      </w:r>
      <w:r>
        <w:t xml:space="preserve">. However, so far, most of these works have only relied on statistical analyses of the fossil record, and there is a lack of studies tackling the issue from a mechanistic perspective.</w:t>
      </w:r>
    </w:p>
    <w:p>
      <w:pPr>
        <w:pStyle w:val="BodyText"/>
      </w:pPr>
      <w:r>
        <w:t xml:space="preserve">Recent improvements in process-explicit modelling have marked a turning point in the study of biodiversity</w:t>
      </w:r>
      <w:r>
        <w:rPr>
          <w:vertAlign w:val="superscript"/>
        </w:rP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26</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27,28</w:t>
      </w:r>
      <w:r>
        <w:t xml:space="preserve">, the diversity desequilibrium between tropical rainforests across the globe</w:t>
      </w:r>
      <w:r>
        <w:rPr>
          <w:vertAlign w:val="superscript"/>
        </w:rPr>
        <w:t xml:space="preserve">29</w:t>
      </w:r>
      <w:r>
        <w:t xml:space="preserve">, the build-up of the unique biodiversity along the Wallace line</w:t>
      </w:r>
      <w:r>
        <w:rPr>
          <w:vertAlign w:val="superscript"/>
        </w:rPr>
        <w:t xml:space="preserve">30</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31,32,33</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round, (ii) successful simulations starting from a North American ancestor would result in a more diverse and spatially spread radiation in the foreign continent and (iii) temperate-adapted species from North America would be the more successful, according to the historical predictions of Webb, Marshall and Simpson.</w:t>
      </w:r>
    </w:p>
    <w:p>
      <w:r>
        <w:br w:type="page"/>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587151" cy="5184144"/>
                  <wp:effectExtent b="0" l="0" r="0" t="0"/>
                  <wp:docPr descr="" title="" id="23" name="Picture"/>
                  <a:graphic>
                    <a:graphicData uri="http://schemas.openxmlformats.org/drawingml/2006/picture">
                      <pic:pic>
                        <pic:nvPicPr>
                          <pic:cNvPr descr="../Figures/MS/Main/Figure1/Figure1.png" id="24" name="Picture"/>
                          <pic:cNvPicPr>
                            <a:picLocks noChangeArrowheads="1" noChangeAspect="1"/>
                          </pic:cNvPicPr>
                        </pic:nvPicPr>
                        <pic:blipFill>
                          <a:blip r:embed="rId22"/>
                          <a:stretch>
                            <a:fillRect/>
                          </a:stretch>
                        </pic:blipFill>
                        <pic:spPr bwMode="auto">
                          <a:xfrm>
                            <a:off x="0" y="0"/>
                            <a:ext cx="5587151" cy="51841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34</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8</w:t>
            </w:r>
            <w:r>
              <w:t xml:space="preserve"> </w:t>
            </w:r>
            <w:r>
              <w:t xml:space="preserve">is indicated by the light purple vertical bands. Geological timescale was depicted using the deeptime R package</w:t>
            </w:r>
            <w:r>
              <w:rPr>
                <w:vertAlign w:val="superscript"/>
              </w:rPr>
              <w:t xml:space="preserve">35</w:t>
            </w:r>
            <w:r>
              <w:t xml:space="preserve">. The empirically-derived asymmetry of the transcontinental land mammal exchange is represented by the thickness of the two arrows, the thicker the arrow, the more intense the exchange.</w:t>
            </w:r>
          </w:p>
          <w:bookmarkEnd w:id="25"/>
        </w:tc>
      </w:tr>
    </w:tbl>
    <w:bookmarkEnd w:id="26"/>
    <w:bookmarkStart w:id="38" w:name="results"/>
    <w:p>
      <w:pPr>
        <w:pStyle w:val="Heading1"/>
      </w:pPr>
      <w:r>
        <w:t xml:space="preserve">Results</w:t>
      </w:r>
    </w:p>
    <w:bookmarkStart w:id="31" w:name="Xed4bd03a92b5751ca77f2e414fb8e8b12710b4e"/>
    <w:p>
      <w:pPr>
        <w:pStyle w:val="Heading2"/>
      </w:pPr>
      <w:r>
        <w:t xml:space="preserve">Climate makes it easier to reach North America from South America than the other way around</w:t>
      </w:r>
    </w:p>
    <w:p>
      <w:pPr>
        <w:pStyle w:val="FirstParagraph"/>
      </w:pPr>
      <w:r>
        <w:t xml:space="preserve">The contribution of palaeoclimate in the biogeographic asymmetry of the Great American Biotic Interchange (GABI) was tested in a simulation-based framework relying on gen3sis v1.5.11, a mechanistic eco-evolutionary simulator</w:t>
      </w:r>
      <w:r>
        <w:rPr>
          <w:vertAlign w:val="superscript"/>
        </w:rPr>
        <w:t xml:space="preserve">27</w:t>
      </w:r>
      <w:r>
        <w:t xml:space="preserve"> </w:t>
      </w:r>
      <w:r>
        <w:t xml:space="preserve">and palaeoclimatic layers (annual temperature and precipitation) covering the last 5 million years generated by the PALEO-PGEM emulator</w:t>
      </w:r>
      <w:r>
        <w:rPr>
          <w:vertAlign w:val="superscript"/>
        </w:rPr>
        <w:t xml:space="preserve">34,36</w:t>
      </w:r>
      <w:r>
        <w:t xml:space="preserve">. Each set of simulations tracked the radiation of a clade either originating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that the proportion of simulations successfully reaching the other continent is always higher when starting from South America than from North America (</w:t>
      </w:r>
      <w:hyperlink w:anchor="fig-2">
        <w:r>
          <w:rPr>
            <w:rStyle w:val="Hyperlink"/>
          </w:rPr>
          <w:t xml:space="preserve">Figure 2</w:t>
        </w:r>
      </w:hyperlink>
      <w:r>
        <w:t xml:space="preserve"> </w:t>
      </w:r>
      <w:r>
        <w:t xml:space="preserve">A). This imbalance, strikingly going against our expectations, is maintained whether we allow species climatic niche to evolve following climatic change (44% vs. 87%, model</w:t>
      </w:r>
      <w:r>
        <w:t xml:space="preserve"> </w:t>
      </w:r>
      <m:oMath>
        <m:r>
          <m:t>M</m:t>
        </m:r>
        <m:r>
          <m:t>1</m:t>
        </m:r>
      </m:oMath>
      <w:r>
        <w:t xml:space="preserve">) or not (29% vs 59%,</w:t>
      </w:r>
      <w:r>
        <w:t xml:space="preserve"> </w:t>
      </w:r>
      <m:oMath>
        <m:r>
          <m:t>M</m:t>
        </m:r>
        <m:r>
          <m:t>0</m:t>
        </m:r>
      </m:oMath>
      <w:r>
        <w:t xml:space="preserve">). When climatic niches were able to evolve, amputation of either their temperature (47% vs. 88%,</w:t>
      </w:r>
      <w:r>
        <w:t xml:space="preserve"> </w:t>
      </w:r>
      <m:oMath>
        <m:r>
          <m:t>M</m:t>
        </m:r>
        <m:r>
          <m:t>2</m:t>
        </m:r>
      </m:oMath>
      <w:r>
        <w:t xml:space="preserve">) or precipitation (38% vs. 89%,</w:t>
      </w:r>
      <w:r>
        <w:t xml:space="preserve"> </w:t>
      </w:r>
      <m:oMath>
        <m:r>
          <m:t>M</m:t>
        </m:r>
        <m:r>
          <m:t>3</m:t>
        </m:r>
      </m:oMath>
      <w:r>
        <w:t xml:space="preserve">) compounds does not alter the pattern. That being said, out of the 500 runs carried out for each landmass-scenario combination (see</w:t>
      </w:r>
      <w:r>
        <w:t xml:space="preserve"> </w:t>
      </w:r>
      <w:r>
        <w:rPr>
          <w:i/>
          <w:iCs/>
        </w:rPr>
        <w:t xml:space="preserve">Star Methods</w:t>
      </w:r>
      <w:r>
        <w:t xml:space="preserve">), the proportion of simulations leading to no living representative (=crash) was on average twice higher for simulations starting in North America, except for model</w:t>
      </w:r>
      <w:r>
        <w:t xml:space="preserve"> </w:t>
      </w:r>
      <m:oMath>
        <m:r>
          <m:t>M</m:t>
        </m:r>
        <m:r>
          <m:t>3</m:t>
        </m:r>
      </m:oMath>
      <w:r>
        <w:t xml:space="preserve"> </w:t>
      </w:r>
      <w:r>
        <w:t xml:space="preserve">(</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fig-2"/>
          <w:p>
            <w:pPr>
              <w:pStyle w:val="Compact"/>
              <w:jc w:val="left"/>
            </w:pPr>
            <w:r>
              <w:drawing>
                <wp:inline>
                  <wp:extent cx="5521510" cy="7258717"/>
                  <wp:effectExtent b="0" l="0" r="0" t="0"/>
                  <wp:docPr descr="" title="" id="28" name="Picture"/>
                  <a:graphic>
                    <a:graphicData uri="http://schemas.openxmlformats.org/drawingml/2006/picture">
                      <pic:pic>
                        <pic:nvPicPr>
                          <pic:cNvPr descr="../Figures/MS/Main/Figure2/Figure2.png" id="29" name="Picture"/>
                          <pic:cNvPicPr>
                            <a:picLocks noChangeArrowheads="1" noChangeAspect="1"/>
                          </pic:cNvPicPr>
                        </pic:nvPicPr>
                        <pic:blipFill>
                          <a:blip r:embed="rId27"/>
                          <a:stretch>
                            <a:fillRect/>
                          </a:stretch>
                        </pic:blipFill>
                        <pic:spPr bwMode="auto">
                          <a:xfrm>
                            <a:off x="0" y="0"/>
                            <a:ext cx="5521510" cy="7258717"/>
                          </a:xfrm>
                          <a:prstGeom prst="rect">
                            <a:avLst/>
                          </a:prstGeom>
                          <a:noFill/>
                          <a:ln w="9525">
                            <a:noFill/>
                            <a:headEnd/>
                            <a:tailEnd/>
                          </a:ln>
                        </pic:spPr>
                      </pic:pic>
                    </a:graphicData>
                  </a:graphic>
                </wp:inline>
              </w:drawing>
            </w:r>
          </w:p>
          <w:p>
            <w:pPr>
              <w:jc w:val="left"/>
            </w:pPr>
            <w:pPr>
              <w:jc w:val="start"/>
              <w:spacing w:before="200"/>
              <w:pStyle w:val="ImageCaption"/>
            </w:pPr>
            <w:r>
              <w:t xml:space="preserve">Figure 2: A few metrics summarising climate-mediated interchange. From left to right are depicted the results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environmental conditions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Numbers on the x-axis represent the number of simulations actually considered after removing simulations leading to no living representative (=crash).</w:t>
            </w:r>
            <w:r>
              <w:t xml:space="preserve"> </w:t>
            </w:r>
            <w:r>
              <w:rPr>
                <w:b/>
                <w:bCs/>
              </w:rPr>
              <w:t xml:space="preserve">(A)</w:t>
            </w:r>
            <w:r>
              <w:t xml:space="preserve"> </w:t>
            </w:r>
            <w:r>
              <w:t xml:space="preserve">Proportion of simulations leading to a successful exchange to the other continent.</w:t>
            </w:r>
            <w:r>
              <w:t xml:space="preserve"> </w:t>
            </w:r>
            <w:r>
              <w:rPr>
                <w:b/>
                <w:bCs/>
              </w:rPr>
              <w:t xml:space="preserve">(B)</w:t>
            </w:r>
            <w:r>
              <w:t xml:space="preserve"> </w:t>
            </w:r>
            <w:r>
              <w:t xml:space="preserve">Proportion of colonised area.</w:t>
            </w:r>
            <w:r>
              <w:t xml:space="preserve"> </w:t>
            </w:r>
            <w:r>
              <w:rPr>
                <w:b/>
                <w:bCs/>
              </w:rPr>
              <w:t xml:space="preserve">(C)</w:t>
            </w:r>
            <w:r>
              <w:t xml:space="preserve"> </w:t>
            </w:r>
            <w:r>
              <w:t xml:space="preserve">Distance to the isthmus. The last two metrics have been computed out of successful simulations,</w:t>
            </w:r>
            <w:r>
              <w:t xml:space="preserve"> </w:t>
            </w:r>
            <w:r>
              <w:rPr>
                <w:i/>
                <w:iCs/>
              </w:rPr>
              <w:t xml:space="preserve">i</w:t>
            </w:r>
            <w:r>
              <w:t xml:space="preserve">.</w:t>
            </w:r>
            <w:r>
              <w:rPr>
                <w:i/>
                <w:iCs/>
              </w:rPr>
              <w:t xml:space="preserve">e</w:t>
            </w:r>
            <w:r>
              <w:t xml:space="preserve">., that resulted in a transcontinental faunal exchange.</w:t>
            </w:r>
          </w:p>
          <w:bookmarkEnd w:id="30"/>
        </w:tc>
      </w:tr>
    </w:tbl>
    <w:bookmarkEnd w:id="31"/>
    <w:bookmarkStart w:id="32" w:name="success-on-the-foreign-continent"/>
    <w:p>
      <w:pPr>
        <w:pStyle w:val="Heading2"/>
      </w:pPr>
      <w:r>
        <w:t xml:space="preserve">Success on the foreign continent</w:t>
      </w:r>
    </w:p>
    <w:p>
      <w:pPr>
        <w:pStyle w:val="FirstParagraph"/>
      </w:pPr>
      <w:r>
        <w:t xml:space="preserve">Our findings reveal that successful simulations starting in North America result in a higher proportion of colonised area, quantified as the ratio between the number of pixels recording a presence in the landmass to colonise and the total number of pixels offered by this landmass (</w:t>
      </w:r>
      <w:hyperlink w:anchor="fig-2">
        <w:r>
          <w:rPr>
            <w:rStyle w:val="Hyperlink"/>
          </w:rPr>
          <w:t xml:space="preserve">Figure 2</w:t>
        </w:r>
      </w:hyperlink>
      <w:r>
        <w:t xml:space="preserve"> </w:t>
      </w:r>
      <w:r>
        <w:t xml:space="preserve">B). The pattern holds for all but the</w:t>
      </w:r>
      <w:r>
        <w:t xml:space="preserve"> </w:t>
      </w:r>
      <m:oMath>
        <m:r>
          <m:t>M</m:t>
        </m:r>
        <m:r>
          <m:t>3</m:t>
        </m:r>
      </m:oMath>
      <w:r>
        <w:t xml:space="preserve"> </w:t>
      </w:r>
      <w:r>
        <w:t xml:space="preserve">model – relaxing the precipitation constraint on virtual species’ niche (</w:t>
      </w:r>
      <w:hyperlink w:anchor="fig-2">
        <w:r>
          <w:rPr>
            <w:rStyle w:val="Hyperlink"/>
          </w:rPr>
          <w:t xml:space="preserve">Figure 2</w:t>
        </w:r>
      </w:hyperlink>
      <w:r>
        <w:t xml:space="preserve"> </w:t>
      </w:r>
      <w:r>
        <w:t xml:space="preserve">B). In addition, successful simulations starting in North America generally started from an ancestor located closer to the isthmus than those starting in South America (</w:t>
      </w:r>
      <w:hyperlink w:anchor="fig-2">
        <w:r>
          <w:rPr>
            <w:rStyle w:val="Hyperlink"/>
          </w:rPr>
          <w:t xml:space="preserve">Figure 2</w:t>
        </w:r>
      </w:hyperlink>
      <w:r>
        <w:t xml:space="preserve"> </w:t>
      </w:r>
      <w:r>
        <w:t xml:space="preserve">C), again except for simulation generated under</w:t>
      </w:r>
      <w:r>
        <w:t xml:space="preserve"> </w:t>
      </w:r>
      <m:oMath>
        <m:r>
          <m:t>M</m:t>
        </m:r>
        <m:r>
          <m:t>3</m:t>
        </m:r>
      </m:oMath>
      <w:r>
        <w:t xml:space="preserve">. Also, we can highlight a general trend that ancestral species originates closer to the isthmus in the case of successful simulations compared to unsuccessful ones (Supp. Figure 3-4). Also, no difference in the diversity reached on the colonised area could be characterised between simulations based on their area of origin (Supp. Figure 1).</w:t>
      </w:r>
    </w:p>
    <w:bookmarkEnd w:id="32"/>
    <w:bookmarkStart w:id="37" w:name="biome"/>
    <w:p>
      <w:pPr>
        <w:pStyle w:val="Heading2"/>
      </w:pPr>
      <w:r>
        <w:t xml:space="preserve">Biome</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37</w:t>
      </w:r>
      <w:r>
        <w:t xml:space="preserve"> </w:t>
      </w:r>
      <w:r>
        <w:t xml:space="preserve">and Galván et al.</w:t>
      </w:r>
      <w:r>
        <w:rPr>
          <w:vertAlign w:val="superscript"/>
        </w:rPr>
        <w:t xml:space="preserve">38</w:t>
      </w:r>
      <w:r>
        <w:t xml:space="preserve">: Tropical, Arid, Temperate, Cold and Polar (</w:t>
      </w:r>
      <w:hyperlink w:anchor="fig-3">
        <w:r>
          <w:rPr>
            <w:rStyle w:val="Hyperlink"/>
          </w:rPr>
          <w:t xml:space="preserve">Figure 3</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w:t>
      </w:r>
    </w:p>
    <w:p>
      <w:pPr>
        <w:pStyle w:val="BodyText"/>
      </w:pPr>
      <w:r>
        <w:t xml:space="preserve">Initial biome distribution –</w:t>
      </w:r>
      <w:r>
        <w:t xml:space="preserve"> </w:t>
      </w:r>
      <w:r>
        <w:rPr>
          <w:i/>
          <w:iCs/>
        </w:rPr>
        <w:t xml:space="preserve">i</w:t>
      </w:r>
      <w:r>
        <w:t xml:space="preserve">.</w:t>
      </w:r>
      <w:r>
        <w:rPr>
          <w:i/>
          <w:iCs/>
        </w:rPr>
        <w:t xml:space="preserve">e</w:t>
      </w:r>
      <w:r>
        <w:t xml:space="preserve">., the proportions of simulations starting within each biome – were very uneven across biome classes and continents. Indeed, the majority of North American ancestral species originated in the cold biome, whereas the tropical biome recorded the largest proportion of ancestral species origination in South America (Supp. Fig. 5). Furthermore, simulations leading to a successful establishment in South America more preferentially started from an ancestor that originated in</w:t>
      </w:r>
    </w:p>
    <w:tbl>
      <w:tblPr>
        <w:tblStyle w:val="Table"/>
        <w:tblW w:type="pct" w:w="5000"/>
        <w:tblLayout w:type="fixed"/>
        <w:tblLook w:firstRow="0" w:lastRow="0" w:firstColumn="0" w:lastColumn="0" w:noHBand="0" w:noVBand="0" w:val="0000"/>
      </w:tblPr>
      <w:tblGrid>
        <w:gridCol w:w="7920"/>
      </w:tblGrid>
      <w:tr>
        <w:tc>
          <w:tcPr/>
          <w:bookmarkStart w:id="36" w:name="fig-3"/>
          <w:p>
            <w:pPr>
              <w:pStyle w:val="Compact"/>
              <w:jc w:val="left"/>
            </w:pPr>
            <w:r>
              <w:drawing>
                <wp:inline>
                  <wp:extent cx="5943600" cy="3672743"/>
                  <wp:effectExtent b="0" l="0" r="0" t="0"/>
                  <wp:docPr descr="" title="" id="34" name="Picture"/>
                  <a:graphic>
                    <a:graphicData uri="http://schemas.openxmlformats.org/drawingml/2006/picture">
                      <pic:pic>
                        <pic:nvPicPr>
                          <pic:cNvPr descr="../Figures/MS/Main/Figure3/Figure3.png" id="35" name="Picture"/>
                          <pic:cNvPicPr>
                            <a:picLocks noChangeArrowheads="1" noChangeAspect="1"/>
                          </pic:cNvPicPr>
                        </pic:nvPicPr>
                        <pic:blipFill>
                          <a:blip r:embed="rId33"/>
                          <a:stretch>
                            <a:fillRect/>
                          </a:stretch>
                        </pic:blipFill>
                        <pic:spPr bwMode="auto">
                          <a:xfrm>
                            <a:off x="0" y="0"/>
                            <a:ext cx="5943600" cy="3672743"/>
                          </a:xfrm>
                          <a:prstGeom prst="rect">
                            <a:avLst/>
                          </a:prstGeom>
                          <a:noFill/>
                          <a:ln w="9525">
                            <a:noFill/>
                            <a:headEnd/>
                            <a:tailEnd/>
                          </a:ln>
                        </pic:spPr>
                      </pic:pic>
                    </a:graphicData>
                  </a:graphic>
                </wp:inline>
              </w:drawing>
            </w:r>
          </w:p>
          <w:p>
            <w:pPr>
              <w:jc w:val="left"/>
            </w:pPr>
            <w:pPr>
              <w:jc w:val="start"/>
              <w:spacing w:before="200"/>
              <w:pStyle w:val="ImageCaption"/>
            </w:pPr>
            <w:r>
              <w:t xml:space="preserve">Figure 3: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Proportion of successful simulations based on the biome where ancestral species originates, for each scenario-ancestral area combination.</w:t>
            </w:r>
          </w:p>
          <w:bookmarkEnd w:id="36"/>
        </w:tc>
      </w:tr>
    </w:tbl>
    <w:p>
      <w:r>
        <w:br w:type="page"/>
      </w:r>
    </w:p>
    <w:bookmarkEnd w:id="37"/>
    <w:bookmarkEnd w:id="38"/>
    <w:bookmarkStart w:id="43" w:name="discussion"/>
    <w:p>
      <w:pPr>
        <w:pStyle w:val="Heading1"/>
      </w:pPr>
      <w:r>
        <w:t xml:space="preserve">Discussion</w:t>
      </w:r>
    </w:p>
    <w:p>
      <w:pPr>
        <w:pStyle w:val="FirstParagraph"/>
      </w:pPr>
      <w:r>
        <w:t xml:space="preserve">Smoothing asymmetry =&gt; echo to birds</w:t>
      </w:r>
      <w:r>
        <w:rPr>
          <w:vertAlign w:val="superscript"/>
        </w:rPr>
        <w:t xml:space="preserve">39</w:t>
      </w:r>
      <w:r>
        <w:t xml:space="preserve">, flying behaviour relaxing constraints applied to land mammals ?</w:t>
      </w:r>
    </w:p>
    <w:p>
      <w:pPr>
        <w:pStyle w:val="BodyText"/>
      </w:pPr>
      <w:r>
        <w:t xml:space="preserve">Species pool proved relevant in the case of the interchange along the Wallacea</w:t>
      </w:r>
      <w:r>
        <w:rPr>
          <w:vertAlign w:val="superscript"/>
        </w:rPr>
        <w:t xml:space="preserve">32</w:t>
      </w:r>
      <w:r>
        <w:t xml:space="preserve">. But here, we expect to find more species in South America, encompassing one of earth’s major and long-standing biodiversity hotspot – Amazonia</w:t>
      </w:r>
      <w:r>
        <w:rPr>
          <w:vertAlign w:val="superscript"/>
        </w:rPr>
        <w:t xml:space="preserve">40</w:t>
      </w:r>
      <w:r>
        <w:t xml:space="preserve"> </w:t>
      </w:r>
      <w:r>
        <w:t xml:space="preserve">– than in North America, though see Vrba.</w:t>
      </w:r>
    </w:p>
    <w:bookmarkStart w:id="39" w:name="climate"/>
    <w:p>
      <w:pPr>
        <w:pStyle w:val="Heading2"/>
      </w:pPr>
      <w:r>
        <w:t xml:space="preserve">Climate</w:t>
      </w:r>
    </w:p>
    <w:p>
      <w:pPr>
        <w:pStyle w:val="FirstParagraph"/>
      </w:pPr>
      <w:r>
        <w:t xml:space="preserve">One of the predictions of Vrba’s resource-use hypotheses formulated in the framework of the habitat theory applied to the GABI is that tropical specialists, in the aftermath of the global cooling occurring in the Plio-Pleistocene boundary (decreasing trend visible on the temperature plots displayed in</w:t>
      </w:r>
      <w:r>
        <w:t xml:space="preserve"> </w:t>
      </w:r>
      <w:hyperlink w:anchor="fig-1">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20</w:t>
      </w:r>
      <w:r>
        <w:t xml:space="preserve">. On the other hand, fewer mammals – only biome generalists or open-habitat specialists – from South America would be expected to roam the other way around. These predictions meet those of the</w:t>
      </w:r>
      <w:r>
        <w:t xml:space="preserve"> </w:t>
      </w:r>
      <w:r>
        <w:t xml:space="preserve">‘</w:t>
      </w:r>
      <w:r>
        <w:t xml:space="preserve">tropical refugia</w:t>
      </w:r>
      <w:r>
        <w:t xml:space="preserve">’</w:t>
      </w:r>
      <w:r>
        <w:t xml:space="preserve"> </w:t>
      </w:r>
      <w:r>
        <w:t xml:space="preserve">hypothesis formulated by Haffer</w:t>
      </w:r>
      <w:r>
        <w:rPr>
          <w:vertAlign w:val="superscript"/>
        </w:rPr>
        <w:t xml:space="preserve">41</w:t>
      </w:r>
      <w:r>
        <w:t xml:space="preserve"> </w:t>
      </w:r>
      <w:r>
        <w:t xml:space="preserve">a few decades earlier. The latter views the high diversity in the (Neo)tropics as a result of past climatic fragmentation of the tropical climatic region, generating discontinuities within populations of tropical-specialist species. In case of climatic disruption, tropical specialists would therefore follow the contraction-expansion of their habitat, in turn driving speciation by vicariance on evolutionary timescales</w:t>
      </w:r>
      <w:r>
        <w:rPr>
          <w:vertAlign w:val="superscript"/>
        </w:rPr>
        <w:t xml:space="preserve">41</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3">
        <w:r>
          <w:rPr>
            <w:rStyle w:val="Hyperlink"/>
          </w:rPr>
          <w:t xml:space="preserve">Figure 3</w:t>
        </w:r>
      </w:hyperlink>
      <w:r>
        <w:t xml:space="preserve"> </w:t>
      </w:r>
      <w:r>
        <w:t xml:space="preserve">B, model</w:t>
      </w:r>
      <w:r>
        <w:t xml:space="preserve"> </w:t>
      </w:r>
      <m:oMath>
        <m:r>
          <m:t>M</m:t>
        </m:r>
        <m:r>
          <m:t>0</m:t>
        </m:r>
      </m:oMath>
      <w:r>
        <w:t xml:space="preserve">).</w:t>
      </w:r>
    </w:p>
    <w:p>
      <w:pPr>
        <w:pStyle w:val="BodyText"/>
      </w:pPr>
      <w:r>
        <w:t xml:space="preserve">Success in South America for temperate-adapted species, posited as the most successful, not recovered, with tropical meeting the gighest success</w:t>
      </w:r>
    </w:p>
    <w:p>
      <w:pPr>
        <w:pStyle w:val="BodyText"/>
      </w:pPr>
      <w:r>
        <w:t xml:space="preserve">Tropics as a</w:t>
      </w:r>
      <w:r>
        <w:t xml:space="preserve"> </w:t>
      </w:r>
      <w:r>
        <w:t xml:space="preserve">“</w:t>
      </w:r>
      <w:r>
        <w:t xml:space="preserve">holding pen</w:t>
      </w:r>
      <w:r>
        <w:t xml:space="preserve">”</w:t>
      </w:r>
      <w:r>
        <w:rPr>
          <w:vertAlign w:val="superscript"/>
        </w:rPr>
        <w:t xml:space="preserve">6</w:t>
      </w:r>
      <w:r>
        <w:t xml:space="preserve"> </w:t>
      </w:r>
      <w:r>
        <w:t xml:space="preserve">– read more this paper</w:t>
      </w:r>
    </w:p>
    <w:p>
      <w:pPr>
        <w:pStyle w:val="BodyText"/>
      </w:pPr>
      <w:r>
        <w:t xml:space="preserve">Biome pattern (Supp. Figure 5) directly reflects the diffencial amount of surface that each biome represents in the two continents.</w:t>
      </w:r>
    </w:p>
    <w:p>
      <w:pPr>
        <w:pStyle w:val="BodyText"/>
      </w:pPr>
      <w:r>
        <w:t xml:space="preserve">Precipitation niche</w:t>
      </w:r>
      <w:r>
        <w:rPr>
          <w:vertAlign w:val="superscript"/>
        </w:rPr>
        <w:t xml:space="preserve">30</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bookmarkEnd w:id="39"/>
    <w:bookmarkStart w:id="40"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42</w:t>
      </w:r>
      <w:r>
        <w:t xml:space="preserve">.</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40"/>
    <w:bookmarkStart w:id="41" w:name="X0160ffd22f787d001a7841291dc9859bf7a1aab"/>
    <w:p>
      <w:pPr>
        <w:pStyle w:val="Heading2"/>
      </w:pPr>
      <w:r>
        <w:t xml:space="preserve">On the drivers behind the asymmetry of the GABI</w:t>
      </w:r>
    </w:p>
    <w:p>
      <w:pPr>
        <w:pStyle w:val="FirstParagraph"/>
      </w:pPr>
      <w:r>
        <w:t xml:space="preserve">Competition involving clades of similar ecology appeared as a likely first-order explanation to the recent demise of South American endemic mammal clades such as native ungulates</w:t>
      </w:r>
      <w:r>
        <w:rPr>
          <w:vertAlign w:val="superscript"/>
        </w:rPr>
        <w:t xml:space="preserve">13</w:t>
      </w:r>
      <w:r>
        <w:t xml:space="preserve"> </w:t>
      </w:r>
      <w:r>
        <w:t xml:space="preserve">or sparassodonts (metatherian predators,</w:t>
      </w:r>
      <w:r>
        <w:rPr>
          <w:vertAlign w:val="superscript"/>
        </w:rPr>
        <w:t xml:space="preserve">22,43</w:t>
      </w:r>
      <w:r>
        <w:t xml:space="preserve">) that followed the establishment of northern lineages</w:t>
      </w:r>
      <w:r>
        <w:rPr>
          <w:vertAlign w:val="superscript"/>
        </w:rPr>
        <w:t xml:space="preserve">15</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rPr>
          <w:vertAlign w:val="superscript"/>
        </w:rPr>
        <w:t xml:space="preserve">21,22</w:t>
      </w:r>
      <w:r>
        <w:t xml:space="preserve">. That being said, using phylogenetic regressions, Faurby et al.</w:t>
      </w:r>
      <w:r>
        <w:rPr>
          <w:vertAlign w:val="superscript"/>
        </w:rPr>
        <w:t xml:space="preserve">18</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rPr>
          <w:vertAlign w:val="superscript"/>
        </w:rPr>
        <w:t xml:space="preserve">16</w:t>
      </w:r>
    </w:p>
    <w:p>
      <w:pPr>
        <w:pStyle w:val="BodyText"/>
      </w:pPr>
      <w:r>
        <w:t xml:space="preserve">Temporality (red queen vs. court jester, Benton 2001) =&gt; favouring biotic ?</w:t>
      </w:r>
    </w:p>
    <w:p>
      <w:pPr>
        <w:pStyle w:val="BodyText"/>
      </w:pPr>
      <w:r>
        <w:t xml:space="preserve">Fortuitous experiment ?</w:t>
      </w:r>
    </w:p>
    <w:bookmarkEnd w:id="41"/>
    <w:bookmarkStart w:id="42" w:name="limitations-perspectives"/>
    <w:p>
      <w:pPr>
        <w:pStyle w:val="Heading2"/>
      </w:pPr>
      <w:r>
        <w:t xml:space="preserve">Limitations &amp; perspectives</w:t>
      </w:r>
    </w:p>
    <w:p>
      <w:pPr>
        <w:pStyle w:val="FirstParagraph"/>
      </w:pPr>
      <w:r>
        <w:t xml:space="preserve">Assumption of fixed palaeogeography, particularly near the isthmus, whereas we know that this region changed across our study.</w:t>
      </w:r>
    </w:p>
    <w:p>
      <w:pPr>
        <w:pStyle w:val="BodyText"/>
      </w:pPr>
      <w:r>
        <w:t xml:space="preserve">The landscape designed for the purpose of this study (</w:t>
      </w:r>
      <w:hyperlink w:anchor="fig-1">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44,45</w:t>
      </w:r>
      <w:r>
        <w:t xml:space="preserve">. Although over-water dispersal has long been regarded as the prevailing mechanism</w:t>
      </w:r>
      <w:r>
        <w:rPr>
          <w:vertAlign w:val="superscript"/>
        </w:rPr>
        <w:t xml:space="preserve">44</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46</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47</w:t>
      </w:r>
      <w:r>
        <w:t xml:space="preserve"> </w:t>
      </w:r>
      <w:r>
        <w:t xml:space="preserve">as well as the poor mention of West Indies as a stepping-stone in the literature, we believe that considering this alternative route in the framework of the GABI would rather deserve to be the topic of a study in itself.</w:t>
      </w:r>
    </w:p>
    <w:p>
      <w:pPr>
        <w:pStyle w:val="BodyText"/>
      </w:pPr>
      <w:r>
        <w:t xml:space="preserve">spatial clustering of simulation crashing in temperate/cold North America =&gt; related to biome instability in the zone ?</w:t>
      </w:r>
    </w:p>
    <w:p>
      <w:pPr>
        <w:pStyle w:val="BodyText"/>
      </w:pPr>
      <w:r>
        <w:t xml:space="preserve">Higher proportion of colonised area could come from the different size of the continents, North America being wider both in terms of absolute surface and number of pixels.</w:t>
      </w:r>
    </w:p>
    <w:p>
      <w:pPr>
        <w:pStyle w:val="BodyText"/>
      </w:pPr>
      <w:r>
        <w:t xml:space="preserve">Problem of taxonomic extinctions in Gen3sis!</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assumpltion of fixed palaeogeography.</w:t>
      </w:r>
    </w:p>
    <w:bookmarkEnd w:id="42"/>
    <w:bookmarkEnd w:id="43"/>
    <w:bookmarkStart w:id="44"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rPr>
          <w:vertAlign w:val="superscript"/>
        </w:rPr>
        <w:t xml:space="preserve">49</w:t>
      </w:r>
      <w:r>
        <w:t xml:space="preserve">.</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rPr>
          <w:vertAlign w:val="superscript"/>
        </w:rPr>
        <w:t xml:space="preserve">8,10,17</w:t>
      </w:r>
      <w:r>
        <w:t xml:space="preserve">. Others drew direct relationships between the higher extinction rates of native South American mammal genera and temperature change</w:t>
      </w:r>
      <w:r>
        <w:rPr>
          <w:vertAlign w:val="superscript"/>
        </w:rPr>
        <w:t xml:space="preserve">24</w:t>
      </w:r>
      <w:r>
        <w:t xml:space="preserve">.</w:t>
      </w:r>
    </w:p>
    <w:p>
      <w:pPr>
        <w:pStyle w:val="BodyText"/>
      </w:pPr>
      <w:r>
        <w:t xml:space="preserve">several studies proposed that palaeoclimate change shaped unequal dispersal abilities between northern and southern taxa</w:t>
      </w:r>
      <w:r>
        <w:rPr>
          <w:vertAlign w:val="superscript"/>
        </w:rPr>
        <w:t xml:space="preserve">8,10,17,24</w:t>
      </w:r>
      <w:r>
        <w:t xml:space="preserve">, although the hypothesis according to which the asymmetry of the GABI would stem from dispersal rates is still largely debated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12</w:t>
      </w:r>
      <w:r>
        <w:t xml:space="preserve">.</w:t>
      </w:r>
    </w:p>
    <w:p>
      <w:r>
        <w:br w:type="page"/>
      </w:r>
    </w:p>
    <w:bookmarkEnd w:id="44"/>
    <w:bookmarkStart w:id="142" w:name="references"/>
    <w:p>
      <w:pPr>
        <w:pStyle w:val="Heading1"/>
      </w:pPr>
      <w:r>
        <w:t xml:space="preserve">References</w:t>
      </w:r>
    </w:p>
    <w:bookmarkStart w:id="141" w:name="refs"/>
    <w:bookmarkStart w:id="46" w:name="ref-marshall1982"/>
    <w:p>
      <w:pPr>
        <w:pStyle w:val="Bibliography"/>
      </w:pPr>
      <w:r>
        <w:t xml:space="preserve">1.</w:t>
      </w:r>
      <w:r>
        <w:t xml:space="preserve"> </w:t>
      </w:r>
      <w:r>
        <w:t xml:space="preserve">	</w:t>
      </w:r>
      <w:r>
        <w:t xml:space="preserve">Marshall, L.G., Webb, S.D., Sepkoski, J.J., and Raup, D.M. (1982).</w:t>
      </w:r>
      <w:r>
        <w:t xml:space="preserve"> </w:t>
      </w:r>
      <w:hyperlink r:id="rId45">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46"/>
    <w:bookmarkStart w:id="48"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47">
        <w:r>
          <w:rPr>
            <w:rStyle w:val="Hyperlink"/>
          </w:rPr>
          <w:t xml:space="preserve">https://doi.org/10.1126/science.aaa2815</w:t>
        </w:r>
      </w:hyperlink>
      <w:r>
        <w:t xml:space="preserve">.</w:t>
      </w:r>
    </w:p>
    <w:bookmarkEnd w:id="48"/>
    <w:bookmarkStart w:id="50" w:name="ref-jaramillo2018"/>
    <w:p>
      <w:pPr>
        <w:pStyle w:val="Bibliography"/>
      </w:pPr>
      <w:r>
        <w:t xml:space="preserve">3.</w:t>
      </w:r>
      <w:r>
        <w:t xml:space="preserve"> </w:t>
      </w:r>
      <w:r>
        <w:t xml:space="preserve">	</w:t>
      </w:r>
      <w:r>
        <w:t xml:space="preserve">Jaramillo, C.A. (2018).</w:t>
      </w:r>
      <w:r>
        <w:t xml:space="preserve"> </w:t>
      </w:r>
      <w:hyperlink r:id="rId49">
        <w:r>
          <w:rPr>
            <w:rStyle w:val="Hyperlink"/>
          </w:rPr>
          <w:t xml:space="preserve">Evolution of the isthmus of panama: Biological, paleoceanographic and paleoclimatological implications</w:t>
        </w:r>
      </w:hyperlink>
      <w:r>
        <w:t xml:space="preserve">. In (John Wiley &amp; Sons).</w:t>
      </w:r>
    </w:p>
    <w:bookmarkEnd w:id="50"/>
    <w:bookmarkStart w:id="52"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51">
        <w:r>
          <w:rPr>
            <w:rStyle w:val="Hyperlink"/>
          </w:rPr>
          <w:t xml:space="preserve">https://doi.org/10.1126/sciadv.1600883</w:t>
        </w:r>
      </w:hyperlink>
      <w:r>
        <w:t xml:space="preserve">.</w:t>
      </w:r>
    </w:p>
    <w:bookmarkEnd w:id="52"/>
    <w:bookmarkStart w:id="54"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53">
        <w:r>
          <w:rPr>
            <w:rStyle w:val="Hyperlink"/>
          </w:rPr>
          <w:t xml:space="preserve">https://doi.org/10.1016/j.geobios.2006.09.005</w:t>
        </w:r>
      </w:hyperlink>
      <w:r>
        <w:t xml:space="preserve">.</w:t>
      </w:r>
    </w:p>
    <w:bookmarkEnd w:id="54"/>
    <w:bookmarkStart w:id="56"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55">
        <w:r>
          <w:rPr>
            <w:rStyle w:val="Hyperlink"/>
          </w:rPr>
          <w:t xml:space="preserve">https://doi.org/10.1007/s10914-010-9144-8</w:t>
        </w:r>
      </w:hyperlink>
      <w:r>
        <w:t xml:space="preserve">.</w:t>
      </w:r>
    </w:p>
    <w:bookmarkEnd w:id="56"/>
    <w:bookmarkStart w:id="58" w:name="ref-bacon2015"/>
    <w:p>
      <w:pPr>
        <w:pStyle w:val="Bibliography"/>
      </w:pPr>
      <w:r>
        <w:t xml:space="preserve">7.</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57">
        <w:r>
          <w:rPr>
            <w:rStyle w:val="Hyperlink"/>
          </w:rPr>
          <w:t xml:space="preserve">https://doi.org/10.1073/pnas.1423853112</w:t>
        </w:r>
      </w:hyperlink>
      <w:r>
        <w:t xml:space="preserve">.</w:t>
      </w:r>
    </w:p>
    <w:bookmarkEnd w:id="58"/>
    <w:bookmarkStart w:id="60" w:name="ref-bacon2016"/>
    <w:p>
      <w:pPr>
        <w:pStyle w:val="Bibliography"/>
      </w:pPr>
      <w:r>
        <w:t xml:space="preserve">8.</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59">
        <w:r>
          <w:rPr>
            <w:rStyle w:val="Hyperlink"/>
          </w:rPr>
          <w:t xml:space="preserve">https://doi.org/10.1130/G37624.1</w:t>
        </w:r>
      </w:hyperlink>
      <w:r>
        <w:t xml:space="preserve">.</w:t>
      </w:r>
    </w:p>
    <w:bookmarkEnd w:id="60"/>
    <w:bookmarkStart w:id="62" w:name="ref-webb1976"/>
    <w:p>
      <w:pPr>
        <w:pStyle w:val="Bibliography"/>
      </w:pPr>
      <w:r>
        <w:t xml:space="preserve">9.</w:t>
      </w:r>
      <w:r>
        <w:t xml:space="preserve"> </w:t>
      </w:r>
      <w:r>
        <w:t xml:space="preserve">	</w:t>
      </w:r>
      <w:r>
        <w:t xml:space="preserve">Webb, S.D. (1976).</w:t>
      </w:r>
      <w:r>
        <w:t xml:space="preserve"> </w:t>
      </w:r>
      <w:hyperlink r:id="rId61">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62"/>
    <w:bookmarkStart w:id="64" w:name="ref-webb1991"/>
    <w:p>
      <w:pPr>
        <w:pStyle w:val="Bibliography"/>
      </w:pPr>
      <w:r>
        <w:t xml:space="preserve">10.</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63">
        <w:r>
          <w:rPr>
            <w:rStyle w:val="Hyperlink"/>
          </w:rPr>
          <w:t xml:space="preserve">https://doi.org/10.1017/S0094837300010605</w:t>
        </w:r>
      </w:hyperlink>
      <w:r>
        <w:t xml:space="preserve">.</w:t>
      </w:r>
    </w:p>
    <w:bookmarkEnd w:id="64"/>
    <w:bookmarkStart w:id="66" w:name="ref-cione2015"/>
    <w:p>
      <w:pPr>
        <w:pStyle w:val="Bibliography"/>
      </w:pPr>
      <w:r>
        <w:t xml:space="preserve">11.</w:t>
      </w:r>
      <w:r>
        <w:t xml:space="preserve"> </w:t>
      </w:r>
      <w:r>
        <w:t xml:space="preserve">	</w:t>
      </w:r>
      <w:r>
        <w:t xml:space="preserve">Cione, A.L., Gasparini, G.M., Soibelzon, E., Soibelzon, L.H., and Tonni, E.P. (2015).</w:t>
      </w:r>
      <w:r>
        <w:t xml:space="preserve"> </w:t>
      </w:r>
      <w:hyperlink r:id="rId65">
        <w:r>
          <w:rPr>
            <w:rStyle w:val="Hyperlink"/>
          </w:rPr>
          <w:t xml:space="preserve">The Great American Biotic Interchange: A South American Perspective</w:t>
        </w:r>
      </w:hyperlink>
      <w:r>
        <w:t xml:space="preserve"> </w:t>
      </w:r>
      <w:r>
        <w:t xml:space="preserve">(Springer Netherlands).</w:t>
      </w:r>
    </w:p>
    <w:bookmarkEnd w:id="66"/>
    <w:bookmarkStart w:id="68" w:name="ref-carrillo2020"/>
    <w:p>
      <w:pPr>
        <w:pStyle w:val="Bibliography"/>
      </w:pPr>
      <w:r>
        <w:t xml:space="preserve">12.</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67">
        <w:r>
          <w:rPr>
            <w:rStyle w:val="Hyperlink"/>
          </w:rPr>
          <w:t xml:space="preserve">https://doi.org/10.1073/pnas.2009397117</w:t>
        </w:r>
      </w:hyperlink>
      <w:r>
        <w:t xml:space="preserve">.</w:t>
      </w:r>
    </w:p>
    <w:bookmarkEnd w:id="68"/>
    <w:bookmarkStart w:id="70" w:name="ref-croft2020"/>
    <w:p>
      <w:pPr>
        <w:pStyle w:val="Bibliography"/>
      </w:pPr>
      <w:r>
        <w:t xml:space="preserve">13.</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69">
        <w:r>
          <w:rPr>
            <w:rStyle w:val="Hyperlink"/>
          </w:rPr>
          <w:t xml:space="preserve">https://doi.org/10.1146/annurev-earth-072619-060126</w:t>
        </w:r>
      </w:hyperlink>
      <w:r>
        <w:t xml:space="preserve">.</w:t>
      </w:r>
    </w:p>
    <w:bookmarkEnd w:id="70"/>
    <w:bookmarkStart w:id="72" w:name="ref-boscaini2025"/>
    <w:p>
      <w:pPr>
        <w:pStyle w:val="Bibliography"/>
      </w:pPr>
      <w:r>
        <w:t xml:space="preserve">14.</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71">
        <w:r>
          <w:rPr>
            <w:rStyle w:val="Hyperlink"/>
          </w:rPr>
          <w:t xml:space="preserve">https://doi.org/10.1126/science.adu0704</w:t>
        </w:r>
      </w:hyperlink>
      <w:r>
        <w:t xml:space="preserve">.</w:t>
      </w:r>
    </w:p>
    <w:bookmarkEnd w:id="72"/>
    <w:bookmarkStart w:id="73" w:name="ref-simpson1980"/>
    <w:p>
      <w:pPr>
        <w:pStyle w:val="Bibliography"/>
      </w:pPr>
      <w:r>
        <w:t xml:space="preserve">15.</w:t>
      </w:r>
      <w:r>
        <w:t xml:space="preserve"> </w:t>
      </w:r>
      <w:r>
        <w:t xml:space="preserve">	</w:t>
      </w:r>
      <w:r>
        <w:t xml:space="preserve">Simpson, G.G. (1980). Splendid isolation : The curious history of south american mammals Yale University Press, New Haven.</w:t>
      </w:r>
    </w:p>
    <w:bookmarkEnd w:id="73"/>
    <w:bookmarkStart w:id="75" w:name="ref-domingo2020"/>
    <w:p>
      <w:pPr>
        <w:pStyle w:val="Bibliography"/>
      </w:pPr>
      <w:r>
        <w:t xml:space="preserve">16.</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74">
        <w:r>
          <w:rPr>
            <w:rStyle w:val="Hyperlink"/>
          </w:rPr>
          <w:t xml:space="preserve">https://doi.org/10.1038/s41598-020-58575-6</w:t>
        </w:r>
      </w:hyperlink>
      <w:r>
        <w:t xml:space="preserve">.</w:t>
      </w:r>
    </w:p>
    <w:bookmarkEnd w:id="75"/>
    <w:bookmarkStart w:id="76" w:name="ref-marshall1990"/>
    <w:p>
      <w:pPr>
        <w:pStyle w:val="Bibliography"/>
      </w:pPr>
      <w:r>
        <w:t xml:space="preserve">17.</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76"/>
    <w:bookmarkStart w:id="78" w:name="ref-faurby2016"/>
    <w:p>
      <w:pPr>
        <w:pStyle w:val="Bibliography"/>
      </w:pPr>
      <w:r>
        <w:t xml:space="preserve">18.</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77">
        <w:r>
          <w:rPr>
            <w:rStyle w:val="Hyperlink"/>
          </w:rPr>
          <w:t xml:space="preserve">https://doi.org/10.1111/geb.12504</w:t>
        </w:r>
      </w:hyperlink>
      <w:r>
        <w:t xml:space="preserve">.</w:t>
      </w:r>
    </w:p>
    <w:bookmarkEnd w:id="78"/>
    <w:bookmarkStart w:id="80" w:name="ref-fernández-monescillo2025"/>
    <w:p>
      <w:pPr>
        <w:pStyle w:val="Bibliography"/>
      </w:pPr>
      <w:r>
        <w:t xml:space="preserve">19.</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79">
        <w:r>
          <w:rPr>
            <w:rStyle w:val="Hyperlink"/>
          </w:rPr>
          <w:t xml:space="preserve">https://doi.org/10.1111/pala.70012</w:t>
        </w:r>
      </w:hyperlink>
      <w:r>
        <w:t xml:space="preserve">.</w:t>
      </w:r>
    </w:p>
    <w:bookmarkEnd w:id="80"/>
    <w:bookmarkStart w:id="82" w:name="ref-vrba1992"/>
    <w:p>
      <w:pPr>
        <w:pStyle w:val="Bibliography"/>
      </w:pPr>
      <w:r>
        <w:t xml:space="preserve">20.</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81">
        <w:r>
          <w:rPr>
            <w:rStyle w:val="Hyperlink"/>
          </w:rPr>
          <w:t xml:space="preserve">https://doi.org/10.2307/1381862</w:t>
        </w:r>
      </w:hyperlink>
      <w:r>
        <w:t xml:space="preserve">.</w:t>
      </w:r>
    </w:p>
    <w:bookmarkEnd w:id="82"/>
    <w:bookmarkStart w:id="84" w:name="ref-prevosti2013"/>
    <w:p>
      <w:pPr>
        <w:pStyle w:val="Bibliography"/>
      </w:pPr>
      <w:r>
        <w:t xml:space="preserve">21.</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83">
        <w:r>
          <w:rPr>
            <w:rStyle w:val="Hyperlink"/>
          </w:rPr>
          <w:t xml:space="preserve">https://doi.org/10.1007/s10914-011-9175-9</w:t>
        </w:r>
      </w:hyperlink>
      <w:r>
        <w:t xml:space="preserve">.</w:t>
      </w:r>
    </w:p>
    <w:bookmarkEnd w:id="84"/>
    <w:bookmarkStart w:id="86" w:name="ref-tarquini2022"/>
    <w:p>
      <w:pPr>
        <w:pStyle w:val="Bibliography"/>
      </w:pPr>
      <w:r>
        <w:t xml:space="preserve">22.</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85">
        <w:r>
          <w:rPr>
            <w:rStyle w:val="Hyperlink"/>
          </w:rPr>
          <w:t xml:space="preserve">https://doi.org/10.1038/s41598-022-05266-z</w:t>
        </w:r>
      </w:hyperlink>
      <w:r>
        <w:t xml:space="preserve">.</w:t>
      </w:r>
    </w:p>
    <w:bookmarkEnd w:id="86"/>
    <w:bookmarkStart w:id="88" w:name="ref-marsà2025"/>
    <w:p>
      <w:pPr>
        <w:pStyle w:val="Bibliography"/>
      </w:pPr>
      <w:r>
        <w:t xml:space="preserve">23.</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87">
        <w:r>
          <w:rPr>
            <w:rStyle w:val="Hyperlink"/>
          </w:rPr>
          <w:t xml:space="preserve">https://doi.org/10.3390/d17030153</w:t>
        </w:r>
      </w:hyperlink>
      <w:r>
        <w:t xml:space="preserve">.</w:t>
      </w:r>
    </w:p>
    <w:bookmarkEnd w:id="88"/>
    <w:bookmarkStart w:id="90" w:name="ref-freitas-oliveira2024"/>
    <w:p>
      <w:pPr>
        <w:pStyle w:val="Bibliography"/>
      </w:pPr>
      <w:r>
        <w:t xml:space="preserve">24.</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9">
        <w:r>
          <w:rPr>
            <w:rStyle w:val="Hyperlink"/>
          </w:rPr>
          <w:t xml:space="preserve">https://doi.org/10.1038/s44185-024-00045-7</w:t>
        </w:r>
      </w:hyperlink>
      <w:r>
        <w:t xml:space="preserve">.</w:t>
      </w:r>
    </w:p>
    <w:bookmarkEnd w:id="90"/>
    <w:bookmarkStart w:id="92" w:name="ref-pilowsky2022"/>
    <w:p>
      <w:pPr>
        <w:pStyle w:val="Bibliography"/>
      </w:pPr>
      <w:r>
        <w:t xml:space="preserve">25.</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91">
        <w:r>
          <w:rPr>
            <w:rStyle w:val="Hyperlink"/>
          </w:rPr>
          <w:t xml:space="preserve">https://doi.org/10.1126/sciadv.abj2271</w:t>
        </w:r>
      </w:hyperlink>
      <w:r>
        <w:t xml:space="preserve">.</w:t>
      </w:r>
    </w:p>
    <w:bookmarkEnd w:id="92"/>
    <w:bookmarkStart w:id="94"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93">
        <w:r>
          <w:rPr>
            <w:rStyle w:val="Hyperlink"/>
          </w:rPr>
          <w:t xml:space="preserve">https://doi.org/10.1111/ecog.06132</w:t>
        </w:r>
      </w:hyperlink>
      <w:r>
        <w:t xml:space="preserve">.</w:t>
      </w:r>
    </w:p>
    <w:bookmarkEnd w:id="94"/>
    <w:bookmarkStart w:id="96" w:name="ref-hagen2021"/>
    <w:p>
      <w:pPr>
        <w:pStyle w:val="Bibliography"/>
      </w:pPr>
      <w:r>
        <w:t xml:space="preserve">27.</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95">
        <w:r>
          <w:rPr>
            <w:rStyle w:val="Hyperlink"/>
          </w:rPr>
          <w:t xml:space="preserve">https://doi.org/10.1371/journal.pbio.3001340</w:t>
        </w:r>
      </w:hyperlink>
      <w:r>
        <w:t xml:space="preserve">.</w:t>
      </w:r>
    </w:p>
    <w:bookmarkEnd w:id="96"/>
    <w:bookmarkStart w:id="98" w:name="ref-lorcery2025"/>
    <w:p>
      <w:pPr>
        <w:pStyle w:val="Bibliography"/>
      </w:pPr>
      <w:r>
        <w:t xml:space="preserve">28.</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97">
        <w:r>
          <w:rPr>
            <w:rStyle w:val="Hyperlink"/>
          </w:rPr>
          <w:t xml:space="preserve">https://doi.org/10.1371/journal.pone.0332766</w:t>
        </w:r>
      </w:hyperlink>
      <w:r>
        <w:t xml:space="preserve">.</w:t>
      </w:r>
    </w:p>
    <w:bookmarkEnd w:id="98"/>
    <w:bookmarkStart w:id="100" w:name="ref-hagen2021b"/>
    <w:p>
      <w:pPr>
        <w:pStyle w:val="Bibliography"/>
      </w:pPr>
      <w:r>
        <w:t xml:space="preserve">29.</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99">
        <w:r>
          <w:rPr>
            <w:rStyle w:val="Hyperlink"/>
          </w:rPr>
          <w:t xml:space="preserve">https://doi.org/10.1073/pnas.2026347118</w:t>
        </w:r>
      </w:hyperlink>
      <w:r>
        <w:t xml:space="preserve">.</w:t>
      </w:r>
    </w:p>
    <w:bookmarkEnd w:id="100"/>
    <w:bookmarkStart w:id="102" w:name="ref-skeels2023b"/>
    <w:p>
      <w:pPr>
        <w:pStyle w:val="Bibliography"/>
      </w:pPr>
      <w:r>
        <w:t xml:space="preserve">30.</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101">
        <w:r>
          <w:rPr>
            <w:rStyle w:val="Hyperlink"/>
          </w:rPr>
          <w:t xml:space="preserve">https://doi.org/10.1126/science.adf7122</w:t>
        </w:r>
      </w:hyperlink>
      <w:r>
        <w:t xml:space="preserve">.</w:t>
      </w:r>
    </w:p>
    <w:bookmarkEnd w:id="102"/>
    <w:bookmarkStart w:id="104" w:name="ref-boschman2023"/>
    <w:p>
      <w:pPr>
        <w:pStyle w:val="Bibliography"/>
      </w:pPr>
      <w:r>
        <w:t xml:space="preserve">31.</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103">
        <w:r>
          <w:rPr>
            <w:rStyle w:val="Hyperlink"/>
          </w:rPr>
          <w:t xml:space="preserve">https://doi.org/10.1038/s41559-023-02220-8</w:t>
        </w:r>
      </w:hyperlink>
      <w:r>
        <w:t xml:space="preserve">.</w:t>
      </w:r>
    </w:p>
    <w:bookmarkEnd w:id="104"/>
    <w:bookmarkStart w:id="106" w:name="ref-skeels2023"/>
    <w:p>
      <w:pPr>
        <w:pStyle w:val="Bibliography"/>
      </w:pPr>
      <w:r>
        <w:t xml:space="preserve">32.</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105">
        <w:r>
          <w:rPr>
            <w:rStyle w:val="Hyperlink"/>
          </w:rPr>
          <w:t xml:space="preserve">https://doi.org/10.1093/sysbio/syac048</w:t>
        </w:r>
      </w:hyperlink>
      <w:r>
        <w:t xml:space="preserve">.</w:t>
      </w:r>
    </w:p>
    <w:bookmarkEnd w:id="106"/>
    <w:bookmarkStart w:id="108" w:name="ref-liu2024"/>
    <w:p>
      <w:pPr>
        <w:pStyle w:val="Bibliography"/>
      </w:pPr>
      <w:r>
        <w:t xml:space="preserve">33.</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107">
        <w:r>
          <w:rPr>
            <w:rStyle w:val="Hyperlink"/>
          </w:rPr>
          <w:t xml:space="preserve">https://doi.org/10.1126/science.adi0833</w:t>
        </w:r>
      </w:hyperlink>
      <w:r>
        <w:t xml:space="preserve">.</w:t>
      </w:r>
    </w:p>
    <w:bookmarkEnd w:id="108"/>
    <w:bookmarkStart w:id="110" w:name="ref-holden2019"/>
    <w:p>
      <w:pPr>
        <w:pStyle w:val="Bibliography"/>
      </w:pPr>
      <w:r>
        <w:t xml:space="preserve">34.</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09">
        <w:r>
          <w:rPr>
            <w:rStyle w:val="Hyperlink"/>
          </w:rPr>
          <w:t xml:space="preserve">https://doi.org/10.5194/gmd-12-5137-2019</w:t>
        </w:r>
      </w:hyperlink>
      <w:r>
        <w:t xml:space="preserve">.</w:t>
      </w:r>
    </w:p>
    <w:bookmarkEnd w:id="110"/>
    <w:bookmarkStart w:id="112" w:name="ref-gearty2023"/>
    <w:p>
      <w:pPr>
        <w:pStyle w:val="Bibliography"/>
      </w:pPr>
      <w:r>
        <w:t xml:space="preserve">35.</w:t>
      </w:r>
      <w:r>
        <w:t xml:space="preserve"> </w:t>
      </w:r>
      <w:r>
        <w:t xml:space="preserve">	</w:t>
      </w:r>
      <w:r>
        <w:t xml:space="preserve">Gearty, W. (2023).</w:t>
      </w:r>
      <w:r>
        <w:t xml:space="preserve"> </w:t>
      </w:r>
      <w:hyperlink r:id="rId111">
        <w:r>
          <w:rPr>
            <w:rStyle w:val="Hyperlink"/>
          </w:rPr>
          <w:t xml:space="preserve">Deeptime: Plotting tools for anyone working in deep time. R package version 1.0.1.</w:t>
        </w:r>
      </w:hyperlink>
    </w:p>
    <w:bookmarkEnd w:id="112"/>
    <w:bookmarkStart w:id="114" w:name="ref-barreto2023"/>
    <w:p>
      <w:pPr>
        <w:pStyle w:val="Bibliography"/>
      </w:pPr>
      <w:r>
        <w:t xml:space="preserve">36.</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13">
        <w:r>
          <w:rPr>
            <w:rStyle w:val="Hyperlink"/>
          </w:rPr>
          <w:t xml:space="preserve">https://doi.org/10.1111/geb.13683</w:t>
        </w:r>
      </w:hyperlink>
      <w:r>
        <w:t xml:space="preserve">.</w:t>
      </w:r>
    </w:p>
    <w:bookmarkEnd w:id="114"/>
    <w:bookmarkStart w:id="116" w:name="ref-beck2018"/>
    <w:p>
      <w:pPr>
        <w:pStyle w:val="Bibliography"/>
      </w:pPr>
      <w:r>
        <w:t xml:space="preserve">37.</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15">
        <w:r>
          <w:rPr>
            <w:rStyle w:val="Hyperlink"/>
          </w:rPr>
          <w:t xml:space="preserve">https://doi.org/10.1038/sdata.2018.214</w:t>
        </w:r>
      </w:hyperlink>
      <w:r>
        <w:t xml:space="preserve">.</w:t>
      </w:r>
    </w:p>
    <w:bookmarkEnd w:id="116"/>
    <w:bookmarkStart w:id="118" w:name="ref-galván2023"/>
    <w:p>
      <w:pPr>
        <w:pStyle w:val="Bibliography"/>
      </w:pPr>
      <w:r>
        <w:t xml:space="preserve">38.</w:t>
      </w:r>
      <w:r>
        <w:t xml:space="preserve"> </w:t>
      </w:r>
      <w:r>
        <w:t xml:space="preserve">	</w:t>
      </w:r>
      <w:r>
        <w:t xml:space="preserve">Galván, S., Gamboa, S., and Varela, S. (2023).</w:t>
      </w:r>
      <w:r>
        <w:t xml:space="preserve"> </w:t>
      </w:r>
      <w:hyperlink r:id="rId117">
        <w:r>
          <w:rPr>
            <w:rStyle w:val="Hyperlink"/>
          </w:rPr>
          <w:t xml:space="preserve">Köppen Geiger climatic classification for R users.</w:t>
        </w:r>
      </w:hyperlink>
    </w:p>
    <w:bookmarkEnd w:id="118"/>
    <w:bookmarkStart w:id="120" w:name="ref-weir2009"/>
    <w:p>
      <w:pPr>
        <w:pStyle w:val="Bibliography"/>
      </w:pPr>
      <w:r>
        <w:t xml:space="preserve">39.</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19">
        <w:r>
          <w:rPr>
            <w:rStyle w:val="Hyperlink"/>
          </w:rPr>
          <w:t xml:space="preserve">https://doi.org/10.1073/pnas.0903811106</w:t>
        </w:r>
      </w:hyperlink>
      <w:r>
        <w:t xml:space="preserve">.</w:t>
      </w:r>
    </w:p>
    <w:bookmarkEnd w:id="120"/>
    <w:bookmarkStart w:id="122" w:name="ref-antonelli2018"/>
    <w:p>
      <w:pPr>
        <w:pStyle w:val="Bibliography"/>
      </w:pPr>
      <w:r>
        <w:t xml:space="preserve">40.</w:t>
      </w:r>
      <w:r>
        <w:t xml:space="preserve"> </w:t>
      </w:r>
      <w:r>
        <w:t xml:space="preserve">	</w:t>
      </w:r>
      <w:r>
        <w:t xml:space="preserve">Antonelli, A., Kissling, W.D., Flantua, S.G.A., Bermúdez, M.A., Mulch, A., Muellner-Riehl, A.N., Kreft, H., Linder, H.P., Badgley, C., Fjeldså, J., et al. (2018). Geological and climatic influences on mountain biodiversity. Nature Geoscience</w:t>
      </w:r>
      <w:r>
        <w:t xml:space="preserve"> </w:t>
      </w:r>
      <w:r>
        <w:rPr>
          <w:i/>
          <w:iCs/>
        </w:rPr>
        <w:t xml:space="preserve">11</w:t>
      </w:r>
      <w:r>
        <w:t xml:space="preserve">, 718–725.</w:t>
      </w:r>
      <w:r>
        <w:t xml:space="preserve"> </w:t>
      </w:r>
      <w:hyperlink r:id="rId121">
        <w:r>
          <w:rPr>
            <w:rStyle w:val="Hyperlink"/>
          </w:rPr>
          <w:t xml:space="preserve">https://doi.org/10.1038/s41561-018-0236-z</w:t>
        </w:r>
      </w:hyperlink>
      <w:r>
        <w:t xml:space="preserve">.</w:t>
      </w:r>
    </w:p>
    <w:bookmarkEnd w:id="122"/>
    <w:bookmarkStart w:id="124" w:name="ref-haffer1969"/>
    <w:p>
      <w:pPr>
        <w:pStyle w:val="Bibliography"/>
      </w:pPr>
      <w:r>
        <w:t xml:space="preserve">41.</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23">
        <w:r>
          <w:rPr>
            <w:rStyle w:val="Hyperlink"/>
          </w:rPr>
          <w:t xml:space="preserve">https://doi.org/10.1126/science.165.3889.131</w:t>
        </w:r>
      </w:hyperlink>
      <w:r>
        <w:t xml:space="preserve">.</w:t>
      </w:r>
    </w:p>
    <w:bookmarkEnd w:id="124"/>
    <w:bookmarkStart w:id="126" w:name="ref-motta2025"/>
    <w:p>
      <w:pPr>
        <w:pStyle w:val="Bibliography"/>
      </w:pPr>
      <w:r>
        <w:t xml:space="preserve">42.</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25">
        <w:r>
          <w:rPr>
            <w:rStyle w:val="Hyperlink"/>
          </w:rPr>
          <w:t xml:space="preserve">https://doi.org/10.1016/j.palaeo.2025.112905</w:t>
        </w:r>
      </w:hyperlink>
      <w:r>
        <w:t xml:space="preserve">.</w:t>
      </w:r>
    </w:p>
    <w:bookmarkEnd w:id="126"/>
    <w:bookmarkStart w:id="128" w:name="ref-pino2022"/>
    <w:p>
      <w:pPr>
        <w:pStyle w:val="Bibliography"/>
      </w:pPr>
      <w:r>
        <w:t xml:space="preserve">43.</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27">
        <w:r>
          <w:rPr>
            <w:rStyle w:val="Hyperlink"/>
          </w:rPr>
          <w:t xml:space="preserve">https://doi.org/10.1016/j.gloplacha.2022.103758</w:t>
        </w:r>
      </w:hyperlink>
      <w:r>
        <w:t xml:space="preserve">.</w:t>
      </w:r>
    </w:p>
    <w:bookmarkEnd w:id="128"/>
    <w:bookmarkStart w:id="130" w:name="ref-morgan1993"/>
    <w:p>
      <w:pPr>
        <w:pStyle w:val="Bibliography"/>
      </w:pPr>
      <w:r>
        <w:t xml:space="preserve">44.</w:t>
      </w:r>
      <w:r>
        <w:t xml:space="preserve"> </w:t>
      </w:r>
      <w:r>
        <w:t xml:space="preserve">	</w:t>
      </w:r>
      <w:r>
        <w:t xml:space="preserve">Morgan, G.S. (1993). Quaternary land vertebrates of jamaica. In, R. M. Wright and E. Robinson, eds. (Geological Society of America), p. 0.</w:t>
      </w:r>
      <w:r>
        <w:t xml:space="preserve"> </w:t>
      </w:r>
      <w:hyperlink r:id="rId129">
        <w:r>
          <w:rPr>
            <w:rStyle w:val="Hyperlink"/>
          </w:rPr>
          <w:t xml:space="preserve">https://doi.org/10.1130/MEM182-p417</w:t>
        </w:r>
      </w:hyperlink>
      <w:r>
        <w:t xml:space="preserve">.</w:t>
      </w:r>
    </w:p>
    <w:bookmarkEnd w:id="130"/>
    <w:bookmarkStart w:id="132" w:name="ref-ali2021b"/>
    <w:p>
      <w:pPr>
        <w:pStyle w:val="Bibliography"/>
      </w:pPr>
      <w:r>
        <w:t xml:space="preserve">45.</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31">
        <w:r>
          <w:rPr>
            <w:rStyle w:val="Hyperlink"/>
          </w:rPr>
          <w:t xml:space="preserve">https://doi.org/10.1111/jbi.14234</w:t>
        </w:r>
      </w:hyperlink>
      <w:r>
        <w:t xml:space="preserve">.</w:t>
      </w:r>
    </w:p>
    <w:bookmarkEnd w:id="132"/>
    <w:bookmarkStart w:id="134" w:name="ref-cornée2021"/>
    <w:p>
      <w:pPr>
        <w:pStyle w:val="Bibliography"/>
      </w:pPr>
      <w:r>
        <w:t xml:space="preserve">46.</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33">
        <w:r>
          <w:rPr>
            <w:rStyle w:val="Hyperlink"/>
          </w:rPr>
          <w:t xml:space="preserve">https://doi.org/10.1016/j.earscirev.2021.103617</w:t>
        </w:r>
      </w:hyperlink>
      <w:r>
        <w:t xml:space="preserve">.</w:t>
      </w:r>
    </w:p>
    <w:bookmarkEnd w:id="134"/>
    <w:bookmarkStart w:id="136" w:name="ref-warren2015"/>
    <w:p>
      <w:pPr>
        <w:pStyle w:val="Bibliography"/>
      </w:pPr>
      <w:r>
        <w:t xml:space="preserve">47.</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35">
        <w:r>
          <w:rPr>
            <w:rStyle w:val="Hyperlink"/>
          </w:rPr>
          <w:t xml:space="preserve">https://doi.org/10.1111/ele.12398</w:t>
        </w:r>
      </w:hyperlink>
      <w:r>
        <w:t xml:space="preserve">.</w:t>
      </w:r>
    </w:p>
    <w:bookmarkEnd w:id="136"/>
    <w:bookmarkStart w:id="138" w:name="ref-couvreur2011"/>
    <w:p>
      <w:pPr>
        <w:pStyle w:val="Bibliography"/>
      </w:pPr>
      <w:r>
        <w:t xml:space="preserve">48.</w:t>
      </w:r>
      <w:r>
        <w:t xml:space="preserve"> </w:t>
      </w:r>
      <w:r>
        <w:t xml:space="preserve">	</w:t>
      </w:r>
      <w:r>
        <w:t xml:space="preserve">Couvreur, T.L.P., Pirie, M.D., Chatrou, L.W., Saunders, R.M.K., Su, Y.C.F., Richardson, J.E., and Erkens, R.H.J. (2011). Early evolutionary history of the flowering plant family Annonaceae: steady diversification and boreotropical geodispersal. Journal of Biogeography</w:t>
      </w:r>
      <w:r>
        <w:t xml:space="preserve"> </w:t>
      </w:r>
      <w:r>
        <w:rPr>
          <w:i/>
          <w:iCs/>
        </w:rPr>
        <w:t xml:space="preserve">38</w:t>
      </w:r>
      <w:r>
        <w:t xml:space="preserve">, 664–680.</w:t>
      </w:r>
      <w:r>
        <w:t xml:space="preserve"> </w:t>
      </w:r>
      <w:hyperlink r:id="rId137">
        <w:r>
          <w:rPr>
            <w:rStyle w:val="Hyperlink"/>
          </w:rPr>
          <w:t xml:space="preserve">https://doi.org/10.1111/j.1365-2699.2010.02434.x</w:t>
        </w:r>
      </w:hyperlink>
      <w:r>
        <w:t xml:space="preserve">.</w:t>
      </w:r>
    </w:p>
    <w:bookmarkEnd w:id="138"/>
    <w:bookmarkStart w:id="140" w:name="ref-upchurch2024"/>
    <w:p>
      <w:pPr>
        <w:pStyle w:val="Bibliography"/>
      </w:pPr>
      <w:r>
        <w:t xml:space="preserve">49.</w:t>
      </w:r>
      <w:r>
        <w:t xml:space="preserve"> </w:t>
      </w:r>
      <w:r>
        <w:t xml:space="preserve">	</w:t>
      </w:r>
      <w:r>
        <w:t xml:space="preserve">Upchurch, P., and Chiarenza, A.A. (2024). A brief review of non-avian dinosaur biogeography: State-of-the-art and prospectus. Biology Letters</w:t>
      </w:r>
      <w:r>
        <w:t xml:space="preserve"> </w:t>
      </w:r>
      <w:r>
        <w:rPr>
          <w:i/>
          <w:iCs/>
        </w:rPr>
        <w:t xml:space="preserve">20</w:t>
      </w:r>
      <w:r>
        <w:t xml:space="preserve">, 20240429.</w:t>
      </w:r>
      <w:r>
        <w:t xml:space="preserve"> </w:t>
      </w:r>
      <w:hyperlink r:id="rId139">
        <w:r>
          <w:rPr>
            <w:rStyle w:val="Hyperlink"/>
          </w:rPr>
          <w:t xml:space="preserve">https://doi.org/10.1098/rsbl.2024.0429</w:t>
        </w:r>
      </w:hyperlink>
      <w:r>
        <w:t xml:space="preserve">.</w:t>
      </w:r>
    </w:p>
    <w:bookmarkEnd w:id="140"/>
    <w:bookmarkEnd w:id="141"/>
    <w:bookmarkEnd w:id="142"/>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49" Target="http://repository.si.edu/xmlui/handle/10088/35473" TargetMode="External" /><Relationship Type="http://schemas.openxmlformats.org/officeDocument/2006/relationships/hyperlink" Id="rId111" Target="https://CRAN.R-project.org/package=deeptime" TargetMode="External" /><Relationship Type="http://schemas.openxmlformats.org/officeDocument/2006/relationships/hyperlink" Id="rId55" Target="https://doi.org/10.1007/s10914-010-9144-8" TargetMode="External" /><Relationship Type="http://schemas.openxmlformats.org/officeDocument/2006/relationships/hyperlink" Id="rId83" Target="https://doi.org/10.1007/s10914-011-9175-9" TargetMode="External" /><Relationship Type="http://schemas.openxmlformats.org/officeDocument/2006/relationships/hyperlink" Id="rId133" Target="https://doi.org/10.1016/j.earscirev.2021.103617" TargetMode="External" /><Relationship Type="http://schemas.openxmlformats.org/officeDocument/2006/relationships/hyperlink" Id="rId53" Target="https://doi.org/10.1016/j.geobios.2006.09.005" TargetMode="External" /><Relationship Type="http://schemas.openxmlformats.org/officeDocument/2006/relationships/hyperlink" Id="rId127" Target="https://doi.org/10.1016/j.gloplacha.2022.103758" TargetMode="External" /><Relationship Type="http://schemas.openxmlformats.org/officeDocument/2006/relationships/hyperlink" Id="rId125" Target="https://doi.org/10.1016/j.palaeo.2025.112905" TargetMode="External" /><Relationship Type="http://schemas.openxmlformats.org/officeDocument/2006/relationships/hyperlink" Id="rId63" Target="https://doi.org/10.1017/S0094837300010605" TargetMode="External" /><Relationship Type="http://schemas.openxmlformats.org/officeDocument/2006/relationships/hyperlink" Id="rId103" Target="https://doi.org/10.1038/s41559-023-02220-8" TargetMode="External" /><Relationship Type="http://schemas.openxmlformats.org/officeDocument/2006/relationships/hyperlink" Id="rId121" Target="https://doi.org/10.1038/s41561-018-0236-z" TargetMode="External" /><Relationship Type="http://schemas.openxmlformats.org/officeDocument/2006/relationships/hyperlink" Id="rId74" Target="https://doi.org/10.1038/s41598-020-58575-6" TargetMode="External" /><Relationship Type="http://schemas.openxmlformats.org/officeDocument/2006/relationships/hyperlink" Id="rId85" Target="https://doi.org/10.1038/s41598-022-05266-z" TargetMode="External" /><Relationship Type="http://schemas.openxmlformats.org/officeDocument/2006/relationships/hyperlink" Id="rId89" Target="https://doi.org/10.1038/s44185-024-00045-7" TargetMode="External" /><Relationship Type="http://schemas.openxmlformats.org/officeDocument/2006/relationships/hyperlink" Id="rId115" Target="https://doi.org/10.1038/sdata.2018.214" TargetMode="External" /><Relationship Type="http://schemas.openxmlformats.org/officeDocument/2006/relationships/hyperlink" Id="rId119" Target="https://doi.org/10.1073/pnas.0903811106" TargetMode="External" /><Relationship Type="http://schemas.openxmlformats.org/officeDocument/2006/relationships/hyperlink" Id="rId57" Target="https://doi.org/10.1073/pnas.1423853112" TargetMode="External" /><Relationship Type="http://schemas.openxmlformats.org/officeDocument/2006/relationships/hyperlink" Id="rId67" Target="https://doi.org/10.1073/pnas.2009397117" TargetMode="External" /><Relationship Type="http://schemas.openxmlformats.org/officeDocument/2006/relationships/hyperlink" Id="rId99" Target="https://doi.org/10.1073/pnas.2026347118" TargetMode="External" /><Relationship Type="http://schemas.openxmlformats.org/officeDocument/2006/relationships/hyperlink" Id="rId105" Target="https://doi.org/10.1093/sysbio/syac048" TargetMode="External" /><Relationship Type="http://schemas.openxmlformats.org/officeDocument/2006/relationships/hyperlink" Id="rId139" Target="https://doi.org/10.1098/rsbl.2024.0429" TargetMode="External" /><Relationship Type="http://schemas.openxmlformats.org/officeDocument/2006/relationships/hyperlink" Id="rId93" Target="https://doi.org/10.1111/ecog.06132" TargetMode="External" /><Relationship Type="http://schemas.openxmlformats.org/officeDocument/2006/relationships/hyperlink" Id="rId135" Target="https://doi.org/10.1111/ele.12398" TargetMode="External" /><Relationship Type="http://schemas.openxmlformats.org/officeDocument/2006/relationships/hyperlink" Id="rId77" Target="https://doi.org/10.1111/geb.12504" TargetMode="External" /><Relationship Type="http://schemas.openxmlformats.org/officeDocument/2006/relationships/hyperlink" Id="rId113" Target="https://doi.org/10.1111/geb.13683" TargetMode="External" /><Relationship Type="http://schemas.openxmlformats.org/officeDocument/2006/relationships/hyperlink" Id="rId137" Target="https://doi.org/10.1111/j.1365-2699.2010.02434.x" TargetMode="External" /><Relationship Type="http://schemas.openxmlformats.org/officeDocument/2006/relationships/hyperlink" Id="rId131" Target="https://doi.org/10.1111/jbi.14234" TargetMode="External" /><Relationship Type="http://schemas.openxmlformats.org/officeDocument/2006/relationships/hyperlink" Id="rId79" Target="https://doi.org/10.1111/pala.70012" TargetMode="External" /><Relationship Type="http://schemas.openxmlformats.org/officeDocument/2006/relationships/hyperlink" Id="rId51" Target="https://doi.org/10.1126/sciadv.1600883" TargetMode="External" /><Relationship Type="http://schemas.openxmlformats.org/officeDocument/2006/relationships/hyperlink" Id="rId91" Target="https://doi.org/10.1126/sciadv.abj2271" TargetMode="External" /><Relationship Type="http://schemas.openxmlformats.org/officeDocument/2006/relationships/hyperlink" Id="rId123" Target="https://doi.org/10.1126/science.165.3889.131" TargetMode="External" /><Relationship Type="http://schemas.openxmlformats.org/officeDocument/2006/relationships/hyperlink" Id="rId47" Target="https://doi.org/10.1126/science.aaa2815" TargetMode="External" /><Relationship Type="http://schemas.openxmlformats.org/officeDocument/2006/relationships/hyperlink" Id="rId101" Target="https://doi.org/10.1126/science.adf7122" TargetMode="External" /><Relationship Type="http://schemas.openxmlformats.org/officeDocument/2006/relationships/hyperlink" Id="rId107" Target="https://doi.org/10.1126/science.adi0833" TargetMode="External" /><Relationship Type="http://schemas.openxmlformats.org/officeDocument/2006/relationships/hyperlink" Id="rId71" Target="https://doi.org/10.1126/science.adu0704" TargetMode="External" /><Relationship Type="http://schemas.openxmlformats.org/officeDocument/2006/relationships/hyperlink" Id="rId59" Target="https://doi.org/10.1130/G37624.1" TargetMode="External" /><Relationship Type="http://schemas.openxmlformats.org/officeDocument/2006/relationships/hyperlink" Id="rId129" Target="https://doi.org/10.1130/MEM182-p417" TargetMode="External" /><Relationship Type="http://schemas.openxmlformats.org/officeDocument/2006/relationships/hyperlink" Id="rId69" Target="https://doi.org/10.1146/annurev-earth-072619-060126" TargetMode="External" /><Relationship Type="http://schemas.openxmlformats.org/officeDocument/2006/relationships/hyperlink" Id="rId95" Target="https://doi.org/10.1371/journal.pbio.3001340" TargetMode="External" /><Relationship Type="http://schemas.openxmlformats.org/officeDocument/2006/relationships/hyperlink" Id="rId97" Target="https://doi.org/10.1371/journal.pone.0332766" TargetMode="External" /><Relationship Type="http://schemas.openxmlformats.org/officeDocument/2006/relationships/hyperlink" Id="rId81" Target="https://doi.org/10.2307/1381862" TargetMode="External" /><Relationship Type="http://schemas.openxmlformats.org/officeDocument/2006/relationships/hyperlink" Id="rId87" Target="https://doi.org/10.3390/d17030153" TargetMode="External" /><Relationship Type="http://schemas.openxmlformats.org/officeDocument/2006/relationships/hyperlink" Id="rId109" Target="https://doi.org/10.5194/gmd-12-5137-2019" TargetMode="External" /><Relationship Type="http://schemas.openxmlformats.org/officeDocument/2006/relationships/hyperlink" Id="rId117" Target="https://eartharxiv.org/repository/view/6269/" TargetMode="External" /><Relationship Type="http://schemas.openxmlformats.org/officeDocument/2006/relationships/hyperlink" Id="rId65" Target="https://link.springer.com/10.1007/978-94-017-9792-4" TargetMode="External" /><Relationship Type="http://schemas.openxmlformats.org/officeDocument/2006/relationships/hyperlink" Id="rId45" Target="https://www.jstor.org/stable/1688046" TargetMode="External" /><Relationship Type="http://schemas.openxmlformats.org/officeDocument/2006/relationships/hyperlink" Id="rId61"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49" Target="http://repository.si.edu/xmlui/handle/10088/35473" TargetMode="External" /><Relationship Type="http://schemas.openxmlformats.org/officeDocument/2006/relationships/hyperlink" Id="rId111" Target="https://CRAN.R-project.org/package=deeptime" TargetMode="External" /><Relationship Type="http://schemas.openxmlformats.org/officeDocument/2006/relationships/hyperlink" Id="rId55" Target="https://doi.org/10.1007/s10914-010-9144-8" TargetMode="External" /><Relationship Type="http://schemas.openxmlformats.org/officeDocument/2006/relationships/hyperlink" Id="rId83" Target="https://doi.org/10.1007/s10914-011-9175-9" TargetMode="External" /><Relationship Type="http://schemas.openxmlformats.org/officeDocument/2006/relationships/hyperlink" Id="rId133" Target="https://doi.org/10.1016/j.earscirev.2021.103617" TargetMode="External" /><Relationship Type="http://schemas.openxmlformats.org/officeDocument/2006/relationships/hyperlink" Id="rId53" Target="https://doi.org/10.1016/j.geobios.2006.09.005" TargetMode="External" /><Relationship Type="http://schemas.openxmlformats.org/officeDocument/2006/relationships/hyperlink" Id="rId127" Target="https://doi.org/10.1016/j.gloplacha.2022.103758" TargetMode="External" /><Relationship Type="http://schemas.openxmlformats.org/officeDocument/2006/relationships/hyperlink" Id="rId125" Target="https://doi.org/10.1016/j.palaeo.2025.112905" TargetMode="External" /><Relationship Type="http://schemas.openxmlformats.org/officeDocument/2006/relationships/hyperlink" Id="rId63" Target="https://doi.org/10.1017/S0094837300010605" TargetMode="External" /><Relationship Type="http://schemas.openxmlformats.org/officeDocument/2006/relationships/hyperlink" Id="rId103" Target="https://doi.org/10.1038/s41559-023-02220-8" TargetMode="External" /><Relationship Type="http://schemas.openxmlformats.org/officeDocument/2006/relationships/hyperlink" Id="rId121" Target="https://doi.org/10.1038/s41561-018-0236-z" TargetMode="External" /><Relationship Type="http://schemas.openxmlformats.org/officeDocument/2006/relationships/hyperlink" Id="rId74" Target="https://doi.org/10.1038/s41598-020-58575-6" TargetMode="External" /><Relationship Type="http://schemas.openxmlformats.org/officeDocument/2006/relationships/hyperlink" Id="rId85" Target="https://doi.org/10.1038/s41598-022-05266-z" TargetMode="External" /><Relationship Type="http://schemas.openxmlformats.org/officeDocument/2006/relationships/hyperlink" Id="rId89" Target="https://doi.org/10.1038/s44185-024-00045-7" TargetMode="External" /><Relationship Type="http://schemas.openxmlformats.org/officeDocument/2006/relationships/hyperlink" Id="rId115" Target="https://doi.org/10.1038/sdata.2018.214" TargetMode="External" /><Relationship Type="http://schemas.openxmlformats.org/officeDocument/2006/relationships/hyperlink" Id="rId119" Target="https://doi.org/10.1073/pnas.0903811106" TargetMode="External" /><Relationship Type="http://schemas.openxmlformats.org/officeDocument/2006/relationships/hyperlink" Id="rId57" Target="https://doi.org/10.1073/pnas.1423853112" TargetMode="External" /><Relationship Type="http://schemas.openxmlformats.org/officeDocument/2006/relationships/hyperlink" Id="rId67" Target="https://doi.org/10.1073/pnas.2009397117" TargetMode="External" /><Relationship Type="http://schemas.openxmlformats.org/officeDocument/2006/relationships/hyperlink" Id="rId99" Target="https://doi.org/10.1073/pnas.2026347118" TargetMode="External" /><Relationship Type="http://schemas.openxmlformats.org/officeDocument/2006/relationships/hyperlink" Id="rId105" Target="https://doi.org/10.1093/sysbio/syac048" TargetMode="External" /><Relationship Type="http://schemas.openxmlformats.org/officeDocument/2006/relationships/hyperlink" Id="rId139" Target="https://doi.org/10.1098/rsbl.2024.0429" TargetMode="External" /><Relationship Type="http://schemas.openxmlformats.org/officeDocument/2006/relationships/hyperlink" Id="rId93" Target="https://doi.org/10.1111/ecog.06132" TargetMode="External" /><Relationship Type="http://schemas.openxmlformats.org/officeDocument/2006/relationships/hyperlink" Id="rId135" Target="https://doi.org/10.1111/ele.12398" TargetMode="External" /><Relationship Type="http://schemas.openxmlformats.org/officeDocument/2006/relationships/hyperlink" Id="rId77" Target="https://doi.org/10.1111/geb.12504" TargetMode="External" /><Relationship Type="http://schemas.openxmlformats.org/officeDocument/2006/relationships/hyperlink" Id="rId113" Target="https://doi.org/10.1111/geb.13683" TargetMode="External" /><Relationship Type="http://schemas.openxmlformats.org/officeDocument/2006/relationships/hyperlink" Id="rId137" Target="https://doi.org/10.1111/j.1365-2699.2010.02434.x" TargetMode="External" /><Relationship Type="http://schemas.openxmlformats.org/officeDocument/2006/relationships/hyperlink" Id="rId131" Target="https://doi.org/10.1111/jbi.14234" TargetMode="External" /><Relationship Type="http://schemas.openxmlformats.org/officeDocument/2006/relationships/hyperlink" Id="rId79" Target="https://doi.org/10.1111/pala.70012" TargetMode="External" /><Relationship Type="http://schemas.openxmlformats.org/officeDocument/2006/relationships/hyperlink" Id="rId51" Target="https://doi.org/10.1126/sciadv.1600883" TargetMode="External" /><Relationship Type="http://schemas.openxmlformats.org/officeDocument/2006/relationships/hyperlink" Id="rId91" Target="https://doi.org/10.1126/sciadv.abj2271" TargetMode="External" /><Relationship Type="http://schemas.openxmlformats.org/officeDocument/2006/relationships/hyperlink" Id="rId123" Target="https://doi.org/10.1126/science.165.3889.131" TargetMode="External" /><Relationship Type="http://schemas.openxmlformats.org/officeDocument/2006/relationships/hyperlink" Id="rId47" Target="https://doi.org/10.1126/science.aaa2815" TargetMode="External" /><Relationship Type="http://schemas.openxmlformats.org/officeDocument/2006/relationships/hyperlink" Id="rId101" Target="https://doi.org/10.1126/science.adf7122" TargetMode="External" /><Relationship Type="http://schemas.openxmlformats.org/officeDocument/2006/relationships/hyperlink" Id="rId107" Target="https://doi.org/10.1126/science.adi0833" TargetMode="External" /><Relationship Type="http://schemas.openxmlformats.org/officeDocument/2006/relationships/hyperlink" Id="rId71" Target="https://doi.org/10.1126/science.adu0704" TargetMode="External" /><Relationship Type="http://schemas.openxmlformats.org/officeDocument/2006/relationships/hyperlink" Id="rId59" Target="https://doi.org/10.1130/G37624.1" TargetMode="External" /><Relationship Type="http://schemas.openxmlformats.org/officeDocument/2006/relationships/hyperlink" Id="rId129" Target="https://doi.org/10.1130/MEM182-p417" TargetMode="External" /><Relationship Type="http://schemas.openxmlformats.org/officeDocument/2006/relationships/hyperlink" Id="rId69" Target="https://doi.org/10.1146/annurev-earth-072619-060126" TargetMode="External" /><Relationship Type="http://schemas.openxmlformats.org/officeDocument/2006/relationships/hyperlink" Id="rId95" Target="https://doi.org/10.1371/journal.pbio.3001340" TargetMode="External" /><Relationship Type="http://schemas.openxmlformats.org/officeDocument/2006/relationships/hyperlink" Id="rId97" Target="https://doi.org/10.1371/journal.pone.0332766" TargetMode="External" /><Relationship Type="http://schemas.openxmlformats.org/officeDocument/2006/relationships/hyperlink" Id="rId81" Target="https://doi.org/10.2307/1381862" TargetMode="External" /><Relationship Type="http://schemas.openxmlformats.org/officeDocument/2006/relationships/hyperlink" Id="rId87" Target="https://doi.org/10.3390/d17030153" TargetMode="External" /><Relationship Type="http://schemas.openxmlformats.org/officeDocument/2006/relationships/hyperlink" Id="rId109" Target="https://doi.org/10.5194/gmd-12-5137-2019" TargetMode="External" /><Relationship Type="http://schemas.openxmlformats.org/officeDocument/2006/relationships/hyperlink" Id="rId117" Target="https://eartharxiv.org/repository/view/6269/" TargetMode="External" /><Relationship Type="http://schemas.openxmlformats.org/officeDocument/2006/relationships/hyperlink" Id="rId65" Target="https://link.springer.com/10.1007/978-94-017-9792-4" TargetMode="External" /><Relationship Type="http://schemas.openxmlformats.org/officeDocument/2006/relationships/hyperlink" Id="rId45" Target="https://www.jstor.org/stable/1688046" TargetMode="External" /><Relationship Type="http://schemas.openxmlformats.org/officeDocument/2006/relationships/hyperlink" Id="rId61"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2025-10-01T07:33:49Z</dcterms:created>
  <dcterms:modified xsi:type="dcterms:W3CDTF">2025-10-01T07:33:49Z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